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22190" w14:textId="0CDBCA78" w:rsidR="007311FA" w:rsidRDefault="00554A6D" w:rsidP="007A59B4">
      <w:pPr>
        <w:pStyle w:val="Logo-coverpage"/>
      </w:pPr>
      <w:r>
        <w:rPr>
          <w:noProof/>
        </w:rPr>
        <w:drawing>
          <wp:anchor distT="0" distB="0" distL="114300" distR="114300" simplePos="0" relativeHeight="251658241" behindDoc="1" locked="1" layoutInCell="1" allowOverlap="1" wp14:anchorId="785B6A39" wp14:editId="5825AB83">
            <wp:simplePos x="0" y="0"/>
            <wp:positionH relativeFrom="page">
              <wp:align>right</wp:align>
            </wp:positionH>
            <wp:positionV relativeFrom="page">
              <wp:align>top</wp:align>
            </wp:positionV>
            <wp:extent cx="7563600" cy="10692000"/>
            <wp:effectExtent l="0" t="0" r="0" b="0"/>
            <wp:wrapNone/>
            <wp:docPr id="1936359206" name="Picture 1936359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007311FA">
        <w:rPr>
          <w:noProof/>
        </w:rPr>
        <w:drawing>
          <wp:anchor distT="0" distB="0" distL="114300" distR="114300" simplePos="0" relativeHeight="251658240" behindDoc="0" locked="0" layoutInCell="1" allowOverlap="1" wp14:anchorId="3F04E7B9" wp14:editId="5DB6B088">
            <wp:simplePos x="609600" y="609600"/>
            <wp:positionH relativeFrom="column">
              <wp:align>left</wp:align>
            </wp:positionH>
            <wp:positionV relativeFrom="paragraph">
              <wp:align>top</wp:align>
            </wp:positionV>
            <wp:extent cx="3170125" cy="741600"/>
            <wp:effectExtent l="0" t="0" r="0" b="190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0125" cy="741600"/>
                    </a:xfrm>
                    <a:prstGeom prst="rect">
                      <a:avLst/>
                    </a:prstGeom>
                  </pic:spPr>
                </pic:pic>
              </a:graphicData>
            </a:graphic>
          </wp:anchor>
        </w:drawing>
      </w:r>
      <w:r>
        <w:br w:type="textWrapping" w:clear="all"/>
      </w:r>
    </w:p>
    <w:p w14:paraId="29F2B951" w14:textId="64B8492A" w:rsidR="007311FA" w:rsidRPr="009644D0" w:rsidRDefault="007311FA" w:rsidP="007311FA">
      <w:pPr>
        <w:pStyle w:val="Title"/>
        <w:rPr>
          <w:color w:val="FFFFFF" w:themeColor="background1"/>
        </w:rPr>
      </w:pPr>
      <w:r w:rsidRPr="009644D0">
        <w:rPr>
          <w:color w:val="FFFFFF" w:themeColor="background1"/>
        </w:rPr>
        <w:t>Annual Work</w:t>
      </w:r>
      <w:r w:rsidR="00D64FEE" w:rsidRPr="009644D0">
        <w:rPr>
          <w:color w:val="FFFFFF" w:themeColor="background1"/>
        </w:rPr>
        <w:t xml:space="preserve"> Plan</w:t>
      </w:r>
    </w:p>
    <w:p w14:paraId="35CF4370" w14:textId="53C68996" w:rsidR="007311FA" w:rsidRPr="007311FA" w:rsidRDefault="007311FA" w:rsidP="007311FA">
      <w:pPr>
        <w:pStyle w:val="Title"/>
        <w:rPr>
          <w:rStyle w:val="ColourWhite"/>
        </w:rPr>
        <w:sectPr w:rsidR="007311FA" w:rsidRPr="007311FA" w:rsidSect="00614D22">
          <w:headerReference w:type="even" r:id="rId13"/>
          <w:headerReference w:type="default" r:id="rId14"/>
          <w:footerReference w:type="even" r:id="rId15"/>
          <w:footerReference w:type="default" r:id="rId16"/>
          <w:headerReference w:type="first" r:id="rId17"/>
          <w:footerReference w:type="first" r:id="rId18"/>
          <w:pgSz w:w="11918" w:h="16840"/>
          <w:pgMar w:top="964" w:right="964" w:bottom="1701" w:left="964" w:header="0" w:footer="0" w:gutter="0"/>
          <w:cols w:space="708"/>
          <w:docGrid w:linePitch="360"/>
        </w:sectPr>
      </w:pPr>
      <w:r w:rsidRPr="007311FA">
        <w:rPr>
          <w:rStyle w:val="ColourWhite"/>
        </w:rPr>
        <w:t>202</w:t>
      </w:r>
      <w:r w:rsidR="000720D2">
        <w:rPr>
          <w:rStyle w:val="ColourWhite"/>
        </w:rPr>
        <w:t>4</w:t>
      </w:r>
      <w:r w:rsidRPr="007311FA">
        <w:rPr>
          <w:rStyle w:val="ColourWhite"/>
        </w:rPr>
        <w:t>–2</w:t>
      </w:r>
      <w:r w:rsidR="00636852">
        <w:rPr>
          <w:rStyle w:val="ColourWhite"/>
        </w:rPr>
        <w:t>5</w:t>
      </w:r>
    </w:p>
    <w:p w14:paraId="6FA6BFC5" w14:textId="35AFC7B6" w:rsidR="003D03A5" w:rsidRPr="003D03A5" w:rsidRDefault="00554A6D" w:rsidP="003D03A5">
      <w:pPr>
        <w:pStyle w:val="Infotext"/>
      </w:pPr>
      <w:r>
        <w:lastRenderedPageBreak/>
        <w:drawing>
          <wp:anchor distT="0" distB="0" distL="114300" distR="114300" simplePos="0" relativeHeight="251658242" behindDoc="1" locked="1" layoutInCell="1" allowOverlap="1" wp14:anchorId="2E630803" wp14:editId="449F2D32">
            <wp:simplePos x="0" y="0"/>
            <wp:positionH relativeFrom="page">
              <wp:posOffset>-48260</wp:posOffset>
            </wp:positionH>
            <wp:positionV relativeFrom="paragraph">
              <wp:posOffset>-610870</wp:posOffset>
            </wp:positionV>
            <wp:extent cx="7606800" cy="10756800"/>
            <wp:effectExtent l="0" t="0" r="0" b="6985"/>
            <wp:wrapNone/>
            <wp:docPr id="2374926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92646"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06800" cy="10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3A5" w:rsidRPr="003D03A5">
        <w:t xml:space="preserve">© Commonwealth of Australia </w:t>
      </w:r>
      <w:r w:rsidR="00A11D31">
        <w:t>202</w:t>
      </w:r>
      <w:r w:rsidR="00557B7A">
        <w:t>5</w:t>
      </w:r>
    </w:p>
    <w:p w14:paraId="6B17D450" w14:textId="0D3A32B4" w:rsidR="003D03A5" w:rsidRPr="003D03A5" w:rsidRDefault="003D03A5" w:rsidP="003D03A5">
      <w:pPr>
        <w:pStyle w:val="Infoheading"/>
      </w:pPr>
      <w:r w:rsidRPr="003D03A5">
        <w:t>Ownership of intellectual property rights</w:t>
      </w:r>
    </w:p>
    <w:p w14:paraId="0C38E2B3" w14:textId="0F3CB47C" w:rsidR="003D03A5" w:rsidRPr="003D03A5" w:rsidRDefault="003D03A5" w:rsidP="003D03A5">
      <w:pPr>
        <w:pStyle w:val="Infotext"/>
      </w:pPr>
      <w:r w:rsidRPr="003D03A5">
        <w:t>Unless otherwise noted, copyright (and any other intellectual property rights) in this publication is owned by the Commonwealth of Australia (referred to as the Commonwealth).</w:t>
      </w:r>
    </w:p>
    <w:p w14:paraId="7D5D9436" w14:textId="77777777" w:rsidR="003D03A5" w:rsidRPr="003D03A5" w:rsidRDefault="003D03A5" w:rsidP="003D03A5">
      <w:pPr>
        <w:pStyle w:val="Infoheading"/>
      </w:pPr>
      <w:r w:rsidRPr="003D03A5">
        <w:t xml:space="preserve">Creative Commons licence </w:t>
      </w:r>
    </w:p>
    <w:p w14:paraId="0A0BDBC0" w14:textId="11420F5D" w:rsidR="003D03A5" w:rsidRPr="003D03A5" w:rsidRDefault="003D03A5" w:rsidP="003D03A5">
      <w:pPr>
        <w:pStyle w:val="Infotext"/>
      </w:pPr>
      <w:r w:rsidRPr="003D03A5">
        <w:t xml:space="preserve">All material in this publication is licensed under a Creative Commons Attribution 4.0 International Licence, except for content supplied by third parties, logos and the Commonwealth Coat of Arms. </w:t>
      </w:r>
    </w:p>
    <w:p w14:paraId="03F9F93E" w14:textId="498F9AE6" w:rsidR="003D03A5" w:rsidRDefault="003D03A5" w:rsidP="003D03A5">
      <w:pPr>
        <w:pStyle w:val="Infotext"/>
        <w:rPr>
          <w:u w:val="single"/>
        </w:rPr>
      </w:pPr>
      <w:r w:rsidRPr="003D03A5">
        <w:t xml:space="preserve">Inquiries about the licence and any use of this document should be emailed to </w:t>
      </w:r>
      <w:hyperlink r:id="rId20" w:history="1">
        <w:r w:rsidRPr="003D03A5">
          <w:rPr>
            <w:rStyle w:val="Hyperlink-White"/>
          </w:rPr>
          <w:t>copyright@dcceew.gov.au</w:t>
        </w:r>
      </w:hyperlink>
      <w:r w:rsidRPr="003D03A5">
        <w:rPr>
          <w:rStyle w:val="Hyperlink-White"/>
        </w:rPr>
        <w:t>.</w:t>
      </w:r>
    </w:p>
    <w:p w14:paraId="54616D7F" w14:textId="339FB0C6" w:rsidR="003D03A5" w:rsidRDefault="003D03A5" w:rsidP="003D03A5">
      <w:pPr>
        <w:pStyle w:val="Infotext"/>
        <w:spacing w:before="240" w:line="600" w:lineRule="exact"/>
        <w:rPr>
          <w:rStyle w:val="Strong"/>
        </w:rPr>
      </w:pPr>
      <w:r>
        <w:drawing>
          <wp:inline distT="0" distB="0" distL="0" distR="0" wp14:anchorId="5C0C1784" wp14:editId="1534E15A">
            <wp:extent cx="963986" cy="339634"/>
            <wp:effectExtent l="0" t="0" r="1270" b="3810"/>
            <wp:docPr id="3" name="Picture 1"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8511" cy="348275"/>
                    </a:xfrm>
                    <a:prstGeom prst="rect">
                      <a:avLst/>
                    </a:prstGeom>
                    <a:noFill/>
                    <a:ln w="9525">
                      <a:noFill/>
                      <a:miter lim="800000"/>
                      <a:headEnd/>
                      <a:tailEnd/>
                    </a:ln>
                  </pic:spPr>
                </pic:pic>
              </a:graphicData>
            </a:graphic>
          </wp:inline>
        </w:drawing>
      </w:r>
    </w:p>
    <w:p w14:paraId="6CE18BB6" w14:textId="77777777" w:rsidR="003D03A5" w:rsidRPr="003D03A5" w:rsidRDefault="003D03A5" w:rsidP="003D03A5">
      <w:pPr>
        <w:pStyle w:val="Infoheading"/>
      </w:pPr>
      <w:r w:rsidRPr="003D03A5">
        <w:t>Cataloguing data</w:t>
      </w:r>
    </w:p>
    <w:p w14:paraId="23B9BE94" w14:textId="69D63DCD" w:rsidR="003D03A5" w:rsidRPr="00B67DD9" w:rsidRDefault="003D03A5" w:rsidP="002B2491">
      <w:pPr>
        <w:pStyle w:val="Infotext"/>
        <w:rPr>
          <w:rFonts w:ascii="Times New Roman" w:eastAsia="Times New Roman" w:hAnsi="Times New Roman" w:cs="Times New Roman"/>
          <w:color w:val="auto"/>
          <w:sz w:val="24"/>
          <w:lang w:eastAsia="en-GB"/>
        </w:rPr>
      </w:pPr>
      <w:r w:rsidRPr="003D03A5">
        <w:t>This publication (and any material sourced from it) should be attributed as: Inspector-General of Water Compliance 202</w:t>
      </w:r>
      <w:r w:rsidR="00845A8A">
        <w:t>4</w:t>
      </w:r>
      <w:r w:rsidRPr="003D03A5">
        <w:t>, Inspector-</w:t>
      </w:r>
      <w:r w:rsidRPr="00B67DD9">
        <w:t>General of Water Compliance, Annual Work</w:t>
      </w:r>
      <w:r w:rsidR="00180E35" w:rsidRPr="00B67DD9">
        <w:t xml:space="preserve"> Plan </w:t>
      </w:r>
      <w:r w:rsidRPr="00B67DD9">
        <w:t>202</w:t>
      </w:r>
      <w:r w:rsidR="00845A8A">
        <w:t>4-25</w:t>
      </w:r>
      <w:r w:rsidRPr="00B67DD9">
        <w:t xml:space="preserve">, </w:t>
      </w:r>
      <w:r w:rsidR="002B2491" w:rsidRPr="00B67DD9">
        <w:t>the Australian Government</w:t>
      </w:r>
      <w:r w:rsidRPr="00B67DD9">
        <w:t>, Canberra, August. CC BY 4.0.</w:t>
      </w:r>
    </w:p>
    <w:p w14:paraId="27D105D0" w14:textId="219357F5" w:rsidR="003D03A5" w:rsidRPr="00B67DD9" w:rsidRDefault="003D03A5" w:rsidP="003D03A5">
      <w:pPr>
        <w:pStyle w:val="Infotext"/>
      </w:pPr>
      <w:r w:rsidRPr="00B67DD9">
        <w:t xml:space="preserve">This publication is available at </w:t>
      </w:r>
      <w:r w:rsidR="00ED5A42" w:rsidRPr="00ED5A42">
        <w:rPr>
          <w:rStyle w:val="Hyperlink-White"/>
        </w:rPr>
        <w:t>https://www.igwc.gov.au/publications/annual-work-plans</w:t>
      </w:r>
      <w:r w:rsidRPr="00B67DD9">
        <w:br/>
        <w:t>Inspector-General of Water Compliance</w:t>
      </w:r>
      <w:r w:rsidRPr="00B67DD9">
        <w:br/>
        <w:t>GPO Box 3090 Canberra ACT 2601</w:t>
      </w:r>
    </w:p>
    <w:p w14:paraId="18D8D26F" w14:textId="77777777" w:rsidR="003D03A5" w:rsidRPr="00B67DD9" w:rsidRDefault="003D03A5" w:rsidP="003D03A5">
      <w:pPr>
        <w:pStyle w:val="Infoheading"/>
      </w:pPr>
      <w:r w:rsidRPr="00B67DD9">
        <w:t>Disclaimer</w:t>
      </w:r>
    </w:p>
    <w:p w14:paraId="104D6FB4" w14:textId="7FC43C6B" w:rsidR="003D03A5" w:rsidRPr="00B67DD9" w:rsidRDefault="003D03A5" w:rsidP="003D03A5">
      <w:pPr>
        <w:pStyle w:val="Infotext"/>
      </w:pPr>
      <w:r w:rsidRPr="00B67DD9">
        <w:t>The Australian Government represented by the Inspector-General of Water Compliance, has exercised due care and skill in preparing and compiling the information and data in this publication. Notwithstanding, the Inspector-General of Water Compliance, the Australian Government’s employees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3C7A8CE" w14:textId="6A687D8D" w:rsidR="00D65559" w:rsidRPr="00B67DD9" w:rsidRDefault="00D65559" w:rsidP="00672667">
      <w:pPr>
        <w:pStyle w:val="Infoheading"/>
        <w:rPr>
          <w:rStyle w:val="Strong"/>
          <w:b w:val="0"/>
          <w:bCs/>
        </w:rPr>
      </w:pPr>
      <w:r w:rsidRPr="00B67DD9">
        <w:rPr>
          <w:rStyle w:val="Strong"/>
          <w:b w:val="0"/>
        </w:rPr>
        <w:t xml:space="preserve">Acknowledgement of </w:t>
      </w:r>
      <w:r w:rsidR="007D0A9D">
        <w:rPr>
          <w:rStyle w:val="Strong"/>
          <w:b w:val="0"/>
        </w:rPr>
        <w:t>all Traditional Owners</w:t>
      </w:r>
    </w:p>
    <w:p w14:paraId="4DA3D5A8" w14:textId="0A0759D4" w:rsidR="00D65559" w:rsidRDefault="00D65559" w:rsidP="00D65559">
      <w:pPr>
        <w:pStyle w:val="Infotext"/>
      </w:pPr>
      <w:r w:rsidRPr="00B67DD9">
        <w:t>The Author pays respect to the Traditional Owners and their Nations of the Murray−Darling Basin. We</w:t>
      </w:r>
      <w:r w:rsidR="004C2F8C" w:rsidRPr="00B67DD9">
        <w:t> </w:t>
      </w:r>
      <w:r w:rsidRPr="00B67DD9">
        <w:t>acknowledge their deep cultural, social, environmental, spiritual and economic connection to their</w:t>
      </w:r>
      <w:r w:rsidR="004C2F8C" w:rsidRPr="00B67DD9">
        <w:t> </w:t>
      </w:r>
      <w:r w:rsidRPr="00B67DD9">
        <w:t>lands and</w:t>
      </w:r>
      <w:r w:rsidR="000746B9" w:rsidRPr="00B67DD9">
        <w:t> </w:t>
      </w:r>
      <w:r w:rsidRPr="00B67DD9">
        <w:t>waters.</w:t>
      </w:r>
    </w:p>
    <w:p w14:paraId="0AA9FE81" w14:textId="46A69446" w:rsidR="00785506" w:rsidRPr="00B67DD9" w:rsidRDefault="00F45D49" w:rsidP="00D65559">
      <w:pPr>
        <w:pStyle w:val="Infotext"/>
      </w:pPr>
      <w:r>
        <w:t xml:space="preserve">The guidance and support received from the Murray Lower Darling Rivers Indigenous Nations, the Northern Basin </w:t>
      </w:r>
      <w:r w:rsidR="008354B8">
        <w:t>Aboriginal Nations and our many Traditional Owner friends and colleagues is very much valued and appreciated.</w:t>
      </w:r>
    </w:p>
    <w:p w14:paraId="354DFD3F" w14:textId="361E46E0" w:rsidR="00614D22" w:rsidRPr="00B67DD9" w:rsidRDefault="00D65559" w:rsidP="00D65559">
      <w:pPr>
        <w:pStyle w:val="Infotext"/>
      </w:pPr>
      <w:r w:rsidRPr="00B67DD9">
        <w:t>Aboriginal people should be aware that this publication may contain images, names or quotations of</w:t>
      </w:r>
      <w:r w:rsidR="004C2F8C" w:rsidRPr="00B67DD9">
        <w:t> </w:t>
      </w:r>
      <w:r w:rsidRPr="00B67DD9">
        <w:t>deceased persons.</w:t>
      </w:r>
    </w:p>
    <w:p w14:paraId="6D83C477" w14:textId="77777777" w:rsidR="003D03A5" w:rsidRPr="007C7339" w:rsidRDefault="003D03A5" w:rsidP="003D03A5">
      <w:pPr>
        <w:pStyle w:val="Infoheading"/>
        <w:rPr>
          <w:rStyle w:val="Strong"/>
          <w:b w:val="0"/>
          <w:bCs/>
        </w:rPr>
      </w:pPr>
      <w:r w:rsidRPr="00B67DD9">
        <w:rPr>
          <w:rStyle w:val="Strong"/>
          <w:b w:val="0"/>
        </w:rPr>
        <w:t>Accessibility</w:t>
      </w:r>
    </w:p>
    <w:p w14:paraId="4291C6C8" w14:textId="13F6105E" w:rsidR="003D03A5" w:rsidRDefault="003D03A5" w:rsidP="00D65559">
      <w:pPr>
        <w:pStyle w:val="Infotext"/>
      </w:pPr>
      <w:r w:rsidRPr="00C14389">
        <w:t>The document and information</w:t>
      </w:r>
      <w:r>
        <w:t xml:space="preserve"> is</w:t>
      </w:r>
      <w:r w:rsidRPr="00C14389">
        <w:t xml:space="preserve"> available in accessible formats. On some occasions the highly </w:t>
      </w:r>
      <w:r w:rsidRPr="00672667">
        <w:t>technical</w:t>
      </w:r>
      <w:r w:rsidRPr="00C14389">
        <w:t xml:space="preserve"> nature of the document means that we cannot make some sections fully accessible. If</w:t>
      </w:r>
      <w:r>
        <w:t> </w:t>
      </w:r>
      <w:r w:rsidRPr="00C14389">
        <w:t>you</w:t>
      </w:r>
      <w:r>
        <w:t> </w:t>
      </w:r>
      <w:r w:rsidRPr="00C14389">
        <w:t>encounter accessibility problems or the document is in a format that you cannot access, please</w:t>
      </w:r>
      <w:r>
        <w:t> </w:t>
      </w:r>
      <w:r w:rsidRPr="00C14389">
        <w:t>contact us</w:t>
      </w:r>
      <w:r w:rsidR="000F2098">
        <w:t>.</w:t>
      </w:r>
    </w:p>
    <w:p w14:paraId="5056C4CC" w14:textId="77777777" w:rsidR="00BC3590" w:rsidRDefault="00BC3590" w:rsidP="00D65559">
      <w:pPr>
        <w:pStyle w:val="Infotext"/>
      </w:pPr>
    </w:p>
    <w:p w14:paraId="277D7A20" w14:textId="77777777" w:rsidR="00554A6D" w:rsidRDefault="00554A6D" w:rsidP="00D65559">
      <w:pPr>
        <w:pStyle w:val="Infotext"/>
      </w:pPr>
    </w:p>
    <w:p w14:paraId="1388B4C0" w14:textId="1B9EC73C" w:rsidR="00913DD7" w:rsidRPr="00913DD7" w:rsidRDefault="00D65559" w:rsidP="00D65559">
      <w:pPr>
        <w:pStyle w:val="Infotext"/>
        <w:sectPr w:rsidR="00913DD7" w:rsidRPr="00913DD7" w:rsidSect="004C2F8C">
          <w:headerReference w:type="even" r:id="rId22"/>
          <w:headerReference w:type="default" r:id="rId23"/>
          <w:footerReference w:type="even" r:id="rId24"/>
          <w:footerReference w:type="default" r:id="rId25"/>
          <w:headerReference w:type="first" r:id="rId26"/>
          <w:footerReference w:type="first" r:id="rId27"/>
          <w:pgSz w:w="11918" w:h="16840"/>
          <w:pgMar w:top="964" w:right="964" w:bottom="1701" w:left="964" w:header="0" w:footer="0" w:gutter="0"/>
          <w:cols w:space="708"/>
          <w:vAlign w:val="bottom"/>
          <w:docGrid w:linePitch="360"/>
        </w:sectPr>
      </w:pPr>
      <w:r>
        <w:t xml:space="preserve"> </w:t>
      </w:r>
    </w:p>
    <w:p w14:paraId="32C50396" w14:textId="77777777" w:rsidR="00557B7A" w:rsidRDefault="00557B7A" w:rsidP="00C30186">
      <w:pPr>
        <w:pStyle w:val="Heading2"/>
        <w:rPr>
          <w:sz w:val="44"/>
          <w:szCs w:val="32"/>
        </w:rPr>
      </w:pPr>
    </w:p>
    <w:p w14:paraId="4BD75519" w14:textId="77777777" w:rsidR="00557B7A" w:rsidRDefault="00557B7A" w:rsidP="00557B7A"/>
    <w:p w14:paraId="596EAF53" w14:textId="77777777" w:rsidR="00557B7A" w:rsidRDefault="00557B7A" w:rsidP="00557B7A"/>
    <w:p w14:paraId="37130E43" w14:textId="77777777" w:rsidR="00557B7A" w:rsidRDefault="00557B7A" w:rsidP="00557B7A"/>
    <w:p w14:paraId="17A2BE3E" w14:textId="77777777" w:rsidR="00557B7A" w:rsidRDefault="00557B7A" w:rsidP="00557B7A"/>
    <w:p w14:paraId="2D9FFC1A" w14:textId="77777777" w:rsidR="00557B7A" w:rsidRDefault="00557B7A" w:rsidP="00557B7A"/>
    <w:p w14:paraId="60697E9A" w14:textId="77777777" w:rsidR="00557B7A" w:rsidRDefault="00557B7A" w:rsidP="00557B7A"/>
    <w:p w14:paraId="6819BFD2" w14:textId="77777777" w:rsidR="00557B7A" w:rsidRDefault="00557B7A" w:rsidP="00557B7A"/>
    <w:p w14:paraId="50EA1E1F" w14:textId="77777777" w:rsidR="00557B7A" w:rsidRDefault="00557B7A" w:rsidP="00557B7A"/>
    <w:p w14:paraId="4B1AE9AB" w14:textId="77777777" w:rsidR="00557B7A" w:rsidRDefault="00557B7A" w:rsidP="00557B7A"/>
    <w:p w14:paraId="5CDFC2AC" w14:textId="77777777" w:rsidR="00557B7A" w:rsidRDefault="00557B7A" w:rsidP="00557B7A"/>
    <w:p w14:paraId="14038333" w14:textId="77777777" w:rsidR="00557B7A" w:rsidRDefault="00557B7A" w:rsidP="00557B7A"/>
    <w:p w14:paraId="05696377" w14:textId="77777777" w:rsidR="00557B7A" w:rsidRDefault="00557B7A" w:rsidP="00557B7A"/>
    <w:p w14:paraId="68F18CAA" w14:textId="77777777" w:rsidR="00557B7A" w:rsidRDefault="00557B7A" w:rsidP="00557B7A"/>
    <w:p w14:paraId="1B52C758" w14:textId="77777777" w:rsidR="00557B7A" w:rsidRDefault="00557B7A" w:rsidP="00557B7A"/>
    <w:p w14:paraId="555A1A80" w14:textId="77777777" w:rsidR="00557B7A" w:rsidRDefault="00557B7A" w:rsidP="00557B7A"/>
    <w:p w14:paraId="24F177E2" w14:textId="77777777" w:rsidR="00557B7A" w:rsidRDefault="00557B7A" w:rsidP="00557B7A"/>
    <w:p w14:paraId="7899E6AB" w14:textId="77777777" w:rsidR="00557B7A" w:rsidRDefault="00557B7A" w:rsidP="00557B7A"/>
    <w:p w14:paraId="1E70AD4C" w14:textId="77777777" w:rsidR="00557B7A" w:rsidRDefault="00557B7A" w:rsidP="00557B7A"/>
    <w:p w14:paraId="317F15BD" w14:textId="77777777" w:rsidR="00557B7A" w:rsidRDefault="00557B7A" w:rsidP="00557B7A"/>
    <w:p w14:paraId="708F118A" w14:textId="77777777" w:rsidR="00557B7A" w:rsidRDefault="00557B7A" w:rsidP="00557B7A"/>
    <w:p w14:paraId="230B9B03" w14:textId="77777777" w:rsidR="00557B7A" w:rsidRDefault="00557B7A" w:rsidP="00557B7A"/>
    <w:p w14:paraId="1EC55A15" w14:textId="77777777" w:rsidR="00557B7A" w:rsidRDefault="00557B7A" w:rsidP="00557B7A"/>
    <w:p w14:paraId="4C547DA5" w14:textId="77777777" w:rsidR="00557B7A" w:rsidRDefault="00557B7A" w:rsidP="00557B7A"/>
    <w:p w14:paraId="1D00394E" w14:textId="77777777" w:rsidR="00557B7A" w:rsidRDefault="00557B7A" w:rsidP="00557B7A"/>
    <w:p w14:paraId="0A9F36D9" w14:textId="77777777" w:rsidR="00557B7A" w:rsidRDefault="00557B7A" w:rsidP="00557B7A"/>
    <w:p w14:paraId="5B3CD750" w14:textId="77777777" w:rsidR="00557B7A" w:rsidRDefault="00557B7A" w:rsidP="00557B7A"/>
    <w:p w14:paraId="19D21895" w14:textId="77777777" w:rsidR="00557B7A" w:rsidRDefault="00557B7A" w:rsidP="00557B7A"/>
    <w:p w14:paraId="775D2365" w14:textId="77777777" w:rsidR="00557B7A" w:rsidRDefault="00557B7A" w:rsidP="00557B7A"/>
    <w:p w14:paraId="3831A61C" w14:textId="77777777" w:rsidR="00557B7A" w:rsidRDefault="00557B7A" w:rsidP="00557B7A"/>
    <w:tbl>
      <w:tblPr>
        <w:tblStyle w:val="TableGrid"/>
        <w:tblW w:w="0" w:type="auto"/>
        <w:shd w:val="clear" w:color="auto" w:fill="FFFFFF" w:themeFill="background1"/>
        <w:tblLook w:val="04A0" w:firstRow="1" w:lastRow="0" w:firstColumn="1" w:lastColumn="0" w:noHBand="0" w:noVBand="1"/>
      </w:tblPr>
      <w:tblGrid>
        <w:gridCol w:w="3464"/>
        <w:gridCol w:w="3263"/>
        <w:gridCol w:w="3263"/>
      </w:tblGrid>
      <w:tr w:rsidR="00557B7A" w:rsidRPr="002136CD" w14:paraId="2C9D09A4" w14:textId="77777777" w:rsidTr="008D5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4" w:type="dxa"/>
            <w:shd w:val="clear" w:color="auto" w:fill="FFFFFF" w:themeFill="background1"/>
          </w:tcPr>
          <w:p w14:paraId="3559DE9C" w14:textId="77777777" w:rsidR="00557B7A" w:rsidRPr="002136CD" w:rsidRDefault="00557B7A" w:rsidP="008D546B">
            <w:pPr>
              <w:pStyle w:val="Infotext"/>
              <w:rPr>
                <w:b/>
                <w:bCs/>
                <w:color w:val="48555E" w:themeColor="accent1"/>
              </w:rPr>
            </w:pPr>
            <w:r w:rsidRPr="002136CD">
              <w:rPr>
                <w:b/>
                <w:bCs/>
                <w:color w:val="48555E" w:themeColor="accent1"/>
              </w:rPr>
              <w:t>Version</w:t>
            </w:r>
          </w:p>
        </w:tc>
        <w:tc>
          <w:tcPr>
            <w:tcW w:w="3263" w:type="dxa"/>
            <w:shd w:val="clear" w:color="auto" w:fill="FFFFFF" w:themeFill="background1"/>
          </w:tcPr>
          <w:p w14:paraId="53BDC9F5" w14:textId="77777777" w:rsidR="00557B7A" w:rsidRPr="002136CD" w:rsidRDefault="00557B7A" w:rsidP="008D546B">
            <w:pPr>
              <w:pStyle w:val="Infotext"/>
              <w:cnfStyle w:val="100000000000" w:firstRow="1" w:lastRow="0" w:firstColumn="0" w:lastColumn="0" w:oddVBand="0" w:evenVBand="0" w:oddHBand="0" w:evenHBand="0" w:firstRowFirstColumn="0" w:firstRowLastColumn="0" w:lastRowFirstColumn="0" w:lastRowLastColumn="0"/>
              <w:rPr>
                <w:b/>
                <w:bCs/>
                <w:color w:val="48555E" w:themeColor="accent1"/>
              </w:rPr>
            </w:pPr>
            <w:r w:rsidRPr="002136CD">
              <w:rPr>
                <w:b/>
                <w:bCs/>
                <w:color w:val="48555E" w:themeColor="accent1"/>
              </w:rPr>
              <w:t>Notes</w:t>
            </w:r>
          </w:p>
        </w:tc>
        <w:tc>
          <w:tcPr>
            <w:tcW w:w="3263" w:type="dxa"/>
            <w:shd w:val="clear" w:color="auto" w:fill="FFFFFF" w:themeFill="background1"/>
          </w:tcPr>
          <w:p w14:paraId="32F99A31" w14:textId="77777777" w:rsidR="00557B7A" w:rsidRPr="002136CD" w:rsidRDefault="00557B7A" w:rsidP="008D546B">
            <w:pPr>
              <w:pStyle w:val="Infotext"/>
              <w:cnfStyle w:val="100000000000" w:firstRow="1" w:lastRow="0" w:firstColumn="0" w:lastColumn="0" w:oddVBand="0" w:evenVBand="0" w:oddHBand="0" w:evenHBand="0" w:firstRowFirstColumn="0" w:firstRowLastColumn="0" w:lastRowFirstColumn="0" w:lastRowLastColumn="0"/>
              <w:rPr>
                <w:b/>
                <w:bCs/>
                <w:color w:val="48555E" w:themeColor="accent1"/>
              </w:rPr>
            </w:pPr>
            <w:r w:rsidRPr="002136CD">
              <w:rPr>
                <w:b/>
                <w:bCs/>
                <w:color w:val="48555E" w:themeColor="accent1"/>
              </w:rPr>
              <w:t>Date</w:t>
            </w:r>
          </w:p>
        </w:tc>
      </w:tr>
      <w:tr w:rsidR="00557B7A" w:rsidRPr="002136CD" w14:paraId="7071768B" w14:textId="77777777" w:rsidTr="008D546B">
        <w:tc>
          <w:tcPr>
            <w:cnfStyle w:val="001000000000" w:firstRow="0" w:lastRow="0" w:firstColumn="1" w:lastColumn="0" w:oddVBand="0" w:evenVBand="0" w:oddHBand="0" w:evenHBand="0" w:firstRowFirstColumn="0" w:firstRowLastColumn="0" w:lastRowFirstColumn="0" w:lastRowLastColumn="0"/>
            <w:tcW w:w="3464" w:type="dxa"/>
            <w:shd w:val="clear" w:color="auto" w:fill="FFFFFF" w:themeFill="background1"/>
          </w:tcPr>
          <w:p w14:paraId="1F87A921" w14:textId="77777777" w:rsidR="00557B7A" w:rsidRPr="002136CD" w:rsidRDefault="00557B7A" w:rsidP="008D546B">
            <w:pPr>
              <w:pStyle w:val="Infotext"/>
              <w:rPr>
                <w:color w:val="48555E" w:themeColor="accent1"/>
              </w:rPr>
            </w:pPr>
            <w:r w:rsidRPr="002136CD">
              <w:rPr>
                <w:color w:val="48555E" w:themeColor="accent1"/>
              </w:rPr>
              <w:t>Version 1</w:t>
            </w:r>
          </w:p>
        </w:tc>
        <w:tc>
          <w:tcPr>
            <w:tcW w:w="3263" w:type="dxa"/>
            <w:shd w:val="clear" w:color="auto" w:fill="FFFFFF" w:themeFill="background1"/>
          </w:tcPr>
          <w:p w14:paraId="32701495" w14:textId="77777777" w:rsidR="00557B7A" w:rsidRPr="002136CD" w:rsidRDefault="00557B7A" w:rsidP="008D546B">
            <w:pPr>
              <w:pStyle w:val="Infotext"/>
              <w:cnfStyle w:val="000000000000" w:firstRow="0" w:lastRow="0" w:firstColumn="0" w:lastColumn="0" w:oddVBand="0" w:evenVBand="0" w:oddHBand="0" w:evenHBand="0" w:firstRowFirstColumn="0" w:firstRowLastColumn="0" w:lastRowFirstColumn="0" w:lastRowLastColumn="0"/>
              <w:rPr>
                <w:color w:val="48555E" w:themeColor="accent1"/>
              </w:rPr>
            </w:pPr>
          </w:p>
        </w:tc>
        <w:tc>
          <w:tcPr>
            <w:tcW w:w="3263" w:type="dxa"/>
            <w:shd w:val="clear" w:color="auto" w:fill="FFFFFF" w:themeFill="background1"/>
          </w:tcPr>
          <w:p w14:paraId="10D25772" w14:textId="77777777" w:rsidR="00557B7A" w:rsidRPr="002136CD" w:rsidRDefault="00557B7A" w:rsidP="008D546B">
            <w:pPr>
              <w:pStyle w:val="Infotext"/>
              <w:cnfStyle w:val="000000000000" w:firstRow="0" w:lastRow="0" w:firstColumn="0" w:lastColumn="0" w:oddVBand="0" w:evenVBand="0" w:oddHBand="0" w:evenHBand="0" w:firstRowFirstColumn="0" w:firstRowLastColumn="0" w:lastRowFirstColumn="0" w:lastRowLastColumn="0"/>
              <w:rPr>
                <w:color w:val="48555E" w:themeColor="accent1"/>
              </w:rPr>
            </w:pPr>
            <w:r w:rsidRPr="002136CD">
              <w:rPr>
                <w:color w:val="48555E" w:themeColor="accent1"/>
              </w:rPr>
              <w:t>July 2024</w:t>
            </w:r>
          </w:p>
        </w:tc>
      </w:tr>
      <w:tr w:rsidR="00557B7A" w:rsidRPr="002136CD" w14:paraId="3B4F7C9C" w14:textId="77777777" w:rsidTr="008D546B">
        <w:tc>
          <w:tcPr>
            <w:cnfStyle w:val="001000000000" w:firstRow="0" w:lastRow="0" w:firstColumn="1" w:lastColumn="0" w:oddVBand="0" w:evenVBand="0" w:oddHBand="0" w:evenHBand="0" w:firstRowFirstColumn="0" w:firstRowLastColumn="0" w:lastRowFirstColumn="0" w:lastRowLastColumn="0"/>
            <w:tcW w:w="3464" w:type="dxa"/>
            <w:shd w:val="clear" w:color="auto" w:fill="FFFFFF" w:themeFill="background1"/>
          </w:tcPr>
          <w:p w14:paraId="4BDDB34C" w14:textId="77777777" w:rsidR="00557B7A" w:rsidRPr="002136CD" w:rsidRDefault="00557B7A" w:rsidP="008D546B">
            <w:pPr>
              <w:pStyle w:val="Infotext"/>
              <w:rPr>
                <w:color w:val="48555E" w:themeColor="accent1"/>
              </w:rPr>
            </w:pPr>
            <w:r w:rsidRPr="002136CD">
              <w:rPr>
                <w:color w:val="48555E" w:themeColor="accent1"/>
              </w:rPr>
              <w:t>Version 2</w:t>
            </w:r>
          </w:p>
        </w:tc>
        <w:tc>
          <w:tcPr>
            <w:tcW w:w="3263" w:type="dxa"/>
            <w:shd w:val="clear" w:color="auto" w:fill="FFFFFF" w:themeFill="background1"/>
          </w:tcPr>
          <w:p w14:paraId="13344DBE" w14:textId="77777777" w:rsidR="00557B7A" w:rsidRPr="002136CD" w:rsidRDefault="00557B7A" w:rsidP="008D546B">
            <w:pPr>
              <w:pStyle w:val="Infotext"/>
              <w:cnfStyle w:val="000000000000" w:firstRow="0" w:lastRow="0" w:firstColumn="0" w:lastColumn="0" w:oddVBand="0" w:evenVBand="0" w:oddHBand="0" w:evenHBand="0" w:firstRowFirstColumn="0" w:firstRowLastColumn="0" w:lastRowFirstColumn="0" w:lastRowLastColumn="0"/>
              <w:rPr>
                <w:color w:val="48555E" w:themeColor="accent1"/>
              </w:rPr>
            </w:pPr>
            <w:r w:rsidRPr="002136CD">
              <w:rPr>
                <w:color w:val="48555E" w:themeColor="accent1"/>
              </w:rPr>
              <w:t xml:space="preserve">Varied </w:t>
            </w:r>
          </w:p>
        </w:tc>
        <w:tc>
          <w:tcPr>
            <w:tcW w:w="3263" w:type="dxa"/>
            <w:shd w:val="clear" w:color="auto" w:fill="FFFFFF" w:themeFill="background1"/>
          </w:tcPr>
          <w:p w14:paraId="58973169" w14:textId="77777777" w:rsidR="00557B7A" w:rsidRPr="002136CD" w:rsidRDefault="00557B7A" w:rsidP="008D546B">
            <w:pPr>
              <w:pStyle w:val="Infotext"/>
              <w:cnfStyle w:val="000000000000" w:firstRow="0" w:lastRow="0" w:firstColumn="0" w:lastColumn="0" w:oddVBand="0" w:evenVBand="0" w:oddHBand="0" w:evenHBand="0" w:firstRowFirstColumn="0" w:firstRowLastColumn="0" w:lastRowFirstColumn="0" w:lastRowLastColumn="0"/>
              <w:rPr>
                <w:color w:val="48555E" w:themeColor="accent1"/>
              </w:rPr>
            </w:pPr>
            <w:r w:rsidRPr="002136CD">
              <w:rPr>
                <w:color w:val="48555E" w:themeColor="accent1"/>
              </w:rPr>
              <w:t>February 2025</w:t>
            </w:r>
          </w:p>
        </w:tc>
      </w:tr>
    </w:tbl>
    <w:p w14:paraId="5983EE4D" w14:textId="77777777" w:rsidR="00557B7A" w:rsidRPr="00557B7A" w:rsidRDefault="00557B7A" w:rsidP="00557B7A"/>
    <w:p w14:paraId="40FCC0B5" w14:textId="77777777" w:rsidR="00557B7A" w:rsidRDefault="00557B7A" w:rsidP="00557B7A"/>
    <w:p w14:paraId="4B883737" w14:textId="77777777" w:rsidR="00557B7A" w:rsidRPr="00557B7A" w:rsidRDefault="00557B7A" w:rsidP="00557B7A">
      <w:pPr>
        <w:sectPr w:rsidR="00557B7A" w:rsidRPr="00557B7A" w:rsidSect="00557B7A">
          <w:headerReference w:type="even" r:id="rId28"/>
          <w:headerReference w:type="default" r:id="rId29"/>
          <w:footerReference w:type="even" r:id="rId30"/>
          <w:footerReference w:type="default" r:id="rId31"/>
          <w:headerReference w:type="first" r:id="rId32"/>
          <w:footerReference w:type="first" r:id="rId33"/>
          <w:pgSz w:w="11918" w:h="16840"/>
          <w:pgMar w:top="964" w:right="964" w:bottom="1418" w:left="964" w:header="0" w:footer="0" w:gutter="0"/>
          <w:cols w:space="708"/>
          <w:docGrid w:linePitch="360"/>
        </w:sectPr>
      </w:pPr>
    </w:p>
    <w:p w14:paraId="5F7D8932" w14:textId="592D581E" w:rsidR="00210DA2" w:rsidRPr="00C30186" w:rsidRDefault="008D50FA" w:rsidP="00C30186">
      <w:pPr>
        <w:pStyle w:val="Heading2"/>
        <w:rPr>
          <w:sz w:val="44"/>
          <w:szCs w:val="32"/>
        </w:rPr>
      </w:pPr>
      <w:r w:rsidRPr="00B67DD9">
        <w:rPr>
          <w:sz w:val="44"/>
          <w:szCs w:val="32"/>
        </w:rPr>
        <w:lastRenderedPageBreak/>
        <w:t>Foreword by the Inspector-General</w:t>
      </w:r>
    </w:p>
    <w:p w14:paraId="71459249" w14:textId="6305F9A5" w:rsidR="00E27B21" w:rsidRDefault="00E27B21" w:rsidP="00E27B21">
      <w:pPr>
        <w:spacing w:line="240" w:lineRule="auto"/>
        <w:rPr>
          <w:noProof/>
        </w:rPr>
      </w:pPr>
      <w:r>
        <w:rPr>
          <w:noProof/>
        </w:rPr>
        <w:drawing>
          <wp:inline distT="0" distB="0" distL="0" distR="0" wp14:anchorId="77470A80" wp14:editId="7B6ACF5A">
            <wp:extent cx="1735403" cy="2169160"/>
            <wp:effectExtent l="0" t="0" r="0" b="2540"/>
            <wp:docPr id="621024323" name="Picture 2" descr="Troy Grant, Inspector-General of Water Compliance, person wearing glass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24323" name="Picture 2" descr="Troy Grant, Inspector-General of Water Compliance, person wearing glasses smil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5227" cy="2181440"/>
                    </a:xfrm>
                    <a:prstGeom prst="rect">
                      <a:avLst/>
                    </a:prstGeom>
                  </pic:spPr>
                </pic:pic>
              </a:graphicData>
            </a:graphic>
          </wp:inline>
        </w:drawing>
      </w:r>
    </w:p>
    <w:p w14:paraId="5530AAAA" w14:textId="1657A34E" w:rsidR="001A529F" w:rsidRPr="001A529F" w:rsidRDefault="001A529F" w:rsidP="001A529F">
      <w:pPr>
        <w:rPr>
          <w:noProof/>
        </w:rPr>
      </w:pPr>
      <w:r w:rsidRPr="001A529F">
        <w:rPr>
          <w:noProof/>
        </w:rPr>
        <w:t xml:space="preserve">When I’m on the ground engaging with people across the Basin as Inspector-General of Water Compliance (IGWC), one of the most common concerns about government and government agencies raised with me face-to-face by the community is, “you are listening, but none of you are hearing us!”  </w:t>
      </w:r>
    </w:p>
    <w:p w14:paraId="4710257B" w14:textId="556CFDF8" w:rsidR="001A529F" w:rsidRPr="001A529F" w:rsidRDefault="001A529F" w:rsidP="001A529F">
      <w:pPr>
        <w:rPr>
          <w:noProof/>
        </w:rPr>
      </w:pPr>
      <w:r w:rsidRPr="001A529F">
        <w:rPr>
          <w:noProof/>
        </w:rPr>
        <w:t xml:space="preserve">In the May 2024 Budget, the Australian Government announced an additional $28.6 million for the IGWC over four consecutive years’ operation.  This additional funding affords my office the ability to get on with critical work to support my powers as the independent Inspector-General across the Murray-Darling Basin. Of note, support from the Australian Government to ensure greater independence for the IGWC is captured in the findings and recommendations of the review of the Inspector-General of Water Compliance, completed by Mr Peter Harris AO. The government has agreed, or agreed in principle, to eight of the eleven recommendations, with a number of these recommendations implemented as part of the 2024-25 Budget. </w:t>
      </w:r>
    </w:p>
    <w:p w14:paraId="517AC4D6" w14:textId="77777777" w:rsidR="001A529F" w:rsidRPr="001A529F" w:rsidRDefault="001A529F" w:rsidP="001A529F">
      <w:pPr>
        <w:rPr>
          <w:noProof/>
        </w:rPr>
      </w:pPr>
      <w:r w:rsidRPr="001A529F">
        <w:rPr>
          <w:noProof/>
        </w:rPr>
        <w:t>This is not only a multi-million-dollar boost for my office’s compliance, oversight, and integrity work across the Basin, it is a clear message to Basin communities that their concerns and sentiment around issues that directly affect them are being listened and responded to.  We are listening and we heard you.</w:t>
      </w:r>
    </w:p>
    <w:p w14:paraId="5C08B9A4" w14:textId="77777777" w:rsidR="00E27B21" w:rsidRPr="001A529F" w:rsidRDefault="00E27B21" w:rsidP="00E27B21">
      <w:pPr>
        <w:rPr>
          <w:noProof/>
        </w:rPr>
      </w:pPr>
      <w:r w:rsidRPr="001A529F">
        <w:rPr>
          <w:noProof/>
        </w:rPr>
        <w:t xml:space="preserve">My annual work plan is developed based on my commitment to always act with integrity, accountability, and transparency.  This complements my use of the following powers to do my job: inquiry, audit, investigation, and enforcement. The 2024 Budget announcement of additional funding for the IGWC now means that my office is funded to exercise those powers.  </w:t>
      </w:r>
    </w:p>
    <w:p w14:paraId="5DDA143A" w14:textId="77777777" w:rsidR="00E27B21" w:rsidRDefault="00E27B21" w:rsidP="001A529F">
      <w:pPr>
        <w:rPr>
          <w:noProof/>
        </w:rPr>
      </w:pPr>
    </w:p>
    <w:p w14:paraId="4F9FDE54" w14:textId="17F8F115" w:rsidR="005D09D8" w:rsidRPr="005D09D8" w:rsidRDefault="005D09D8" w:rsidP="005D09D8">
      <w:pPr>
        <w:spacing w:line="240" w:lineRule="auto"/>
        <w:rPr>
          <w:noProof/>
        </w:rPr>
      </w:pPr>
      <w:r w:rsidRPr="005D09D8">
        <w:rPr>
          <w:noProof/>
        </w:rPr>
        <w:drawing>
          <wp:inline distT="0" distB="0" distL="0" distR="0" wp14:anchorId="30307FB4" wp14:editId="6E01C520">
            <wp:extent cx="2947035" cy="6483985"/>
            <wp:effectExtent l="0" t="0" r="5715" b="0"/>
            <wp:docPr id="1656272838" name="Picture 5" descr="Text identifying the three values of the Inspector-General of Water Compliance: integrity, accountability and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72838" name="Picture 5" descr="Text identifying the three values of the Inspector-General of Water Compliance: integrity, accountability and transparenc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7035" cy="6483985"/>
                    </a:xfrm>
                    <a:prstGeom prst="rect">
                      <a:avLst/>
                    </a:prstGeom>
                    <a:noFill/>
                    <a:ln>
                      <a:noFill/>
                    </a:ln>
                  </pic:spPr>
                </pic:pic>
              </a:graphicData>
            </a:graphic>
          </wp:inline>
        </w:drawing>
      </w:r>
    </w:p>
    <w:p w14:paraId="6507CE87" w14:textId="653FCC64" w:rsidR="00E27B21" w:rsidRDefault="00E27B21" w:rsidP="00E27B21">
      <w:pPr>
        <w:spacing w:line="240" w:lineRule="auto"/>
        <w:rPr>
          <w:noProof/>
        </w:rPr>
      </w:pPr>
    </w:p>
    <w:p w14:paraId="71F8D9D5" w14:textId="6519E9F1" w:rsidR="001A529F" w:rsidRPr="001A529F" w:rsidRDefault="001A529F" w:rsidP="001A529F">
      <w:pPr>
        <w:rPr>
          <w:noProof/>
        </w:rPr>
      </w:pPr>
      <w:r w:rsidRPr="001A529F">
        <w:rPr>
          <w:noProof/>
        </w:rPr>
        <w:t>The work my office undertakes has grown in demand. The more light we shine on areas of integrity or areas of improvement across the Basin, the more work comes our way. For me, this is both a positive and a concern.  Previously my inquiry capability was unfunded.  New funding means this power is now very much an accountability tool that can be applied.  Basin communities can be assured that a funded IGWC inquiry capability will support me to gather an evidence base, call out serious matters and fully use my powers, where and when required.</w:t>
      </w:r>
    </w:p>
    <w:p w14:paraId="72C9B7E3" w14:textId="3CD466F6" w:rsidR="001A529F" w:rsidRDefault="001A529F" w:rsidP="001A529F">
      <w:pPr>
        <w:rPr>
          <w:noProof/>
        </w:rPr>
      </w:pPr>
      <w:r w:rsidRPr="001A529F">
        <w:rPr>
          <w:noProof/>
        </w:rPr>
        <w:t xml:space="preserve">As you go through the work plan, you will see the influences and considerations that went into developing this body of work.  From amendments made to the </w:t>
      </w:r>
      <w:r w:rsidRPr="001A529F">
        <w:rPr>
          <w:noProof/>
        </w:rPr>
        <w:lastRenderedPageBreak/>
        <w:t>Water Act and the Basin Plan through the Water Amendment (Restoring Our Rivers) Bill 2023; the review of the Murray-Darling Basin Plan undertaken by the Productivity Commission; the Australian National Audit Office’s (ANAO) draft 2024-25 Annual Audit Work Program; through to the ability to now deliver unfunded projects and work, thanks to a $28.6 million budget injection. And critically, the communities voice.</w:t>
      </w:r>
    </w:p>
    <w:p w14:paraId="3FA074E1" w14:textId="6B7F0DB1" w:rsidR="001A529F" w:rsidRPr="001A529F" w:rsidRDefault="00823C26" w:rsidP="001A529F">
      <w:pPr>
        <w:rPr>
          <w:noProof/>
        </w:rPr>
      </w:pPr>
      <w:r>
        <w:rPr>
          <w:noProof/>
        </w:rPr>
        <w:br w:type="column"/>
      </w:r>
      <w:r w:rsidR="001A529F" w:rsidRPr="001A529F">
        <w:rPr>
          <w:noProof/>
        </w:rPr>
        <w:t>I thank the office supporting me for their efforts to develop and execute this plan over the coming year.  I take great delight in being able to provide to you the Inspector-General of Water Compliance Annual Work Plan 2024-25.</w:t>
      </w:r>
    </w:p>
    <w:p w14:paraId="70557DA5" w14:textId="1A02A116" w:rsidR="00954EBF" w:rsidRPr="008C56BB" w:rsidRDefault="008C56BB" w:rsidP="00954EBF">
      <w:pPr>
        <w:rPr>
          <w:b/>
          <w:bCs/>
          <w:noProof/>
        </w:rPr>
      </w:pPr>
      <w:r w:rsidRPr="008C56BB">
        <w:rPr>
          <w:b/>
          <w:bCs/>
          <w:noProof/>
        </w:rPr>
        <w:t>The Hon. Troy Grant</w:t>
      </w:r>
    </w:p>
    <w:p w14:paraId="4F143278" w14:textId="173F6D14" w:rsidR="008C56BB" w:rsidRDefault="008C56BB" w:rsidP="00954EBF">
      <w:pPr>
        <w:rPr>
          <w:noProof/>
        </w:rPr>
      </w:pPr>
      <w:r>
        <w:rPr>
          <w:noProof/>
        </w:rPr>
        <w:t>Inspector-General of Water Compliance</w:t>
      </w:r>
    </w:p>
    <w:p w14:paraId="0FF5848A" w14:textId="77777777" w:rsidR="00823C26" w:rsidRDefault="00823C26" w:rsidP="00954EBF">
      <w:pPr>
        <w:rPr>
          <w:noProof/>
        </w:rPr>
      </w:pPr>
    </w:p>
    <w:p w14:paraId="182792CB" w14:textId="77777777" w:rsidR="00846250" w:rsidRDefault="00846250" w:rsidP="00954EBF">
      <w:pPr>
        <w:rPr>
          <w:noProof/>
        </w:rPr>
      </w:pPr>
    </w:p>
    <w:p w14:paraId="5811B464" w14:textId="1BCC8048" w:rsidR="00846250" w:rsidRDefault="00846250" w:rsidP="00954EBF">
      <w:pPr>
        <w:rPr>
          <w:noProof/>
        </w:rPr>
        <w:sectPr w:rsidR="00846250" w:rsidSect="0088062E">
          <w:pgSz w:w="11918" w:h="16840"/>
          <w:pgMar w:top="964" w:right="964" w:bottom="1418" w:left="964" w:header="0" w:footer="0" w:gutter="0"/>
          <w:cols w:num="2" w:space="708"/>
          <w:docGrid w:linePitch="360"/>
        </w:sectPr>
      </w:pPr>
    </w:p>
    <w:p w14:paraId="15CE7528" w14:textId="79DE3666" w:rsidR="005E2430" w:rsidRPr="000C34B3" w:rsidRDefault="00823C26" w:rsidP="00DD225F">
      <w:pPr>
        <w:pStyle w:val="Heading1"/>
        <w:spacing w:line="240" w:lineRule="auto"/>
      </w:pPr>
      <w:r>
        <w:rPr>
          <w:noProof/>
        </w:rPr>
        <w:drawing>
          <wp:inline distT="0" distB="0" distL="0" distR="0" wp14:anchorId="5CD9F21F" wp14:editId="149C5840">
            <wp:extent cx="6286500" cy="4190999"/>
            <wp:effectExtent l="0" t="0" r="0" b="635"/>
            <wp:docPr id="379211107" name="Picture 1" descr="Troy Grant, Inspector-General of Water Compliance, sites on a bench in front of a body of wa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11107" name="Picture 1" descr="Troy Grant, Inspector-General of Water Compliance, sites on a bench in front of a body of water.">
                      <a:extLst>
                        <a:ext uri="{C183D7F6-B498-43B3-948B-1728B52AA6E4}">
                          <adec:decorative xmlns:adec="http://schemas.microsoft.com/office/drawing/2017/decorative" val="0"/>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29232" cy="4219487"/>
                    </a:xfrm>
                    <a:prstGeom prst="rect">
                      <a:avLst/>
                    </a:prstGeom>
                  </pic:spPr>
                </pic:pic>
              </a:graphicData>
            </a:graphic>
          </wp:inline>
        </w:drawing>
      </w:r>
      <w:r w:rsidR="0088062E">
        <w:br w:type="column"/>
      </w:r>
      <w:r w:rsidR="005E2430">
        <w:lastRenderedPageBreak/>
        <w:t xml:space="preserve">The </w:t>
      </w:r>
      <w:r w:rsidR="005E2430" w:rsidRPr="00C24432">
        <w:t>Work</w:t>
      </w:r>
      <w:r w:rsidR="00180E35">
        <w:t xml:space="preserve"> P</w:t>
      </w:r>
      <w:r w:rsidR="00180E35" w:rsidRPr="00C24432">
        <w:t>lan</w:t>
      </w:r>
    </w:p>
    <w:p w14:paraId="380F149C" w14:textId="77777777" w:rsidR="009D44D3" w:rsidRDefault="009D44D3" w:rsidP="005E2430">
      <w:pPr>
        <w:pStyle w:val="Heading2"/>
        <w:spacing w:before="120" w:after="0" w:line="257" w:lineRule="auto"/>
        <w:rPr>
          <w:rFonts w:ascii="Roc Grotesk" w:eastAsiaTheme="minorHAnsi" w:hAnsi="Roc Grotesk" w:cstheme="minorBidi"/>
          <w:color w:val="48555E" w:themeColor="text1"/>
          <w:sz w:val="20"/>
          <w:szCs w:val="24"/>
        </w:rPr>
        <w:sectPr w:rsidR="009D44D3" w:rsidSect="0088062E">
          <w:type w:val="continuous"/>
          <w:pgSz w:w="11918" w:h="16840"/>
          <w:pgMar w:top="964" w:right="964" w:bottom="1418" w:left="964" w:header="0" w:footer="0" w:gutter="0"/>
          <w:cols w:space="708"/>
          <w:docGrid w:linePitch="360"/>
        </w:sectPr>
      </w:pPr>
    </w:p>
    <w:p w14:paraId="40596108" w14:textId="77777777" w:rsidR="00402EE4" w:rsidRPr="006F01F5" w:rsidRDefault="00402EE4" w:rsidP="00F321F7">
      <w:pPr>
        <w:pStyle w:val="Heading2"/>
        <w:spacing w:before="120" w:after="120" w:line="257" w:lineRule="auto"/>
        <w:rPr>
          <w:rFonts w:ascii="Roc Grotesk" w:eastAsiaTheme="minorEastAsia" w:hAnsi="Roc Grotesk" w:cstheme="minorBidi"/>
          <w:color w:val="48555E" w:themeColor="text1"/>
          <w:sz w:val="20"/>
          <w:szCs w:val="20"/>
        </w:rPr>
      </w:pPr>
      <w:r w:rsidRPr="1CAFF112">
        <w:rPr>
          <w:rFonts w:ascii="Roc Grotesk" w:eastAsiaTheme="minorEastAsia" w:hAnsi="Roc Grotesk" w:cstheme="minorBidi"/>
          <w:color w:val="48555E" w:themeColor="accent1"/>
          <w:sz w:val="20"/>
          <w:szCs w:val="20"/>
        </w:rPr>
        <w:t>As an independent integrity agency and regulator, the Inspector-General has discretion in performing oversight, compliance, and enforcement functions. At any time, the Inspector-General may use their powers and choose to change the priorities beyond those published in the work</w:t>
      </w:r>
      <w:r>
        <w:rPr>
          <w:rFonts w:ascii="Roc Grotesk" w:eastAsiaTheme="minorEastAsia" w:hAnsi="Roc Grotesk" w:cstheme="minorBidi"/>
          <w:color w:val="48555E" w:themeColor="accent1"/>
          <w:sz w:val="20"/>
          <w:szCs w:val="20"/>
        </w:rPr>
        <w:t xml:space="preserve"> </w:t>
      </w:r>
      <w:r w:rsidRPr="1CAFF112">
        <w:rPr>
          <w:rFonts w:ascii="Roc Grotesk" w:eastAsiaTheme="minorEastAsia" w:hAnsi="Roc Grotesk" w:cstheme="minorBidi"/>
          <w:color w:val="48555E" w:themeColor="accent1"/>
          <w:sz w:val="20"/>
          <w:szCs w:val="20"/>
        </w:rPr>
        <w:t xml:space="preserve">plan. </w:t>
      </w:r>
    </w:p>
    <w:p w14:paraId="3FEC3690" w14:textId="77777777" w:rsidR="00402EE4" w:rsidRPr="00813392" w:rsidRDefault="00402EE4" w:rsidP="00402EE4">
      <w:r>
        <w:t xml:space="preserve">This work plan fulfils the statutory obligation of the </w:t>
      </w:r>
      <w:r w:rsidRPr="00813392">
        <w:rPr>
          <w:i/>
          <w:iCs/>
        </w:rPr>
        <w:t xml:space="preserve">Water Act 2007 (Cth) </w:t>
      </w:r>
      <w:r w:rsidRPr="00813392">
        <w:t xml:space="preserve">(the Water Act) </w:t>
      </w:r>
      <w:r w:rsidRPr="00E326FF">
        <w:t>section 215E</w:t>
      </w:r>
      <w:r>
        <w:t>.</w:t>
      </w:r>
    </w:p>
    <w:p w14:paraId="2C713A80" w14:textId="105CC44C" w:rsidR="005E2430" w:rsidRPr="006F01F5" w:rsidRDefault="005E2430" w:rsidP="005E2430">
      <w:pPr>
        <w:pStyle w:val="Heading2"/>
        <w:spacing w:before="120" w:after="0" w:line="257" w:lineRule="auto"/>
        <w:rPr>
          <w:rFonts w:ascii="Roc Grotesk" w:eastAsiaTheme="minorHAnsi" w:hAnsi="Roc Grotesk" w:cstheme="minorBidi"/>
          <w:color w:val="48555E" w:themeColor="text1"/>
          <w:sz w:val="20"/>
          <w:szCs w:val="24"/>
        </w:rPr>
      </w:pPr>
    </w:p>
    <w:p w14:paraId="0EDE1878" w14:textId="718D9209" w:rsidR="005E2430" w:rsidRDefault="005E2430" w:rsidP="00503A9D">
      <w:pPr>
        <w:pStyle w:val="Heading2"/>
        <w:spacing w:before="240"/>
      </w:pPr>
      <w:r w:rsidRPr="007A59B4">
        <w:t>Develo</w:t>
      </w:r>
      <w:r>
        <w:t>ping the 202</w:t>
      </w:r>
      <w:r w:rsidR="00402EE4">
        <w:t>4</w:t>
      </w:r>
      <w:r>
        <w:t>-2</w:t>
      </w:r>
      <w:r w:rsidR="00402EE4">
        <w:t>5</w:t>
      </w:r>
      <w:r>
        <w:t xml:space="preserve"> Work</w:t>
      </w:r>
      <w:r w:rsidR="00866937">
        <w:t xml:space="preserve"> Plan</w:t>
      </w:r>
    </w:p>
    <w:p w14:paraId="31E00B83" w14:textId="606A63B4" w:rsidR="006B6DB2" w:rsidRDefault="006B6DB2" w:rsidP="006B6DB2">
      <w:pPr>
        <w:pStyle w:val="Heading2"/>
        <w:spacing w:before="120" w:after="120" w:line="257" w:lineRule="auto"/>
        <w:rPr>
          <w:rFonts w:ascii="Roc Grotesk" w:eastAsiaTheme="minorEastAsia" w:hAnsi="Roc Grotesk" w:cstheme="minorBidi"/>
          <w:color w:val="48555E" w:themeColor="text1"/>
          <w:sz w:val="20"/>
          <w:szCs w:val="20"/>
        </w:rPr>
      </w:pPr>
      <w:r w:rsidRPr="78B23D4E">
        <w:rPr>
          <w:rFonts w:ascii="Roc Grotesk" w:eastAsiaTheme="minorEastAsia" w:hAnsi="Roc Grotesk" w:cstheme="minorBidi"/>
          <w:color w:val="48545D"/>
          <w:sz w:val="20"/>
          <w:szCs w:val="20"/>
        </w:rPr>
        <w:t xml:space="preserve">The work plan is designed to work towards strategic outcomes by responding to current and emerging risks and challenges affecting water management and compliance in the Murray-Darling Basin (the Basin). A range of factors are considered to set the work program, including: </w:t>
      </w:r>
    </w:p>
    <w:p w14:paraId="7B265CAE" w14:textId="77777777" w:rsidR="006B6DB2" w:rsidRPr="009B2319" w:rsidRDefault="006B6DB2" w:rsidP="001B460E">
      <w:pPr>
        <w:pStyle w:val="ListParagraph"/>
        <w:numPr>
          <w:ilvl w:val="0"/>
          <w:numId w:val="3"/>
        </w:numPr>
        <w:spacing w:after="120" w:line="240" w:lineRule="auto"/>
        <w:ind w:left="329" w:hanging="284"/>
        <w:rPr>
          <w:rFonts w:ascii="Roc Grotesk" w:hAnsi="Roc Grotesk"/>
          <w:color w:val="44545C"/>
          <w:sz w:val="20"/>
          <w:szCs w:val="20"/>
        </w:rPr>
      </w:pPr>
      <w:r w:rsidRPr="009B2319">
        <w:rPr>
          <w:rFonts w:ascii="Roc Grotesk" w:hAnsi="Roc Grotesk"/>
          <w:color w:val="44545C"/>
          <w:sz w:val="20"/>
          <w:szCs w:val="20"/>
        </w:rPr>
        <w:t>the Inspector-General’s Strategic Plan 2023-26</w:t>
      </w:r>
    </w:p>
    <w:p w14:paraId="09BE72FB" w14:textId="77777777" w:rsidR="006B6DB2" w:rsidRPr="009B2319" w:rsidRDefault="006B6DB2" w:rsidP="001B460E">
      <w:pPr>
        <w:pStyle w:val="ListParagraph"/>
        <w:numPr>
          <w:ilvl w:val="0"/>
          <w:numId w:val="3"/>
        </w:numPr>
        <w:spacing w:after="120" w:line="240" w:lineRule="auto"/>
        <w:ind w:left="329" w:hanging="284"/>
        <w:rPr>
          <w:rFonts w:ascii="Roc Grotesk" w:hAnsi="Roc Grotesk"/>
          <w:color w:val="44545C"/>
          <w:sz w:val="20"/>
          <w:szCs w:val="20"/>
        </w:rPr>
      </w:pPr>
      <w:r w:rsidRPr="009B2319">
        <w:rPr>
          <w:rFonts w:ascii="Roc Grotesk" w:hAnsi="Roc Grotesk"/>
          <w:color w:val="44545C"/>
          <w:sz w:val="20"/>
          <w:szCs w:val="20"/>
        </w:rPr>
        <w:t>macro trends affecting water management and compliance</w:t>
      </w:r>
    </w:p>
    <w:p w14:paraId="6A4DACB8" w14:textId="77777777" w:rsidR="006B6DB2" w:rsidRPr="009B2319" w:rsidRDefault="006B6DB2" w:rsidP="001B460E">
      <w:pPr>
        <w:pStyle w:val="ListParagraph"/>
        <w:numPr>
          <w:ilvl w:val="0"/>
          <w:numId w:val="3"/>
        </w:numPr>
        <w:spacing w:after="120" w:line="240" w:lineRule="auto"/>
        <w:ind w:left="329" w:hanging="284"/>
        <w:rPr>
          <w:rFonts w:ascii="Roc Grotesk" w:hAnsi="Roc Grotesk"/>
          <w:color w:val="44545C"/>
          <w:sz w:val="20"/>
          <w:szCs w:val="20"/>
        </w:rPr>
      </w:pPr>
      <w:r w:rsidRPr="009B2319">
        <w:rPr>
          <w:rFonts w:ascii="Roc Grotesk" w:hAnsi="Roc Grotesk"/>
          <w:color w:val="44545C"/>
          <w:sz w:val="20"/>
          <w:szCs w:val="20"/>
        </w:rPr>
        <w:t xml:space="preserve">what community groups and stakeholders have told the Inspector-General and their office </w:t>
      </w:r>
    </w:p>
    <w:p w14:paraId="40E80F1F" w14:textId="77777777" w:rsidR="006B6DB2" w:rsidRPr="009B2319" w:rsidRDefault="006B6DB2" w:rsidP="001B460E">
      <w:pPr>
        <w:pStyle w:val="ListParagraph"/>
        <w:numPr>
          <w:ilvl w:val="0"/>
          <w:numId w:val="3"/>
        </w:numPr>
        <w:spacing w:after="120" w:line="240" w:lineRule="auto"/>
        <w:ind w:left="329" w:hanging="284"/>
        <w:rPr>
          <w:rFonts w:ascii="Roc Grotesk" w:hAnsi="Roc Grotesk"/>
          <w:color w:val="44545C"/>
          <w:sz w:val="20"/>
          <w:szCs w:val="20"/>
        </w:rPr>
      </w:pPr>
      <w:r w:rsidRPr="009B2319">
        <w:rPr>
          <w:rFonts w:ascii="Roc Grotesk" w:hAnsi="Roc Grotesk"/>
          <w:color w:val="44545C"/>
          <w:sz w:val="20"/>
          <w:szCs w:val="20"/>
        </w:rPr>
        <w:t>analysis of the obligations, functions, powers and commitments within the Water Act, the Basin Plan 2012 (the Basin Plan), Water Resource Plans (WRPs), and intergovernmental agreements</w:t>
      </w:r>
    </w:p>
    <w:p w14:paraId="2198F0E7" w14:textId="77777777" w:rsidR="006B6DB2" w:rsidRPr="009B2319" w:rsidRDefault="006B6DB2" w:rsidP="001B460E">
      <w:pPr>
        <w:pStyle w:val="ListParagraph"/>
        <w:numPr>
          <w:ilvl w:val="0"/>
          <w:numId w:val="3"/>
        </w:numPr>
        <w:spacing w:after="120" w:line="240" w:lineRule="auto"/>
        <w:ind w:left="329" w:hanging="284"/>
        <w:rPr>
          <w:rFonts w:ascii="Roc Grotesk" w:hAnsi="Roc Grotesk"/>
          <w:color w:val="44545C"/>
          <w:sz w:val="20"/>
          <w:szCs w:val="20"/>
        </w:rPr>
      </w:pPr>
      <w:r w:rsidRPr="009B2319">
        <w:rPr>
          <w:rFonts w:ascii="Roc Grotesk" w:hAnsi="Roc Grotesk"/>
          <w:color w:val="44545C"/>
          <w:sz w:val="20"/>
          <w:szCs w:val="20"/>
        </w:rPr>
        <w:t>risk assessments</w:t>
      </w:r>
    </w:p>
    <w:p w14:paraId="035EA331" w14:textId="77777777" w:rsidR="006B6DB2" w:rsidRPr="009B2319" w:rsidRDefault="006B6DB2" w:rsidP="001B460E">
      <w:pPr>
        <w:pStyle w:val="ListParagraph"/>
        <w:numPr>
          <w:ilvl w:val="0"/>
          <w:numId w:val="3"/>
        </w:numPr>
        <w:spacing w:after="120" w:line="240" w:lineRule="auto"/>
        <w:ind w:left="329" w:hanging="284"/>
        <w:rPr>
          <w:rFonts w:ascii="Roc Grotesk" w:hAnsi="Roc Grotesk"/>
          <w:color w:val="44545C"/>
          <w:sz w:val="20"/>
          <w:szCs w:val="20"/>
        </w:rPr>
      </w:pPr>
      <w:r w:rsidRPr="009B2319">
        <w:rPr>
          <w:rFonts w:ascii="Roc Grotesk" w:hAnsi="Roc Grotesk"/>
          <w:color w:val="44545C"/>
          <w:sz w:val="20"/>
          <w:szCs w:val="20"/>
        </w:rPr>
        <w:t>analysis of data and information demonstrating the level of compliance with</w:t>
      </w:r>
      <w:r w:rsidRPr="009B2319" w:rsidDel="00891A95">
        <w:rPr>
          <w:rFonts w:ascii="Roc Grotesk" w:hAnsi="Roc Grotesk"/>
          <w:color w:val="44545C"/>
          <w:sz w:val="20"/>
          <w:szCs w:val="20"/>
        </w:rPr>
        <w:t xml:space="preserve"> </w:t>
      </w:r>
      <w:r w:rsidRPr="009B2319">
        <w:rPr>
          <w:rFonts w:ascii="Roc Grotesk" w:hAnsi="Roc Grotesk"/>
          <w:color w:val="44545C"/>
          <w:sz w:val="20"/>
          <w:szCs w:val="20"/>
        </w:rPr>
        <w:t xml:space="preserve">the Basin Plan and water management arrangements in each state and territory </w:t>
      </w:r>
    </w:p>
    <w:p w14:paraId="60A73709" w14:textId="77777777" w:rsidR="006B6DB2" w:rsidRPr="009B2319" w:rsidRDefault="006B6DB2" w:rsidP="001B460E">
      <w:pPr>
        <w:pStyle w:val="ListParagraph"/>
        <w:numPr>
          <w:ilvl w:val="0"/>
          <w:numId w:val="3"/>
        </w:numPr>
        <w:spacing w:after="120" w:line="240" w:lineRule="auto"/>
        <w:ind w:left="329" w:hanging="284"/>
        <w:rPr>
          <w:rFonts w:ascii="Roc Grotesk" w:hAnsi="Roc Grotesk"/>
          <w:color w:val="44545C"/>
          <w:sz w:val="20"/>
          <w:szCs w:val="20"/>
        </w:rPr>
      </w:pPr>
      <w:r w:rsidRPr="009B2319">
        <w:rPr>
          <w:rFonts w:ascii="Roc Grotesk" w:hAnsi="Roc Grotesk"/>
          <w:color w:val="44545C"/>
          <w:sz w:val="20"/>
          <w:szCs w:val="20"/>
        </w:rPr>
        <w:t xml:space="preserve">monitoring and oversight of governments meeting their commitments to the public and each other </w:t>
      </w:r>
    </w:p>
    <w:p w14:paraId="09F742DE" w14:textId="77777777" w:rsidR="006B6DB2" w:rsidRPr="009B2319" w:rsidRDefault="006B6DB2" w:rsidP="001B460E">
      <w:pPr>
        <w:pStyle w:val="ListParagraph"/>
        <w:numPr>
          <w:ilvl w:val="0"/>
          <w:numId w:val="3"/>
        </w:numPr>
        <w:spacing w:after="120" w:line="240" w:lineRule="auto"/>
        <w:ind w:left="329" w:hanging="284"/>
        <w:rPr>
          <w:rFonts w:ascii="Roc Grotesk" w:hAnsi="Roc Grotesk"/>
          <w:color w:val="44545C"/>
          <w:sz w:val="20"/>
          <w:szCs w:val="20"/>
        </w:rPr>
      </w:pPr>
      <w:r w:rsidRPr="009B2319">
        <w:rPr>
          <w:rFonts w:ascii="Roc Grotesk" w:hAnsi="Roc Grotesk"/>
          <w:color w:val="44545C"/>
          <w:sz w:val="20"/>
          <w:szCs w:val="20"/>
        </w:rPr>
        <w:t xml:space="preserve">projects and activities currently underway within the Inspector-General </w:t>
      </w:r>
    </w:p>
    <w:p w14:paraId="0F082FAF" w14:textId="77777777" w:rsidR="00F16F15" w:rsidRPr="00F16F15" w:rsidRDefault="006B6DB2" w:rsidP="001B460E">
      <w:pPr>
        <w:pStyle w:val="ListParagraph"/>
        <w:numPr>
          <w:ilvl w:val="0"/>
          <w:numId w:val="3"/>
        </w:numPr>
        <w:spacing w:after="120" w:line="240" w:lineRule="auto"/>
        <w:ind w:left="284" w:hanging="284"/>
        <w:rPr>
          <w:rFonts w:ascii="Roc Grotesk" w:hAnsi="Roc Grotesk"/>
        </w:rPr>
      </w:pPr>
      <w:r w:rsidRPr="001522B4">
        <w:rPr>
          <w:rFonts w:ascii="Roc Grotesk" w:hAnsi="Roc Grotesk"/>
          <w:color w:val="44545C"/>
          <w:sz w:val="20"/>
          <w:szCs w:val="20"/>
        </w:rPr>
        <w:t>the current state of water reforms and potential future scenarios and likely challenges.</w:t>
      </w:r>
    </w:p>
    <w:p w14:paraId="5F1A5774" w14:textId="3FDFFD60" w:rsidR="003A54AC" w:rsidRPr="001522B4" w:rsidRDefault="006B6DB2" w:rsidP="00F321F7">
      <w:pPr>
        <w:pStyle w:val="ListParagraph"/>
        <w:numPr>
          <w:ilvl w:val="0"/>
          <w:numId w:val="0"/>
        </w:numPr>
        <w:spacing w:before="240" w:after="240" w:line="240" w:lineRule="auto"/>
        <w:rPr>
          <w:rFonts w:ascii="Roc Grotesk" w:hAnsi="Roc Grotesk"/>
        </w:rPr>
      </w:pPr>
      <w:r w:rsidRPr="001522B4">
        <w:rPr>
          <w:rFonts w:ascii="Roc Grotesk" w:hAnsi="Roc Grotesk"/>
          <w:color w:val="44545C"/>
          <w:sz w:val="20"/>
          <w:szCs w:val="20"/>
        </w:rPr>
        <w:t xml:space="preserve"> </w:t>
      </w:r>
      <w:r w:rsidR="001522B4" w:rsidRPr="001522B4">
        <w:rPr>
          <w:rFonts w:ascii="Roc Grotesk" w:hAnsi="Roc Grotesk"/>
          <w:color w:val="44545C"/>
          <w:sz w:val="20"/>
          <w:szCs w:val="20"/>
        </w:rPr>
        <w:br w:type="column"/>
      </w:r>
      <w:r w:rsidR="003A54AC" w:rsidRPr="001522B4">
        <w:rPr>
          <w:rFonts w:ascii="Roc Grotesk Medium" w:eastAsiaTheme="majorEastAsia" w:hAnsi="Roc Grotesk Medium" w:cstheme="majorBidi"/>
          <w:color w:val="4C6968" w:themeColor="text2"/>
          <w:sz w:val="28"/>
          <w:szCs w:val="26"/>
        </w:rPr>
        <w:t xml:space="preserve">The Operating Context </w:t>
      </w:r>
      <w:r w:rsidR="000650F4" w:rsidRPr="001522B4">
        <w:rPr>
          <w:rFonts w:ascii="Roc Grotesk Medium" w:eastAsiaTheme="majorEastAsia" w:hAnsi="Roc Grotesk Medium" w:cstheme="majorBidi"/>
          <w:color w:val="4C6968" w:themeColor="text2"/>
          <w:sz w:val="28"/>
          <w:szCs w:val="26"/>
        </w:rPr>
        <w:t>i</w:t>
      </w:r>
      <w:r w:rsidR="003A54AC" w:rsidRPr="001522B4">
        <w:rPr>
          <w:rFonts w:ascii="Roc Grotesk Medium" w:eastAsiaTheme="majorEastAsia" w:hAnsi="Roc Grotesk Medium" w:cstheme="majorBidi"/>
          <w:color w:val="4C6968" w:themeColor="text2"/>
          <w:sz w:val="28"/>
          <w:szCs w:val="26"/>
        </w:rPr>
        <w:t>n 202</w:t>
      </w:r>
      <w:r w:rsidR="009B2319" w:rsidRPr="001522B4">
        <w:rPr>
          <w:rFonts w:ascii="Roc Grotesk Medium" w:eastAsiaTheme="majorEastAsia" w:hAnsi="Roc Grotesk Medium" w:cstheme="majorBidi"/>
          <w:color w:val="4C6968" w:themeColor="text2"/>
          <w:sz w:val="28"/>
          <w:szCs w:val="26"/>
        </w:rPr>
        <w:t>4</w:t>
      </w:r>
      <w:r w:rsidR="003A54AC" w:rsidRPr="001522B4">
        <w:rPr>
          <w:rFonts w:ascii="Roc Grotesk Medium" w:eastAsiaTheme="majorEastAsia" w:hAnsi="Roc Grotesk Medium" w:cstheme="majorBidi"/>
          <w:color w:val="4C6968" w:themeColor="text2"/>
          <w:sz w:val="28"/>
          <w:szCs w:val="26"/>
        </w:rPr>
        <w:t>-2</w:t>
      </w:r>
      <w:r w:rsidR="009B2319" w:rsidRPr="001522B4">
        <w:rPr>
          <w:rFonts w:ascii="Roc Grotesk Medium" w:eastAsiaTheme="majorEastAsia" w:hAnsi="Roc Grotesk Medium" w:cstheme="majorBidi"/>
          <w:color w:val="4C6968" w:themeColor="text2"/>
          <w:sz w:val="28"/>
          <w:szCs w:val="26"/>
        </w:rPr>
        <w:t>5</w:t>
      </w:r>
    </w:p>
    <w:p w14:paraId="130760F2" w14:textId="77777777" w:rsidR="00344935" w:rsidRDefault="00344935" w:rsidP="00F321F7">
      <w:r>
        <w:t xml:space="preserve">The Inspector-General recognises there are challenges that affect the Basin’s communities and resources. Climate, changing demographics, new technologies and changing social values all influence and shape the environment, industries and communities in the Basin.  </w:t>
      </w:r>
    </w:p>
    <w:p w14:paraId="7F8D0BE3" w14:textId="1D1EF06B" w:rsidR="00EC16C7" w:rsidRDefault="00344935" w:rsidP="00F321F7">
      <w:r>
        <w:t>Considerations in developing this work plan included:</w:t>
      </w:r>
    </w:p>
    <w:p w14:paraId="23D8A525" w14:textId="07194148" w:rsidR="00344935" w:rsidRDefault="0077295E" w:rsidP="001B460E">
      <w:pPr>
        <w:pStyle w:val="ListParagraph"/>
        <w:numPr>
          <w:ilvl w:val="0"/>
          <w:numId w:val="3"/>
        </w:numPr>
        <w:spacing w:after="120" w:line="240" w:lineRule="auto"/>
        <w:ind w:left="329" w:hanging="284"/>
        <w:rPr>
          <w:rFonts w:ascii="Roc Grotesk" w:hAnsi="Roc Grotesk"/>
          <w:color w:val="44545C"/>
          <w:sz w:val="20"/>
          <w:szCs w:val="20"/>
        </w:rPr>
      </w:pPr>
      <w:r w:rsidRPr="0077295E">
        <w:rPr>
          <w:rFonts w:ascii="Roc Grotesk" w:hAnsi="Roc Grotesk"/>
          <w:color w:val="44545C"/>
          <w:sz w:val="20"/>
          <w:szCs w:val="20"/>
        </w:rPr>
        <w:t>Recent years have clearly demonstrated the speed at which environmental factors can change, affecting the availability of water across the Murray-Darling Basin. Research conducted by the Inspector-General in 2022 and 2023 found the importance of compliance and enforcement of water rules and regulations for the Basin community is understandably heightened when water becomes scarce. Naturally, water scarcity negatively impacts the condition of the Basin including social, economic and environmental outcomes.</w:t>
      </w:r>
    </w:p>
    <w:p w14:paraId="324CE7A6" w14:textId="32BB14AA" w:rsidR="00C679FC" w:rsidRPr="00261545" w:rsidRDefault="00C679FC" w:rsidP="001B460E">
      <w:pPr>
        <w:pStyle w:val="ListParagraph"/>
        <w:numPr>
          <w:ilvl w:val="0"/>
          <w:numId w:val="3"/>
        </w:numPr>
        <w:spacing w:after="120" w:line="240" w:lineRule="auto"/>
        <w:ind w:left="329" w:hanging="284"/>
        <w:rPr>
          <w:rFonts w:ascii="Roc Grotesk" w:hAnsi="Roc Grotesk"/>
          <w:color w:val="44545C"/>
          <w:sz w:val="20"/>
          <w:szCs w:val="20"/>
        </w:rPr>
      </w:pPr>
      <w:r w:rsidRPr="00261545">
        <w:rPr>
          <w:rFonts w:ascii="Roc Grotesk" w:hAnsi="Roc Grotesk"/>
          <w:color w:val="44545C"/>
          <w:sz w:val="20"/>
          <w:szCs w:val="20"/>
        </w:rPr>
        <w:t>Amendments made to the Water Act and the Basin Plan through the Water Amendment (Restoring Our Rivers) Bill 2023 (Restoring Our Rivers Bill)</w:t>
      </w:r>
      <w:r w:rsidRPr="00267568">
        <w:rPr>
          <w:rFonts w:ascii="Roc Grotesk" w:hAnsi="Roc Grotesk"/>
          <w:vertAlign w:val="superscript"/>
        </w:rPr>
        <w:footnoteReference w:id="2"/>
      </w:r>
      <w:r w:rsidRPr="00261545">
        <w:rPr>
          <w:rFonts w:ascii="Roc Grotesk" w:hAnsi="Roc Grotesk"/>
          <w:color w:val="44545C"/>
          <w:sz w:val="20"/>
          <w:szCs w:val="20"/>
        </w:rPr>
        <w:t xml:space="preserve">, including: </w:t>
      </w:r>
    </w:p>
    <w:p w14:paraId="4B5FACB6" w14:textId="77777777" w:rsidR="00C679FC" w:rsidRPr="00EC607B" w:rsidRDefault="00C679F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Expanding the type of projects that can deliver the Basin Plan target of 450 GL of additional environmental water</w:t>
      </w:r>
    </w:p>
    <w:p w14:paraId="3071A10D" w14:textId="77777777" w:rsidR="00C679FC" w:rsidRPr="00EC607B" w:rsidRDefault="00C679F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Repealing the 1,500 GL cap on Commonwealth water purchases</w:t>
      </w:r>
    </w:p>
    <w:p w14:paraId="123C4EE2" w14:textId="77777777" w:rsidR="00C679FC" w:rsidRPr="00EC607B" w:rsidRDefault="00C679F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Enabling funds from the Water for the Environment Special Account (WESA) to be used to enhance environmental outcomes in the Basin</w:t>
      </w:r>
    </w:p>
    <w:p w14:paraId="2EAB01CE" w14:textId="77777777" w:rsidR="00C679FC" w:rsidRPr="00EC607B" w:rsidRDefault="00C679F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Providing additional time for Basin States to deliver Sustainable Diversion Limit (SDL) Adjustment Mechanism projects</w:t>
      </w:r>
    </w:p>
    <w:p w14:paraId="7170FD2C" w14:textId="77777777" w:rsidR="00C679FC" w:rsidRPr="00EC607B" w:rsidRDefault="00C679F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Delaying the review of the Water Act from 2024 until 2027</w:t>
      </w:r>
    </w:p>
    <w:p w14:paraId="16AD69D0" w14:textId="77777777" w:rsidR="00C679FC" w:rsidRPr="00EC607B" w:rsidRDefault="00C679F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Implementing recommendations of the Water market reform: final roadmap report in relation to water markets and water management in the Basin</w:t>
      </w:r>
    </w:p>
    <w:p w14:paraId="15C10889" w14:textId="77777777" w:rsidR="00C679FC" w:rsidRPr="00EC607B" w:rsidRDefault="00C679F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Enabling the Inspector-General of Water Compliance to determine sustainable Diversion Limit (SDL) compliance and require action plans.</w:t>
      </w:r>
    </w:p>
    <w:p w14:paraId="6FD22BCC" w14:textId="77777777" w:rsidR="003A1F7F" w:rsidRPr="00F971D3" w:rsidRDefault="003A1F7F" w:rsidP="001B460E">
      <w:pPr>
        <w:pStyle w:val="ListParagraph"/>
        <w:numPr>
          <w:ilvl w:val="0"/>
          <w:numId w:val="3"/>
        </w:numPr>
        <w:spacing w:after="120" w:line="240" w:lineRule="auto"/>
        <w:ind w:left="329" w:hanging="284"/>
        <w:rPr>
          <w:rFonts w:ascii="Roc Grotesk" w:hAnsi="Roc Grotesk"/>
          <w:color w:val="44545C"/>
          <w:sz w:val="20"/>
          <w:szCs w:val="20"/>
        </w:rPr>
      </w:pPr>
      <w:r w:rsidRPr="00F971D3">
        <w:rPr>
          <w:rFonts w:ascii="Roc Grotesk" w:hAnsi="Roc Grotesk"/>
          <w:color w:val="44545C"/>
          <w:sz w:val="20"/>
          <w:szCs w:val="20"/>
        </w:rPr>
        <w:t xml:space="preserve">A review of the Inspector-General of Water Compliance was finalised in January 2024. The final report identified matters relating to the Inspector-General’s regulatory environment, governance arrangements, relationships with relevant agencies and regulatory powers that will be progressed </w:t>
      </w:r>
      <w:r w:rsidRPr="00F971D3">
        <w:rPr>
          <w:rFonts w:ascii="Roc Grotesk" w:hAnsi="Roc Grotesk"/>
          <w:color w:val="44545C"/>
          <w:sz w:val="20"/>
          <w:szCs w:val="20"/>
        </w:rPr>
        <w:lastRenderedPageBreak/>
        <w:t xml:space="preserve">through the implementation of the Australian Government’s response to the review. The Inspector-General anticipates supporting the Department of Climate Change, Energy, the Environment and Water, as lead policy agency, and other agencies in implementing the Government’s response. In addition, findings from the final report relating to communication around the Inspector-General’s roles, responsibilities and approach to regulation will be considered by the Inspector-General and, where supported and relevant, reflected in future publications and communications.   </w:t>
      </w:r>
    </w:p>
    <w:p w14:paraId="21E41E0A" w14:textId="0A836168" w:rsidR="003625F1" w:rsidRPr="003625F1" w:rsidRDefault="003625F1" w:rsidP="001B460E">
      <w:pPr>
        <w:pStyle w:val="ListParagraph"/>
        <w:numPr>
          <w:ilvl w:val="0"/>
          <w:numId w:val="3"/>
        </w:numPr>
        <w:spacing w:after="120" w:line="240" w:lineRule="auto"/>
        <w:ind w:left="329" w:hanging="284"/>
        <w:rPr>
          <w:rFonts w:ascii="Roc Grotesk" w:hAnsi="Roc Grotesk"/>
          <w:color w:val="44545C"/>
          <w:sz w:val="20"/>
          <w:szCs w:val="20"/>
        </w:rPr>
      </w:pPr>
      <w:r w:rsidRPr="003625F1">
        <w:rPr>
          <w:rFonts w:ascii="Roc Grotesk" w:hAnsi="Roc Grotesk"/>
          <w:color w:val="44545C"/>
          <w:sz w:val="20"/>
          <w:szCs w:val="20"/>
        </w:rPr>
        <w:t>The 2023 review of the Murray–Darling Basin Plan conducted by the Productivity Commission highlighted significant challenges in meeting water recovery targets and implementing key elements of the Plan like the Northern Basin Toolkit and the Sustainable Diversion Limit Adjustment Mechanism. The review highlighted the need for better collaboration among Basin governments, reforms in water markets, and greater recognition of First Nations' interests</w:t>
      </w:r>
      <w:r w:rsidR="0051317F">
        <w:rPr>
          <w:rStyle w:val="FootnoteReference"/>
          <w:rFonts w:ascii="Roc Grotesk" w:hAnsi="Roc Grotesk"/>
          <w:color w:val="44545C"/>
          <w:sz w:val="20"/>
          <w:szCs w:val="20"/>
        </w:rPr>
        <w:footnoteReference w:id="3"/>
      </w:r>
      <w:r w:rsidRPr="003625F1">
        <w:rPr>
          <w:rFonts w:ascii="Roc Grotesk" w:hAnsi="Roc Grotesk"/>
          <w:color w:val="44545C"/>
          <w:sz w:val="20"/>
          <w:szCs w:val="20"/>
        </w:rPr>
        <w:t xml:space="preserve">. </w:t>
      </w:r>
    </w:p>
    <w:p w14:paraId="47612B8A" w14:textId="3ED7C85C" w:rsidR="003625F1" w:rsidRPr="003625F1" w:rsidRDefault="003625F1" w:rsidP="001B460E">
      <w:pPr>
        <w:pStyle w:val="ListParagraph"/>
        <w:numPr>
          <w:ilvl w:val="0"/>
          <w:numId w:val="3"/>
        </w:numPr>
        <w:spacing w:after="120" w:line="240" w:lineRule="auto"/>
        <w:ind w:left="329" w:hanging="284"/>
        <w:rPr>
          <w:rFonts w:ascii="Roc Grotesk" w:hAnsi="Roc Grotesk"/>
          <w:color w:val="44545C"/>
          <w:sz w:val="20"/>
          <w:szCs w:val="20"/>
        </w:rPr>
      </w:pPr>
      <w:r w:rsidRPr="003625F1">
        <w:rPr>
          <w:rFonts w:ascii="Roc Grotesk" w:hAnsi="Roc Grotesk"/>
          <w:color w:val="44545C"/>
          <w:sz w:val="20"/>
          <w:szCs w:val="20"/>
        </w:rPr>
        <w:t>The Murray-Darling Basin Authority (MDBA) will conduct its 5-yearly evaluation of the Basin Plan during this work plan period. It is the intention of the Inspector-General to have input into the evaluation by providing relevant material. The Inspector-General does not intend to duplicate work being undertaken by the MDBA as part of the evaluation, which aims to assess progress towards achieving the intended outcomes of the Basin Plan</w:t>
      </w:r>
      <w:r w:rsidR="006646B8">
        <w:rPr>
          <w:rStyle w:val="FootnoteReference"/>
          <w:rFonts w:ascii="Roc Grotesk" w:hAnsi="Roc Grotesk"/>
          <w:color w:val="44545C"/>
          <w:sz w:val="20"/>
          <w:szCs w:val="20"/>
        </w:rPr>
        <w:footnoteReference w:id="4"/>
      </w:r>
      <w:r w:rsidRPr="003625F1">
        <w:rPr>
          <w:rFonts w:ascii="Roc Grotesk" w:hAnsi="Roc Grotesk"/>
          <w:color w:val="44545C"/>
          <w:sz w:val="20"/>
          <w:szCs w:val="20"/>
        </w:rPr>
        <w:t xml:space="preserve">. </w:t>
      </w:r>
    </w:p>
    <w:p w14:paraId="75D03907" w14:textId="7012A150" w:rsidR="003625F1" w:rsidRPr="003625F1" w:rsidRDefault="003625F1" w:rsidP="001B460E">
      <w:pPr>
        <w:pStyle w:val="ListParagraph"/>
        <w:numPr>
          <w:ilvl w:val="0"/>
          <w:numId w:val="3"/>
        </w:numPr>
        <w:spacing w:after="120" w:line="240" w:lineRule="auto"/>
        <w:ind w:left="329" w:hanging="284"/>
        <w:rPr>
          <w:rFonts w:ascii="Roc Grotesk" w:hAnsi="Roc Grotesk"/>
          <w:color w:val="44545C"/>
          <w:sz w:val="20"/>
          <w:szCs w:val="20"/>
        </w:rPr>
      </w:pPr>
      <w:r w:rsidRPr="003625F1">
        <w:rPr>
          <w:rFonts w:ascii="Roc Grotesk" w:hAnsi="Roc Grotesk"/>
          <w:color w:val="44545C"/>
          <w:sz w:val="20"/>
          <w:szCs w:val="20"/>
        </w:rPr>
        <w:t>The MDBA’s Basin Plan review will occur in 2026, focusing on climate change, sustainable water limits, First Nations, and regulatory design, considering any changes required to ensure a sustainable and healthy Basin</w:t>
      </w:r>
      <w:r w:rsidR="00286770">
        <w:rPr>
          <w:rStyle w:val="FootnoteReference"/>
          <w:rFonts w:ascii="Roc Grotesk" w:hAnsi="Roc Grotesk"/>
          <w:color w:val="44545C"/>
          <w:sz w:val="20"/>
          <w:szCs w:val="20"/>
        </w:rPr>
        <w:footnoteReference w:id="5"/>
      </w:r>
      <w:r w:rsidRPr="003625F1">
        <w:rPr>
          <w:rFonts w:ascii="Roc Grotesk" w:hAnsi="Roc Grotesk"/>
          <w:color w:val="44545C"/>
          <w:sz w:val="20"/>
          <w:szCs w:val="20"/>
        </w:rPr>
        <w:t>. The Inspector-General will provide input into the review as appropriate.</w:t>
      </w:r>
    </w:p>
    <w:p w14:paraId="2BD23FEE" w14:textId="3A297F74" w:rsidR="00D736CC" w:rsidRPr="0086011A" w:rsidRDefault="00D736CC" w:rsidP="001B460E">
      <w:pPr>
        <w:pStyle w:val="ListParagraph"/>
        <w:numPr>
          <w:ilvl w:val="0"/>
          <w:numId w:val="3"/>
        </w:numPr>
        <w:spacing w:after="120" w:line="240" w:lineRule="auto"/>
        <w:ind w:left="329" w:hanging="284"/>
        <w:rPr>
          <w:rFonts w:ascii="Roc Grotesk" w:hAnsi="Roc Grotesk"/>
          <w:color w:val="44545C"/>
          <w:sz w:val="20"/>
          <w:szCs w:val="20"/>
        </w:rPr>
      </w:pPr>
      <w:r w:rsidRPr="0086011A">
        <w:rPr>
          <w:rFonts w:ascii="Roc Grotesk" w:hAnsi="Roc Grotesk"/>
          <w:color w:val="44545C"/>
          <w:sz w:val="20"/>
          <w:szCs w:val="20"/>
        </w:rPr>
        <w:t xml:space="preserve">The Australian National Audit Office’s (ANAO) draft 2024-25 Annual Audit Work Program which identified proposed audits for </w:t>
      </w:r>
      <w:r w:rsidR="0032165C">
        <w:rPr>
          <w:rFonts w:ascii="Roc Grotesk" w:hAnsi="Roc Grotesk"/>
          <w:color w:val="44545C"/>
          <w:sz w:val="20"/>
          <w:szCs w:val="20"/>
        </w:rPr>
        <w:t>C</w:t>
      </w:r>
      <w:r w:rsidRPr="0086011A">
        <w:rPr>
          <w:rFonts w:ascii="Roc Grotesk" w:hAnsi="Roc Grotesk"/>
          <w:color w:val="44545C"/>
          <w:sz w:val="20"/>
          <w:szCs w:val="20"/>
        </w:rPr>
        <w:t>ommonwealth water management, including:</w:t>
      </w:r>
    </w:p>
    <w:p w14:paraId="3BEB5FA8" w14:textId="77777777" w:rsidR="00D736CC" w:rsidRPr="00EC607B" w:rsidRDefault="00D736C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Accreditation of Water Resource Plans</w:t>
      </w:r>
    </w:p>
    <w:p w14:paraId="0E2245EA" w14:textId="4FC193D6" w:rsidR="0077295E" w:rsidRPr="00EC607B" w:rsidRDefault="00D736CC" w:rsidP="001B460E">
      <w:pPr>
        <w:pStyle w:val="ListParagraph"/>
        <w:numPr>
          <w:ilvl w:val="1"/>
          <w:numId w:val="3"/>
        </w:numPr>
        <w:spacing w:after="120" w:line="240" w:lineRule="auto"/>
        <w:ind w:left="851" w:hanging="425"/>
        <w:rPr>
          <w:rFonts w:ascii="Roc Grotesk" w:hAnsi="Roc Grotesk"/>
          <w:color w:val="44545C"/>
          <w:sz w:val="20"/>
          <w:szCs w:val="20"/>
        </w:rPr>
      </w:pPr>
      <w:r w:rsidRPr="00EC607B">
        <w:rPr>
          <w:rFonts w:ascii="Roc Grotesk" w:hAnsi="Roc Grotesk"/>
          <w:color w:val="44545C"/>
          <w:sz w:val="20"/>
          <w:szCs w:val="20"/>
        </w:rPr>
        <w:t>Implementation and management of strategic water purchasing (Strategic water purchasing – Bridging the Gap 2023).</w:t>
      </w:r>
    </w:p>
    <w:p w14:paraId="0E109594" w14:textId="18656AC3" w:rsidR="0075606E" w:rsidRDefault="0075606E" w:rsidP="001B460E">
      <w:pPr>
        <w:pStyle w:val="ListParagraph"/>
        <w:numPr>
          <w:ilvl w:val="0"/>
          <w:numId w:val="3"/>
        </w:numPr>
        <w:spacing w:after="120" w:line="240" w:lineRule="auto"/>
        <w:ind w:left="329" w:hanging="284"/>
        <w:rPr>
          <w:rFonts w:ascii="Roc Grotesk" w:hAnsi="Roc Grotesk"/>
          <w:color w:val="44545C"/>
          <w:sz w:val="20"/>
          <w:szCs w:val="20"/>
        </w:rPr>
      </w:pPr>
      <w:r w:rsidRPr="00261545">
        <w:rPr>
          <w:rFonts w:ascii="Roc Grotesk" w:hAnsi="Roc Grotesk"/>
          <w:color w:val="44545C"/>
          <w:sz w:val="20"/>
          <w:szCs w:val="20"/>
        </w:rPr>
        <w:t>The 2024-25 Budget allocated $28.6 million to the Inspector-General over 4 years. For 2024-25, $7.3m has been provided to the Inspector-General, which will be used to build the previously unfunded oversight function. This funding will allow the Inspector-General to deliver on key oversight activities identified in the priorities.</w:t>
      </w:r>
    </w:p>
    <w:p w14:paraId="1EF1B445" w14:textId="77777777" w:rsidR="00F321F7" w:rsidRPr="00F321F7" w:rsidRDefault="00F321F7" w:rsidP="00F321F7">
      <w:pPr>
        <w:spacing w:line="240" w:lineRule="auto"/>
        <w:rPr>
          <w:color w:val="44545C"/>
          <w:szCs w:val="20"/>
        </w:rPr>
      </w:pPr>
    </w:p>
    <w:p w14:paraId="7ED8E6DB" w14:textId="1618C9A7" w:rsidR="005E2430" w:rsidRDefault="005E2430" w:rsidP="00F321F7">
      <w:pPr>
        <w:pStyle w:val="Heading2"/>
        <w:spacing w:before="240"/>
      </w:pPr>
      <w:r w:rsidRPr="007A59B4">
        <w:t xml:space="preserve">Delivering against the </w:t>
      </w:r>
      <w:r w:rsidR="00866937" w:rsidRPr="007A59B4">
        <w:t>Work</w:t>
      </w:r>
      <w:r w:rsidR="00866937">
        <w:t xml:space="preserve"> </w:t>
      </w:r>
      <w:r w:rsidR="00866937" w:rsidRPr="007A59B4">
        <w:t>Plan</w:t>
      </w:r>
    </w:p>
    <w:p w14:paraId="7D419A34" w14:textId="77777777" w:rsidR="000C6477" w:rsidRPr="000C6477" w:rsidRDefault="000C6477" w:rsidP="009B5A0A">
      <w:pPr>
        <w:rPr>
          <w:noProof/>
        </w:rPr>
      </w:pPr>
      <w:r w:rsidRPr="000C6477">
        <w:rPr>
          <w:noProof/>
        </w:rPr>
        <w:t xml:space="preserve">The Inspector-General will undertake investigations, taking enforcement action where necessary, utilise inquiries in the performance of their oversight function (if planned or required), and publish reviews and audits to keep the community informed. The Inspector-General will publish the outcomes of key areas of work to support transparency and ensure compliance with legislation. </w:t>
      </w:r>
    </w:p>
    <w:p w14:paraId="58C5BE71" w14:textId="77777777" w:rsidR="000C6477" w:rsidRPr="000C6477" w:rsidRDefault="000C6477" w:rsidP="009B5A0A">
      <w:pPr>
        <w:rPr>
          <w:noProof/>
        </w:rPr>
      </w:pPr>
      <w:r w:rsidRPr="000C6477">
        <w:rPr>
          <w:noProof/>
        </w:rPr>
        <w:t>The Inspector-General's approach is detailed in the IGWC Regulatory Policy.</w:t>
      </w:r>
    </w:p>
    <w:p w14:paraId="1CB02500" w14:textId="3527D123" w:rsidR="005E2430" w:rsidRPr="0041760A" w:rsidRDefault="000C6477" w:rsidP="009B5A0A">
      <w:pPr>
        <w:rPr>
          <w:noProof/>
        </w:rPr>
      </w:pPr>
      <w:r w:rsidRPr="000C6477">
        <w:rPr>
          <w:noProof/>
        </w:rPr>
        <w:t xml:space="preserve">Please consult the website at: www.igwc.gov.au for all publications. </w:t>
      </w:r>
      <w:r w:rsidR="005E2430" w:rsidRPr="0041760A">
        <w:rPr>
          <w:noProof/>
        </w:rPr>
        <w:t xml:space="preserve"> </w:t>
      </w:r>
    </w:p>
    <w:p w14:paraId="2C882A66" w14:textId="1502DBEA" w:rsidR="005E2430" w:rsidRPr="00945512" w:rsidRDefault="005E2430" w:rsidP="00F321F7">
      <w:pPr>
        <w:pStyle w:val="Heading2"/>
        <w:spacing w:before="240"/>
      </w:pPr>
      <w:r w:rsidRPr="00945512">
        <w:t xml:space="preserve">Review of the </w:t>
      </w:r>
      <w:r w:rsidR="00180E35" w:rsidRPr="00945512">
        <w:t>Work Plan</w:t>
      </w:r>
    </w:p>
    <w:p w14:paraId="272F34CB" w14:textId="77777777" w:rsidR="00C76B3D" w:rsidRDefault="005E2430" w:rsidP="00F321F7">
      <w:pPr>
        <w:pStyle w:val="Heading2"/>
        <w:spacing w:before="120" w:after="120" w:line="257" w:lineRule="auto"/>
        <w:rPr>
          <w:rFonts w:ascii="Roc Grotesk" w:eastAsiaTheme="minorHAnsi" w:hAnsi="Roc Grotesk" w:cstheme="minorBidi"/>
          <w:color w:val="48555E" w:themeColor="text1"/>
          <w:sz w:val="20"/>
          <w:szCs w:val="24"/>
        </w:rPr>
      </w:pPr>
      <w:r w:rsidRPr="006D17DC">
        <w:rPr>
          <w:rFonts w:ascii="Roc Grotesk" w:eastAsiaTheme="minorHAnsi" w:hAnsi="Roc Grotesk" w:cstheme="minorBidi"/>
          <w:color w:val="48555E" w:themeColor="text1"/>
          <w:sz w:val="20"/>
          <w:szCs w:val="24"/>
        </w:rPr>
        <w:t xml:space="preserve">Section 215F of the Water Act 2007 requires the Inspector-General to undertake a mid-year review of the work plan.  </w:t>
      </w:r>
    </w:p>
    <w:p w14:paraId="3596790B" w14:textId="5E31CDE6" w:rsidR="00BB3BD3" w:rsidRPr="00C746A9" w:rsidRDefault="00BB3BD3" w:rsidP="007A343F">
      <w:pPr>
        <w:sectPr w:rsidR="00BB3BD3" w:rsidRPr="00C746A9" w:rsidSect="009D44D3">
          <w:type w:val="continuous"/>
          <w:pgSz w:w="11918" w:h="16840"/>
          <w:pgMar w:top="964" w:right="964" w:bottom="1418" w:left="964" w:header="0" w:footer="0" w:gutter="0"/>
          <w:cols w:num="2" w:space="708"/>
          <w:docGrid w:linePitch="360"/>
        </w:sectPr>
      </w:pPr>
      <w:r w:rsidRPr="00C746A9">
        <w:t>The work plan was reviewed</w:t>
      </w:r>
      <w:r w:rsidR="00390360" w:rsidRPr="00C746A9">
        <w:t xml:space="preserve"> in November and December 2024</w:t>
      </w:r>
      <w:r w:rsidR="006D40DC" w:rsidRPr="00C746A9">
        <w:t>.</w:t>
      </w:r>
      <w:r w:rsidR="00390360" w:rsidRPr="00C746A9">
        <w:t xml:space="preserve"> </w:t>
      </w:r>
      <w:r w:rsidR="00B9781C" w:rsidRPr="00C746A9">
        <w:t>In accordance with sections 215F and 215G of the Water Act, the variation balances the Inspector-General's priorities and operational resources.</w:t>
      </w:r>
    </w:p>
    <w:p w14:paraId="0C8C95AE" w14:textId="2A9078CE" w:rsidR="00A75E6B" w:rsidRDefault="00A75E6B" w:rsidP="003E2C88">
      <w:pPr>
        <w:pStyle w:val="Heading1"/>
      </w:pPr>
      <w:r>
        <w:lastRenderedPageBreak/>
        <w:t>202</w:t>
      </w:r>
      <w:r w:rsidR="00372D45">
        <w:t>4-25</w:t>
      </w:r>
      <w:r>
        <w:t xml:space="preserve"> Priorit</w:t>
      </w:r>
      <w:r w:rsidR="008C62D5" w:rsidRPr="00C746A9">
        <w:t>ies</w:t>
      </w:r>
    </w:p>
    <w:p w14:paraId="40552598" w14:textId="42900931" w:rsidR="00F6145B" w:rsidRDefault="008C62D5" w:rsidP="00F6145B">
      <w:pPr>
        <w:pStyle w:val="Heading2"/>
      </w:pPr>
      <w:r>
        <w:t xml:space="preserve">1. </w:t>
      </w:r>
      <w:r w:rsidR="00F6145B">
        <w:t>Environmental Outcomes</w:t>
      </w:r>
    </w:p>
    <w:p w14:paraId="73F10AC3" w14:textId="39C85D1B" w:rsidR="00F6145B" w:rsidRPr="00C746A9" w:rsidRDefault="00F6145B" w:rsidP="00F6145B">
      <w:pPr>
        <w:pStyle w:val="Heading3"/>
        <w:rPr>
          <w:color w:val="48555E" w:themeColor="accent1"/>
        </w:rPr>
      </w:pPr>
      <w:r w:rsidRPr="00C746A9">
        <w:rPr>
          <w:color w:val="48555E" w:themeColor="accent1"/>
        </w:rPr>
        <w:t>Why it's a priority</w:t>
      </w:r>
    </w:p>
    <w:p w14:paraId="0A05AF15" w14:textId="77777777" w:rsidR="00415069" w:rsidRDefault="00415069" w:rsidP="00415069">
      <w:pPr>
        <w:spacing w:before="60" w:after="60"/>
      </w:pPr>
      <w:r>
        <w:t xml:space="preserve">The Inspector-General is responsible for oversight of Commonwealth and Basin State water management agencies' performance in relation to the Basin Plan under section 215C of the Water Act. </w:t>
      </w:r>
    </w:p>
    <w:p w14:paraId="171A6F2E" w14:textId="77777777" w:rsidR="00415069" w:rsidRDefault="00415069" w:rsidP="00415069">
      <w:pPr>
        <w:spacing w:before="60" w:after="60"/>
      </w:pPr>
      <w:r>
        <w:t>When the implementation of the Basin Plan nears its conclusion in coming years, public attention will shift away from implementation towards evaluating the effectiveness of the Plan in achieving environmental outcomes. The Inspector-General observes that this shift is currently evident in its very early stages.</w:t>
      </w:r>
    </w:p>
    <w:p w14:paraId="6C27F42D" w14:textId="77777777" w:rsidR="00415069" w:rsidRDefault="00415069" w:rsidP="00415069">
      <w:pPr>
        <w:spacing w:before="60" w:after="60"/>
      </w:pPr>
      <w:r>
        <w:t xml:space="preserve">During the Restoring Our Rivers Bill amendment process in late 2023, the Inspector-General heard concerns from stakeholders relating to environmental water outcomes throughout the Basin. </w:t>
      </w:r>
    </w:p>
    <w:p w14:paraId="53CF5297" w14:textId="77777777" w:rsidR="00415069" w:rsidRDefault="00415069" w:rsidP="00415069">
      <w:pPr>
        <w:spacing w:before="60" w:after="60"/>
      </w:pPr>
      <w:r>
        <w:t>While the Inspector-General has a compliance audit power under the Water Act, the independent review of the Inspector-General noted:</w:t>
      </w:r>
    </w:p>
    <w:p w14:paraId="53A04897" w14:textId="77777777" w:rsidR="00415069" w:rsidRPr="00DA043A" w:rsidRDefault="00415069" w:rsidP="00415069">
      <w:pPr>
        <w:spacing w:before="60" w:after="60"/>
        <w:ind w:left="324"/>
        <w:rPr>
          <w:i/>
          <w:iCs/>
        </w:rPr>
      </w:pPr>
      <w:r w:rsidRPr="00DA043A">
        <w:rPr>
          <w:i/>
          <w:iCs/>
        </w:rPr>
        <w:t xml:space="preserve">"…there will be a need for an auditor of the environmental outcomes… this should be the IGWC. But it must be allowed to grow into the role." </w:t>
      </w:r>
    </w:p>
    <w:p w14:paraId="1DF3A27E" w14:textId="470DAB9C" w:rsidR="00F6145B" w:rsidRDefault="00415069" w:rsidP="00415069">
      <w:r>
        <w:t>By prioritising environmental outcomes, the Inspector-General aims to begin an organisational transition from a narrow focus on compliance to more comprehensive oversight.</w:t>
      </w:r>
    </w:p>
    <w:p w14:paraId="632AFC8F" w14:textId="24F9234A" w:rsidR="00415069" w:rsidRPr="00C746A9" w:rsidRDefault="00415069" w:rsidP="00415069">
      <w:pPr>
        <w:pStyle w:val="Heading3"/>
        <w:rPr>
          <w:color w:val="48555E" w:themeColor="accent1"/>
        </w:rPr>
      </w:pPr>
      <w:r w:rsidRPr="00C746A9">
        <w:rPr>
          <w:color w:val="48555E" w:themeColor="accent1"/>
        </w:rPr>
        <w:t>The Inspector-General's desired outcomes</w:t>
      </w:r>
    </w:p>
    <w:p w14:paraId="682C486C" w14:textId="77777777" w:rsidR="00061692" w:rsidRPr="00095B41" w:rsidRDefault="00061692" w:rsidP="003D7622">
      <w:pPr>
        <w:spacing w:before="0" w:after="0"/>
        <w:ind w:left="1883" w:hanging="1852"/>
        <w:contextualSpacing/>
      </w:pPr>
      <w:r>
        <w:rPr>
          <w:b/>
          <w:bCs/>
          <w:lang w:val="en-US"/>
        </w:rPr>
        <w:t>Ensure it's visible</w:t>
      </w:r>
      <w:r w:rsidRPr="000B3429">
        <w:rPr>
          <w:b/>
          <w:bCs/>
          <w:lang w:val="en-US"/>
        </w:rPr>
        <w:t xml:space="preserve">: </w:t>
      </w:r>
      <w:r>
        <w:rPr>
          <w:b/>
          <w:bCs/>
          <w:lang w:val="en-US"/>
        </w:rPr>
        <w:t xml:space="preserve">      </w:t>
      </w:r>
      <w:r>
        <w:rPr>
          <w:lang w:val="en-US"/>
        </w:rPr>
        <w:t>Provide the Australian community with visibility over the integrity of Basin water management</w:t>
      </w:r>
      <w:r w:rsidRPr="00CF4C77">
        <w:rPr>
          <w:lang w:val="en-US"/>
        </w:rPr>
        <w:t>.</w:t>
      </w:r>
    </w:p>
    <w:p w14:paraId="05E33A71" w14:textId="77777777" w:rsidR="00061692" w:rsidRDefault="00061692" w:rsidP="00061692">
      <w:pPr>
        <w:spacing w:before="60" w:after="60"/>
      </w:pPr>
      <w:r w:rsidRPr="00D639E9">
        <w:t>Ensuring the Australian community can see and understand outcomes in Basin water management, understand the role of the Inspector-General, and be confident there is appropriate oversight of the integrity of Basin water management</w:t>
      </w:r>
      <w:r>
        <w:t>.</w:t>
      </w:r>
    </w:p>
    <w:p w14:paraId="7945C768" w14:textId="77777777" w:rsidR="00061692" w:rsidRDefault="00061692" w:rsidP="003D7622">
      <w:pPr>
        <w:spacing w:before="0" w:after="0"/>
      </w:pPr>
      <w:r w:rsidRPr="00826DF5">
        <w:rPr>
          <w:b/>
          <w:bCs/>
        </w:rPr>
        <w:t>Do it Better:</w:t>
      </w:r>
      <w:r>
        <w:t xml:space="preserve">                 Raise performance and drive improvements in standards of Basin Plan delivery.</w:t>
      </w:r>
    </w:p>
    <w:p w14:paraId="646CB4EF" w14:textId="04FFD021" w:rsidR="00415069" w:rsidRDefault="00061692" w:rsidP="003D7622">
      <w:pPr>
        <w:spacing w:before="60" w:after="60"/>
      </w:pPr>
      <w:r>
        <w:t>Pursuing continuous improvement in the performance of Basin water managers to embed integrity, transparency, and accountability in the delivery of Basin Plan outcomes.</w:t>
      </w:r>
    </w:p>
    <w:p w14:paraId="236A1188" w14:textId="2218A1A3" w:rsidR="003D7622" w:rsidRPr="00C746A9" w:rsidRDefault="003D7622" w:rsidP="003D7622">
      <w:pPr>
        <w:pStyle w:val="Heading3"/>
        <w:rPr>
          <w:color w:val="48555E" w:themeColor="accent1"/>
        </w:rPr>
      </w:pPr>
      <w:r w:rsidRPr="00C746A9">
        <w:rPr>
          <w:color w:val="48555E" w:themeColor="accent1"/>
        </w:rPr>
        <w:t>What the Inspector-General will do</w:t>
      </w:r>
    </w:p>
    <w:p w14:paraId="532DDB93" w14:textId="77777777" w:rsidR="003D7622" w:rsidRPr="008443AF" w:rsidRDefault="003D7622" w:rsidP="003D7622">
      <w:pPr>
        <w:pStyle w:val="ListBullet"/>
      </w:pPr>
      <w:r w:rsidRPr="008443AF">
        <w:t>Undertake 2 compliance audits with an environmental outcome focus.</w:t>
      </w:r>
      <w:r w:rsidRPr="00D9722E">
        <w:t xml:space="preserve"> </w:t>
      </w:r>
    </w:p>
    <w:p w14:paraId="214D7471" w14:textId="77777777" w:rsidR="003D7622" w:rsidRPr="009658F6" w:rsidRDefault="003D7622" w:rsidP="003D7622">
      <w:pPr>
        <w:pStyle w:val="ListBullet"/>
      </w:pPr>
      <w:r w:rsidRPr="009658F6">
        <w:t xml:space="preserve">Undertake a stocktake of all monitoring, evaluation and reporting of environmental outcomes across Basin governments. </w:t>
      </w:r>
    </w:p>
    <w:p w14:paraId="3B289D6E" w14:textId="77777777" w:rsidR="003D7622" w:rsidRPr="009658F6" w:rsidRDefault="003D7622" w:rsidP="003D7622">
      <w:pPr>
        <w:pStyle w:val="ListBullet"/>
      </w:pPr>
      <w:r w:rsidRPr="009658F6">
        <w:t>Undertake assurance on floodplain harvesting measurement and advocate for improved accuracy in reporting of annual actual take.</w:t>
      </w:r>
    </w:p>
    <w:p w14:paraId="202C682B" w14:textId="77777777" w:rsidR="003D7622" w:rsidRPr="009658F6" w:rsidRDefault="003D7622" w:rsidP="003D7622">
      <w:pPr>
        <w:pStyle w:val="ListBullet"/>
      </w:pPr>
      <w:r w:rsidRPr="009658F6">
        <w:t>Establish a Sustainable Diversion Limit Advisory Panel</w:t>
      </w:r>
      <w:r>
        <w:t xml:space="preserve"> to provide advice on reporting, accounting and compliance assurance.</w:t>
      </w:r>
    </w:p>
    <w:p w14:paraId="62A4FFFA" w14:textId="77777777" w:rsidR="003D7622" w:rsidRPr="00813392" w:rsidRDefault="003D7622" w:rsidP="003D7622">
      <w:pPr>
        <w:pStyle w:val="ListBullet"/>
      </w:pPr>
      <w:r>
        <w:t>Develop and publish an IGWC Audit Framework.</w:t>
      </w:r>
    </w:p>
    <w:p w14:paraId="155B8E30" w14:textId="26F15B8D" w:rsidR="00C746A9" w:rsidRDefault="003D7622" w:rsidP="00C746A9">
      <w:pPr>
        <w:pStyle w:val="ListBullet"/>
      </w:pPr>
      <w:r w:rsidRPr="00A226F6">
        <w:t xml:space="preserve">Develop fit-for-purpose reporting guidelines for WRP compliance, including </w:t>
      </w:r>
      <w:r w:rsidRPr="008443AF">
        <w:t xml:space="preserve">environmental </w:t>
      </w:r>
      <w:r>
        <w:t>obligations In</w:t>
      </w:r>
      <w:r w:rsidRPr="008443AF">
        <w:t xml:space="preserve"> WRPs</w:t>
      </w:r>
      <w:r w:rsidRPr="00A226F6">
        <w:t>.</w:t>
      </w:r>
    </w:p>
    <w:p w14:paraId="1451F216" w14:textId="77777777" w:rsidR="00C746A9" w:rsidRDefault="00C746A9">
      <w:pPr>
        <w:spacing w:before="0" w:after="0" w:line="240" w:lineRule="auto"/>
      </w:pPr>
      <w:r>
        <w:br w:type="page"/>
      </w:r>
    </w:p>
    <w:p w14:paraId="68882C3D" w14:textId="17522E38" w:rsidR="008C62D5" w:rsidRPr="00C746A9" w:rsidRDefault="008C62D5" w:rsidP="00FD5FB7">
      <w:pPr>
        <w:pStyle w:val="Heading2"/>
        <w:rPr>
          <w:color w:val="48555E" w:themeColor="accent1"/>
        </w:rPr>
      </w:pPr>
      <w:r w:rsidRPr="00C746A9">
        <w:rPr>
          <w:color w:val="48555E" w:themeColor="accent1"/>
        </w:rPr>
        <w:lastRenderedPageBreak/>
        <w:t xml:space="preserve">2. </w:t>
      </w:r>
      <w:r w:rsidR="00843D4B" w:rsidRPr="00C746A9">
        <w:rPr>
          <w:color w:val="48555E" w:themeColor="accent1"/>
        </w:rPr>
        <w:t>Inquiry</w:t>
      </w:r>
      <w:r w:rsidR="005234E8" w:rsidRPr="00C746A9">
        <w:rPr>
          <w:color w:val="48555E" w:themeColor="accent1"/>
        </w:rPr>
        <w:t xml:space="preserve"> into the </w:t>
      </w:r>
      <w:r w:rsidRPr="00C746A9">
        <w:rPr>
          <w:color w:val="48555E" w:themeColor="accent1"/>
        </w:rPr>
        <w:t>Northern Basin Toolkit</w:t>
      </w:r>
    </w:p>
    <w:p w14:paraId="5FBF09C8" w14:textId="77777777" w:rsidR="008C62D5" w:rsidRPr="00C746A9" w:rsidRDefault="008C62D5" w:rsidP="008C62D5">
      <w:pPr>
        <w:pStyle w:val="Heading3"/>
        <w:rPr>
          <w:color w:val="48555E" w:themeColor="accent1"/>
        </w:rPr>
      </w:pPr>
      <w:r w:rsidRPr="00C746A9">
        <w:rPr>
          <w:color w:val="48555E" w:themeColor="accent1"/>
        </w:rPr>
        <w:t>Why it's a priority</w:t>
      </w:r>
    </w:p>
    <w:p w14:paraId="0B5BE790" w14:textId="38AD708E" w:rsidR="008C62D5" w:rsidRPr="00C746A9" w:rsidRDefault="008C62D5" w:rsidP="008C62D5">
      <w:pPr>
        <w:spacing w:before="60" w:after="60"/>
        <w:rPr>
          <w:color w:val="48555E" w:themeColor="accent1"/>
        </w:rPr>
      </w:pPr>
      <w:r w:rsidRPr="00C746A9">
        <w:rPr>
          <w:color w:val="48555E" w:themeColor="accent1"/>
        </w:rPr>
        <w:t>The</w:t>
      </w:r>
      <w:r w:rsidR="008A1671" w:rsidRPr="00C746A9">
        <w:rPr>
          <w:color w:val="48555E" w:themeColor="accent1"/>
        </w:rPr>
        <w:t xml:space="preserve"> Northern Basin Toolkit </w:t>
      </w:r>
      <w:r w:rsidR="009A51D0" w:rsidRPr="00C746A9">
        <w:rPr>
          <w:color w:val="48555E" w:themeColor="accent1"/>
        </w:rPr>
        <w:t>i</w:t>
      </w:r>
      <w:r w:rsidR="008A1671" w:rsidRPr="00C746A9">
        <w:rPr>
          <w:color w:val="48555E" w:themeColor="accent1"/>
        </w:rPr>
        <w:t>s a</w:t>
      </w:r>
      <w:r w:rsidR="009A51D0" w:rsidRPr="00C746A9">
        <w:rPr>
          <w:color w:val="48555E" w:themeColor="accent1"/>
        </w:rPr>
        <w:t xml:space="preserve">n </w:t>
      </w:r>
      <w:r w:rsidR="00435E30" w:rsidRPr="00C746A9">
        <w:rPr>
          <w:color w:val="48555E" w:themeColor="accent1"/>
        </w:rPr>
        <w:t>i</w:t>
      </w:r>
      <w:r w:rsidR="00877090" w:rsidRPr="00C746A9">
        <w:rPr>
          <w:color w:val="48555E" w:themeColor="accent1"/>
        </w:rPr>
        <w:t>mportant</w:t>
      </w:r>
      <w:r w:rsidR="008A1671" w:rsidRPr="00C746A9">
        <w:rPr>
          <w:color w:val="48555E" w:themeColor="accent1"/>
        </w:rPr>
        <w:t xml:space="preserve"> </w:t>
      </w:r>
      <w:r w:rsidR="00350B8D" w:rsidRPr="00C746A9">
        <w:rPr>
          <w:color w:val="48555E" w:themeColor="accent1"/>
        </w:rPr>
        <w:t>Government program</w:t>
      </w:r>
      <w:r w:rsidR="008A1671" w:rsidRPr="00C746A9">
        <w:rPr>
          <w:color w:val="48555E" w:themeColor="accent1"/>
        </w:rPr>
        <w:t xml:space="preserve"> aimed at maximising </w:t>
      </w:r>
      <w:r w:rsidR="00297F45" w:rsidRPr="00C746A9">
        <w:rPr>
          <w:color w:val="48555E" w:themeColor="accent1"/>
        </w:rPr>
        <w:t>environmental</w:t>
      </w:r>
      <w:r w:rsidR="008A1671" w:rsidRPr="00C746A9">
        <w:rPr>
          <w:color w:val="48555E" w:themeColor="accent1"/>
        </w:rPr>
        <w:t xml:space="preserve"> outcomes </w:t>
      </w:r>
      <w:r w:rsidR="00695EFC" w:rsidRPr="00C746A9">
        <w:rPr>
          <w:color w:val="48555E" w:themeColor="accent1"/>
        </w:rPr>
        <w:t>in</w:t>
      </w:r>
      <w:r w:rsidR="008A1671" w:rsidRPr="00C746A9">
        <w:rPr>
          <w:color w:val="48555E" w:themeColor="accent1"/>
        </w:rPr>
        <w:t xml:space="preserve"> the northern Murray-Darling Basin. </w:t>
      </w:r>
      <w:r w:rsidR="00877090" w:rsidRPr="00C746A9">
        <w:rPr>
          <w:color w:val="48555E" w:themeColor="accent1"/>
        </w:rPr>
        <w:t>The original deadline for completion of all Toolkit measures was 30 June 2024</w:t>
      </w:r>
      <w:r w:rsidR="00EF0B50" w:rsidRPr="00C746A9">
        <w:rPr>
          <w:color w:val="48555E" w:themeColor="accent1"/>
        </w:rPr>
        <w:t>, which was extended to 31 December 2026</w:t>
      </w:r>
      <w:r w:rsidR="00D771EC" w:rsidRPr="00C746A9">
        <w:rPr>
          <w:color w:val="48555E" w:themeColor="accent1"/>
        </w:rPr>
        <w:t>.</w:t>
      </w:r>
    </w:p>
    <w:p w14:paraId="5B22AA85" w14:textId="39D18166" w:rsidR="00E35AA6" w:rsidRPr="00C746A9" w:rsidRDefault="00695EFC" w:rsidP="008C62D5">
      <w:pPr>
        <w:spacing w:before="60" w:after="60"/>
        <w:rPr>
          <w:color w:val="48555E" w:themeColor="accent1"/>
        </w:rPr>
      </w:pPr>
      <w:r w:rsidRPr="00C746A9">
        <w:rPr>
          <w:color w:val="48555E" w:themeColor="accent1"/>
        </w:rPr>
        <w:t>In late 2023, the Productivity Commission</w:t>
      </w:r>
      <w:r w:rsidR="00D771EC" w:rsidRPr="00C746A9">
        <w:rPr>
          <w:color w:val="48555E" w:themeColor="accent1"/>
        </w:rPr>
        <w:t xml:space="preserve">'s report on Basin Plan implementation noted their concerns </w:t>
      </w:r>
      <w:r w:rsidR="00B343EF" w:rsidRPr="00C746A9">
        <w:rPr>
          <w:color w:val="48555E" w:themeColor="accent1"/>
        </w:rPr>
        <w:t xml:space="preserve">with the slow delivery of the </w:t>
      </w:r>
      <w:r w:rsidR="00B9411D" w:rsidRPr="00C746A9">
        <w:rPr>
          <w:color w:val="48555E" w:themeColor="accent1"/>
        </w:rPr>
        <w:t>Toolkit and</w:t>
      </w:r>
      <w:r w:rsidR="00B343EF" w:rsidRPr="00C746A9">
        <w:rPr>
          <w:color w:val="48555E" w:themeColor="accent1"/>
        </w:rPr>
        <w:t xml:space="preserve"> made the observation that this lack of progress was a reflection of inadequate accountability for delivery.</w:t>
      </w:r>
      <w:r w:rsidRPr="00C746A9">
        <w:rPr>
          <w:color w:val="48555E" w:themeColor="accent1"/>
        </w:rPr>
        <w:t xml:space="preserve"> They also </w:t>
      </w:r>
      <w:r w:rsidR="008E0BB0" w:rsidRPr="00C746A9">
        <w:rPr>
          <w:color w:val="48555E" w:themeColor="accent1"/>
        </w:rPr>
        <w:t>pointed to</w:t>
      </w:r>
      <w:r w:rsidRPr="00C746A9">
        <w:rPr>
          <w:color w:val="48555E" w:themeColor="accent1"/>
        </w:rPr>
        <w:t xml:space="preserve"> the Inspector-General as the appropriate agency </w:t>
      </w:r>
      <w:r w:rsidR="008E0BB0" w:rsidRPr="00C746A9">
        <w:rPr>
          <w:color w:val="48555E" w:themeColor="accent1"/>
        </w:rPr>
        <w:t>who should be</w:t>
      </w:r>
      <w:r w:rsidRPr="00C746A9">
        <w:rPr>
          <w:color w:val="48555E" w:themeColor="accent1"/>
        </w:rPr>
        <w:t xml:space="preserve"> provid</w:t>
      </w:r>
      <w:r w:rsidR="008E0BB0" w:rsidRPr="00C746A9">
        <w:rPr>
          <w:color w:val="48555E" w:themeColor="accent1"/>
        </w:rPr>
        <w:t>ing</w:t>
      </w:r>
      <w:r w:rsidRPr="00C746A9">
        <w:rPr>
          <w:color w:val="48555E" w:themeColor="accent1"/>
        </w:rPr>
        <w:t xml:space="preserve"> </w:t>
      </w:r>
      <w:r w:rsidR="00E35AA6" w:rsidRPr="00C746A9">
        <w:rPr>
          <w:color w:val="48555E" w:themeColor="accent1"/>
        </w:rPr>
        <w:t>independent</w:t>
      </w:r>
      <w:r w:rsidRPr="00C746A9">
        <w:rPr>
          <w:color w:val="48555E" w:themeColor="accent1"/>
        </w:rPr>
        <w:t xml:space="preserve"> </w:t>
      </w:r>
      <w:r w:rsidR="00E35AA6" w:rsidRPr="00C746A9">
        <w:rPr>
          <w:color w:val="48555E" w:themeColor="accent1"/>
        </w:rPr>
        <w:t>oversight</w:t>
      </w:r>
      <w:r w:rsidRPr="00C746A9">
        <w:rPr>
          <w:color w:val="48555E" w:themeColor="accent1"/>
        </w:rPr>
        <w:t xml:space="preserve"> of Toolkit progress.</w:t>
      </w:r>
    </w:p>
    <w:p w14:paraId="67CB3067" w14:textId="6E0C699B" w:rsidR="00435E30" w:rsidRPr="00C746A9" w:rsidRDefault="00E65691" w:rsidP="007A343F">
      <w:pPr>
        <w:spacing w:before="60" w:after="60"/>
        <w:rPr>
          <w:color w:val="48555E" w:themeColor="accent1"/>
        </w:rPr>
      </w:pPr>
      <w:r w:rsidRPr="00C746A9">
        <w:rPr>
          <w:color w:val="48555E" w:themeColor="accent1"/>
        </w:rPr>
        <w:t xml:space="preserve">By conducting an </w:t>
      </w:r>
      <w:r w:rsidR="009B3E3D" w:rsidRPr="00C746A9">
        <w:rPr>
          <w:color w:val="48555E" w:themeColor="accent1"/>
        </w:rPr>
        <w:t>i</w:t>
      </w:r>
      <w:r w:rsidRPr="00C746A9">
        <w:rPr>
          <w:color w:val="48555E" w:themeColor="accent1"/>
        </w:rPr>
        <w:t xml:space="preserve">nquiry </w:t>
      </w:r>
      <w:r w:rsidR="009B3E3D" w:rsidRPr="00C746A9">
        <w:rPr>
          <w:color w:val="48555E" w:themeColor="accent1"/>
        </w:rPr>
        <w:t>into</w:t>
      </w:r>
      <w:r w:rsidRPr="00C746A9">
        <w:rPr>
          <w:color w:val="48555E" w:themeColor="accent1"/>
        </w:rPr>
        <w:t xml:space="preserve"> the </w:t>
      </w:r>
      <w:r w:rsidR="001B127B" w:rsidRPr="00C746A9">
        <w:rPr>
          <w:color w:val="48555E" w:themeColor="accent1"/>
        </w:rPr>
        <w:t xml:space="preserve">implementation of the </w:t>
      </w:r>
      <w:r w:rsidRPr="00C746A9">
        <w:rPr>
          <w:color w:val="48555E" w:themeColor="accent1"/>
        </w:rPr>
        <w:t xml:space="preserve">Northern Basin Toolkit, the </w:t>
      </w:r>
      <w:r w:rsidR="00464880" w:rsidRPr="00C746A9">
        <w:rPr>
          <w:color w:val="48555E" w:themeColor="accent1"/>
        </w:rPr>
        <w:t>Inspector</w:t>
      </w:r>
      <w:r w:rsidRPr="00C746A9">
        <w:rPr>
          <w:color w:val="48555E" w:themeColor="accent1"/>
        </w:rPr>
        <w:t xml:space="preserve">-General </w:t>
      </w:r>
      <w:r w:rsidR="009B3E3D" w:rsidRPr="00C746A9">
        <w:rPr>
          <w:color w:val="48555E" w:themeColor="accent1"/>
        </w:rPr>
        <w:t>i</w:t>
      </w:r>
      <w:r w:rsidRPr="00C746A9">
        <w:rPr>
          <w:color w:val="48555E" w:themeColor="accent1"/>
        </w:rPr>
        <w:t xml:space="preserve">s </w:t>
      </w:r>
      <w:r w:rsidR="00C978A6" w:rsidRPr="00C746A9">
        <w:rPr>
          <w:color w:val="48555E" w:themeColor="accent1"/>
        </w:rPr>
        <w:t xml:space="preserve">ensuring accountability </w:t>
      </w:r>
      <w:r w:rsidR="00D52823" w:rsidRPr="00C746A9">
        <w:rPr>
          <w:color w:val="48555E" w:themeColor="accent1"/>
        </w:rPr>
        <w:t>in</w:t>
      </w:r>
      <w:r w:rsidR="00C978A6" w:rsidRPr="00C746A9">
        <w:rPr>
          <w:color w:val="48555E" w:themeColor="accent1"/>
        </w:rPr>
        <w:t xml:space="preserve"> the management of Basin water resources. The </w:t>
      </w:r>
      <w:r w:rsidR="00D52823" w:rsidRPr="00C746A9">
        <w:rPr>
          <w:color w:val="48555E" w:themeColor="accent1"/>
        </w:rPr>
        <w:t>Australian</w:t>
      </w:r>
      <w:r w:rsidR="00C978A6" w:rsidRPr="00C746A9">
        <w:rPr>
          <w:color w:val="48555E" w:themeColor="accent1"/>
        </w:rPr>
        <w:t>, N</w:t>
      </w:r>
      <w:r w:rsidR="00353457" w:rsidRPr="00C746A9">
        <w:rPr>
          <w:color w:val="48555E" w:themeColor="accent1"/>
        </w:rPr>
        <w:t>ew South Wales</w:t>
      </w:r>
      <w:r w:rsidR="00C978A6" w:rsidRPr="00C746A9">
        <w:rPr>
          <w:color w:val="48555E" w:themeColor="accent1"/>
        </w:rPr>
        <w:t xml:space="preserve"> and Q</w:t>
      </w:r>
      <w:r w:rsidR="00353457" w:rsidRPr="00C746A9">
        <w:rPr>
          <w:color w:val="48555E" w:themeColor="accent1"/>
        </w:rPr>
        <w:t>ueensland</w:t>
      </w:r>
      <w:r w:rsidR="00C978A6" w:rsidRPr="00C746A9">
        <w:rPr>
          <w:color w:val="48555E" w:themeColor="accent1"/>
        </w:rPr>
        <w:t xml:space="preserve"> governments </w:t>
      </w:r>
      <w:r w:rsidR="009B3E3D" w:rsidRPr="00C746A9">
        <w:rPr>
          <w:color w:val="48555E" w:themeColor="accent1"/>
        </w:rPr>
        <w:t>committed</w:t>
      </w:r>
      <w:r w:rsidR="00C978A6" w:rsidRPr="00C746A9">
        <w:rPr>
          <w:color w:val="48555E" w:themeColor="accent1"/>
        </w:rPr>
        <w:t xml:space="preserve"> to </w:t>
      </w:r>
      <w:r w:rsidR="009B3E3D" w:rsidRPr="00C746A9">
        <w:rPr>
          <w:color w:val="48555E" w:themeColor="accent1"/>
        </w:rPr>
        <w:t>i</w:t>
      </w:r>
      <w:r w:rsidR="00C978A6" w:rsidRPr="00C746A9">
        <w:rPr>
          <w:color w:val="48555E" w:themeColor="accent1"/>
        </w:rPr>
        <w:t>mplementing the Toolkit</w:t>
      </w:r>
      <w:r w:rsidR="00CC5074" w:rsidRPr="00C746A9">
        <w:rPr>
          <w:color w:val="48555E" w:themeColor="accent1"/>
        </w:rPr>
        <w:t xml:space="preserve"> as </w:t>
      </w:r>
      <w:r w:rsidR="00464880" w:rsidRPr="00C746A9">
        <w:rPr>
          <w:color w:val="48555E" w:themeColor="accent1"/>
        </w:rPr>
        <w:t xml:space="preserve">enshrined in Schedule 3 to the Intergovernmental Agreement on Implementing Water Reform </w:t>
      </w:r>
      <w:r w:rsidR="009B3E3D" w:rsidRPr="00C746A9">
        <w:rPr>
          <w:color w:val="48555E" w:themeColor="accent1"/>
        </w:rPr>
        <w:t>i</w:t>
      </w:r>
      <w:r w:rsidR="00464880" w:rsidRPr="00C746A9">
        <w:rPr>
          <w:color w:val="48555E" w:themeColor="accent1"/>
        </w:rPr>
        <w:t xml:space="preserve">n the Murray-Darling Basin </w:t>
      </w:r>
      <w:r w:rsidR="00A97C78" w:rsidRPr="00C746A9">
        <w:rPr>
          <w:color w:val="48555E" w:themeColor="accent1"/>
        </w:rPr>
        <w:t>in</w:t>
      </w:r>
      <w:r w:rsidR="00464880" w:rsidRPr="00C746A9">
        <w:rPr>
          <w:color w:val="48555E" w:themeColor="accent1"/>
        </w:rPr>
        <w:t xml:space="preserve"> 2019. </w:t>
      </w:r>
      <w:r w:rsidR="00A97C78" w:rsidRPr="00C746A9">
        <w:rPr>
          <w:color w:val="48555E" w:themeColor="accent1"/>
        </w:rPr>
        <w:t>T</w:t>
      </w:r>
      <w:r w:rsidR="009F05D7" w:rsidRPr="00C746A9">
        <w:rPr>
          <w:color w:val="48555E" w:themeColor="accent1"/>
        </w:rPr>
        <w:t xml:space="preserve">hese governments </w:t>
      </w:r>
      <w:r w:rsidR="00CC5074" w:rsidRPr="00C746A9">
        <w:rPr>
          <w:color w:val="48555E" w:themeColor="accent1"/>
        </w:rPr>
        <w:t>must</w:t>
      </w:r>
      <w:r w:rsidR="009F05D7" w:rsidRPr="00C746A9">
        <w:rPr>
          <w:color w:val="48555E" w:themeColor="accent1"/>
        </w:rPr>
        <w:t xml:space="preserve"> be accountable for the commitment they made to deliver </w:t>
      </w:r>
      <w:r w:rsidR="00CC5074" w:rsidRPr="00C746A9">
        <w:rPr>
          <w:color w:val="48555E" w:themeColor="accent1"/>
        </w:rPr>
        <w:t xml:space="preserve">on these </w:t>
      </w:r>
      <w:r w:rsidR="009F05D7" w:rsidRPr="00C746A9">
        <w:rPr>
          <w:color w:val="48555E" w:themeColor="accent1"/>
        </w:rPr>
        <w:t xml:space="preserve">environmental </w:t>
      </w:r>
      <w:r w:rsidR="00CC5074" w:rsidRPr="00C746A9">
        <w:rPr>
          <w:color w:val="48555E" w:themeColor="accent1"/>
        </w:rPr>
        <w:t>measures</w:t>
      </w:r>
      <w:r w:rsidR="009F05D7" w:rsidRPr="00C746A9">
        <w:rPr>
          <w:color w:val="48555E" w:themeColor="accent1"/>
        </w:rPr>
        <w:t>.</w:t>
      </w:r>
    </w:p>
    <w:p w14:paraId="5FCF24B3" w14:textId="77777777" w:rsidR="008C62D5" w:rsidRPr="00C746A9" w:rsidRDefault="008C62D5" w:rsidP="008C62D5">
      <w:pPr>
        <w:pStyle w:val="Heading3"/>
        <w:rPr>
          <w:color w:val="48555E" w:themeColor="accent1"/>
        </w:rPr>
      </w:pPr>
      <w:r w:rsidRPr="00C746A9">
        <w:rPr>
          <w:color w:val="48555E" w:themeColor="accent1"/>
        </w:rPr>
        <w:t>The Inspector-General's desired outcomes</w:t>
      </w:r>
    </w:p>
    <w:p w14:paraId="28BFD95F" w14:textId="77777777" w:rsidR="008C62D5" w:rsidRPr="00C746A9" w:rsidRDefault="008C62D5" w:rsidP="008C62D5">
      <w:pPr>
        <w:spacing w:before="0" w:after="0"/>
        <w:ind w:left="1883" w:hanging="1852"/>
        <w:contextualSpacing/>
        <w:rPr>
          <w:color w:val="48555E" w:themeColor="accent1"/>
        </w:rPr>
      </w:pPr>
      <w:r w:rsidRPr="00C746A9">
        <w:rPr>
          <w:b/>
          <w:bCs/>
          <w:color w:val="48555E" w:themeColor="accent1"/>
          <w:lang w:val="en-US"/>
        </w:rPr>
        <w:t xml:space="preserve">Ensure it's visible:       </w:t>
      </w:r>
      <w:r w:rsidRPr="00C746A9">
        <w:rPr>
          <w:color w:val="48555E" w:themeColor="accent1"/>
          <w:lang w:val="en-US"/>
        </w:rPr>
        <w:t>Provide the Australian community with visibility over the integrity of Basin water management.</w:t>
      </w:r>
    </w:p>
    <w:p w14:paraId="6302CC07" w14:textId="77777777" w:rsidR="008C62D5" w:rsidRPr="00C746A9" w:rsidRDefault="008C62D5" w:rsidP="008C62D5">
      <w:pPr>
        <w:spacing w:before="60" w:after="60"/>
        <w:rPr>
          <w:color w:val="48555E" w:themeColor="accent1"/>
        </w:rPr>
      </w:pPr>
      <w:r w:rsidRPr="00C746A9">
        <w:rPr>
          <w:color w:val="48555E" w:themeColor="accent1"/>
        </w:rPr>
        <w:t>Ensuring the Australian community can see and understand outcomes in Basin water management, understand the role of the Inspector-General, and be confident there is appropriate oversight of the integrity of Basin water management.</w:t>
      </w:r>
    </w:p>
    <w:p w14:paraId="7D5A236C" w14:textId="77777777" w:rsidR="008C62D5" w:rsidRPr="00C746A9" w:rsidRDefault="008C62D5" w:rsidP="008C62D5">
      <w:pPr>
        <w:spacing w:before="0" w:after="0"/>
        <w:rPr>
          <w:color w:val="48555E" w:themeColor="accent1"/>
        </w:rPr>
      </w:pPr>
      <w:r w:rsidRPr="00C746A9">
        <w:rPr>
          <w:b/>
          <w:bCs/>
          <w:color w:val="48555E" w:themeColor="accent1"/>
        </w:rPr>
        <w:t>Do it Better:</w:t>
      </w:r>
      <w:r w:rsidRPr="00C746A9">
        <w:rPr>
          <w:color w:val="48555E" w:themeColor="accent1"/>
        </w:rPr>
        <w:t xml:space="preserve">                 Raise performance and drive improvements in standards of Basin Plan delivery.</w:t>
      </w:r>
    </w:p>
    <w:p w14:paraId="060DE23F" w14:textId="77777777" w:rsidR="008C62D5" w:rsidRPr="00C746A9" w:rsidRDefault="008C62D5" w:rsidP="008C62D5">
      <w:pPr>
        <w:spacing w:before="60" w:after="60"/>
        <w:rPr>
          <w:color w:val="48555E" w:themeColor="accent1"/>
        </w:rPr>
      </w:pPr>
      <w:r w:rsidRPr="00C746A9">
        <w:rPr>
          <w:color w:val="48555E" w:themeColor="accent1"/>
        </w:rPr>
        <w:t>Pursuing continuous improvement in the performance of Basin water managers to embed integrity, transparency, and accountability in the delivery of Basin Plan outcomes.</w:t>
      </w:r>
    </w:p>
    <w:p w14:paraId="5DAD2FAD" w14:textId="77777777" w:rsidR="008C62D5" w:rsidRPr="00C746A9" w:rsidRDefault="008C62D5" w:rsidP="008C62D5">
      <w:pPr>
        <w:pStyle w:val="Heading3"/>
        <w:rPr>
          <w:color w:val="48555E" w:themeColor="accent1"/>
        </w:rPr>
      </w:pPr>
      <w:r w:rsidRPr="00C746A9">
        <w:rPr>
          <w:color w:val="48555E" w:themeColor="accent1"/>
        </w:rPr>
        <w:t>What the Inspector-General will do</w:t>
      </w:r>
    </w:p>
    <w:p w14:paraId="3DF5CF9B" w14:textId="03E6C528" w:rsidR="0033181D" w:rsidRPr="00C746A9" w:rsidRDefault="00DD41BB" w:rsidP="008C62D5">
      <w:pPr>
        <w:pStyle w:val="ListBullet"/>
        <w:rPr>
          <w:color w:val="48555E" w:themeColor="accent1"/>
        </w:rPr>
      </w:pPr>
      <w:r w:rsidRPr="00C746A9">
        <w:rPr>
          <w:color w:val="48555E" w:themeColor="accent1"/>
        </w:rPr>
        <w:t>Undertake</w:t>
      </w:r>
      <w:r w:rsidR="008C62D5" w:rsidRPr="00C746A9">
        <w:rPr>
          <w:color w:val="48555E" w:themeColor="accent1"/>
        </w:rPr>
        <w:t xml:space="preserve"> a</w:t>
      </w:r>
      <w:r w:rsidR="001B127B" w:rsidRPr="00C746A9">
        <w:rPr>
          <w:color w:val="48555E" w:themeColor="accent1"/>
        </w:rPr>
        <w:t>n Inquiry into the implementation of the</w:t>
      </w:r>
      <w:r w:rsidRPr="00C746A9">
        <w:rPr>
          <w:color w:val="48555E" w:themeColor="accent1"/>
        </w:rPr>
        <w:t xml:space="preserve"> </w:t>
      </w:r>
      <w:r w:rsidR="008C62D5" w:rsidRPr="00C746A9">
        <w:rPr>
          <w:color w:val="48555E" w:themeColor="accent1"/>
        </w:rPr>
        <w:t>Northern Basin Toolkit</w:t>
      </w:r>
      <w:r w:rsidRPr="00C746A9">
        <w:rPr>
          <w:color w:val="48555E" w:themeColor="accent1"/>
        </w:rPr>
        <w:t xml:space="preserve"> </w:t>
      </w:r>
      <w:r w:rsidR="0033181D" w:rsidRPr="00C746A9">
        <w:rPr>
          <w:color w:val="48555E" w:themeColor="accent1"/>
        </w:rPr>
        <w:t>to</w:t>
      </w:r>
      <w:r w:rsidR="00F74136" w:rsidRPr="00C746A9">
        <w:rPr>
          <w:color w:val="48555E" w:themeColor="accent1"/>
        </w:rPr>
        <w:t xml:space="preserve"> inquire into</w:t>
      </w:r>
      <w:r w:rsidR="007078DD" w:rsidRPr="00C746A9">
        <w:rPr>
          <w:color w:val="48555E" w:themeColor="accent1"/>
        </w:rPr>
        <w:t xml:space="preserve"> and making findings and recommendations in relation to</w:t>
      </w:r>
      <w:r w:rsidR="00F74136" w:rsidRPr="00C746A9">
        <w:rPr>
          <w:color w:val="48555E" w:themeColor="accent1"/>
        </w:rPr>
        <w:t>:</w:t>
      </w:r>
    </w:p>
    <w:p w14:paraId="2B5F5852" w14:textId="112E91AE" w:rsidR="008C62D5" w:rsidRPr="00C746A9" w:rsidRDefault="00F74136" w:rsidP="007A343F">
      <w:pPr>
        <w:pStyle w:val="ListBullet"/>
        <w:numPr>
          <w:ilvl w:val="0"/>
          <w:numId w:val="4"/>
        </w:numPr>
        <w:ind w:left="709" w:hanging="283"/>
        <w:rPr>
          <w:color w:val="48555E" w:themeColor="accent1"/>
        </w:rPr>
      </w:pPr>
      <w:r w:rsidRPr="00C746A9">
        <w:rPr>
          <w:color w:val="48555E" w:themeColor="accent1"/>
        </w:rPr>
        <w:t xml:space="preserve">The extent to </w:t>
      </w:r>
      <w:r w:rsidR="001B127B" w:rsidRPr="00C746A9">
        <w:rPr>
          <w:color w:val="48555E" w:themeColor="accent1"/>
        </w:rPr>
        <w:t>which</w:t>
      </w:r>
      <w:r w:rsidRPr="00C746A9">
        <w:rPr>
          <w:color w:val="48555E" w:themeColor="accent1"/>
        </w:rPr>
        <w:t xml:space="preserve"> the Northern Basin Toolkit has been implemented</w:t>
      </w:r>
    </w:p>
    <w:p w14:paraId="404785D1" w14:textId="48D7BD3C" w:rsidR="007078DD" w:rsidRPr="00C746A9" w:rsidRDefault="00664EB1">
      <w:pPr>
        <w:pStyle w:val="ListBullet"/>
        <w:numPr>
          <w:ilvl w:val="0"/>
          <w:numId w:val="4"/>
        </w:numPr>
        <w:ind w:left="709" w:hanging="283"/>
        <w:rPr>
          <w:color w:val="48555E" w:themeColor="accent1"/>
        </w:rPr>
      </w:pPr>
      <w:r w:rsidRPr="00C746A9">
        <w:rPr>
          <w:color w:val="48555E" w:themeColor="accent1"/>
        </w:rPr>
        <w:t xml:space="preserve">The </w:t>
      </w:r>
      <w:r w:rsidR="007078DD" w:rsidRPr="00C746A9">
        <w:rPr>
          <w:color w:val="48555E" w:themeColor="accent1"/>
        </w:rPr>
        <w:t xml:space="preserve">extent to </w:t>
      </w:r>
      <w:r w:rsidR="001B127B" w:rsidRPr="00C746A9">
        <w:rPr>
          <w:color w:val="48555E" w:themeColor="accent1"/>
        </w:rPr>
        <w:t>which</w:t>
      </w:r>
      <w:r w:rsidR="007078DD" w:rsidRPr="00C746A9">
        <w:rPr>
          <w:color w:val="48555E" w:themeColor="accent1"/>
        </w:rPr>
        <w:t xml:space="preserve"> outcomes sought have been attained</w:t>
      </w:r>
    </w:p>
    <w:p w14:paraId="15B54A2D" w14:textId="3C9561CD" w:rsidR="00B9411D" w:rsidRPr="00C746A9" w:rsidRDefault="00B9411D">
      <w:pPr>
        <w:pStyle w:val="ListBullet"/>
        <w:numPr>
          <w:ilvl w:val="0"/>
          <w:numId w:val="4"/>
        </w:numPr>
        <w:ind w:left="709" w:hanging="283"/>
        <w:rPr>
          <w:color w:val="48555E" w:themeColor="accent1"/>
        </w:rPr>
      </w:pPr>
      <w:r w:rsidRPr="00C746A9">
        <w:rPr>
          <w:color w:val="48555E" w:themeColor="accent1"/>
        </w:rPr>
        <w:t>The extent to which program governance arrangements have been effective</w:t>
      </w:r>
    </w:p>
    <w:p w14:paraId="0F68A39C" w14:textId="55A02C36" w:rsidR="00B9411D" w:rsidRPr="00C746A9" w:rsidRDefault="00B9411D" w:rsidP="007A343F">
      <w:pPr>
        <w:pStyle w:val="ListBullet"/>
        <w:numPr>
          <w:ilvl w:val="0"/>
          <w:numId w:val="4"/>
        </w:numPr>
        <w:ind w:left="709" w:hanging="283"/>
        <w:rPr>
          <w:color w:val="48555E" w:themeColor="accent1"/>
        </w:rPr>
      </w:pPr>
      <w:r w:rsidRPr="00C746A9">
        <w:rPr>
          <w:color w:val="48555E" w:themeColor="accent1"/>
        </w:rPr>
        <w:t>Reasons for the non-delivery of all measures by the originally agreed date of June 2024</w:t>
      </w:r>
    </w:p>
    <w:p w14:paraId="0A413AD5" w14:textId="7A8AA7A8" w:rsidR="007078DD" w:rsidRPr="00C746A9" w:rsidRDefault="00B9411D" w:rsidP="007A343F">
      <w:pPr>
        <w:pStyle w:val="ListBullet"/>
        <w:numPr>
          <w:ilvl w:val="0"/>
          <w:numId w:val="4"/>
        </w:numPr>
        <w:ind w:left="709" w:hanging="283"/>
        <w:rPr>
          <w:color w:val="48555E" w:themeColor="accent1"/>
        </w:rPr>
      </w:pPr>
      <w:r w:rsidRPr="00C746A9">
        <w:rPr>
          <w:color w:val="48555E" w:themeColor="accent1"/>
        </w:rPr>
        <w:t>W</w:t>
      </w:r>
      <w:r w:rsidR="007078DD" w:rsidRPr="00C746A9">
        <w:rPr>
          <w:color w:val="48555E" w:themeColor="accent1"/>
        </w:rPr>
        <w:t>ork left to do to implement the Northern Basin Toolkit</w:t>
      </w:r>
      <w:r w:rsidRPr="00C746A9">
        <w:rPr>
          <w:color w:val="48555E" w:themeColor="accent1"/>
        </w:rPr>
        <w:t>.</w:t>
      </w:r>
    </w:p>
    <w:p w14:paraId="0AA0D7AB" w14:textId="0CCA24BB" w:rsidR="0061305B" w:rsidRPr="00C03B86" w:rsidRDefault="0061305B" w:rsidP="00C03B86">
      <w:pPr>
        <w:spacing w:before="0" w:after="0"/>
        <w:rPr>
          <w:sz w:val="16"/>
          <w:szCs w:val="20"/>
        </w:rPr>
      </w:pPr>
    </w:p>
    <w:p w14:paraId="711724C4" w14:textId="24FDBE27" w:rsidR="000D7A8A" w:rsidRPr="005E2430" w:rsidRDefault="000D7A8A" w:rsidP="008237DD">
      <w:pPr>
        <w:spacing w:before="0" w:after="0" w:line="240" w:lineRule="auto"/>
        <w:jc w:val="both"/>
        <w:rPr>
          <w:sz w:val="4"/>
          <w:szCs w:val="4"/>
        </w:rPr>
      </w:pPr>
    </w:p>
    <w:sectPr w:rsidR="000D7A8A" w:rsidRPr="005E2430" w:rsidSect="00C03B86">
      <w:pgSz w:w="11918" w:h="16840"/>
      <w:pgMar w:top="964" w:right="964" w:bottom="1276" w:left="96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D657F" w14:textId="77777777" w:rsidR="00193AEA" w:rsidRDefault="00193AEA" w:rsidP="005856C8">
      <w:pPr>
        <w:spacing w:before="0" w:after="0" w:line="240" w:lineRule="auto"/>
      </w:pPr>
      <w:r>
        <w:separator/>
      </w:r>
    </w:p>
  </w:endnote>
  <w:endnote w:type="continuationSeparator" w:id="0">
    <w:p w14:paraId="3A770F13" w14:textId="77777777" w:rsidR="00193AEA" w:rsidRDefault="00193AEA" w:rsidP="005856C8">
      <w:pPr>
        <w:spacing w:before="0" w:after="0" w:line="240" w:lineRule="auto"/>
      </w:pPr>
      <w:r>
        <w:continuationSeparator/>
      </w:r>
    </w:p>
  </w:endnote>
  <w:endnote w:type="continuationNotice" w:id="1">
    <w:p w14:paraId="41472DAC" w14:textId="77777777" w:rsidR="00193AEA" w:rsidRDefault="00193A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 Grotesk">
    <w:altName w:val="Calibri"/>
    <w:panose1 w:val="00000000000000000000"/>
    <w:charset w:val="4D"/>
    <w:family w:val="auto"/>
    <w:notTrueType/>
    <w:pitch w:val="variable"/>
    <w:sig w:usb0="00000007" w:usb1="00000000" w:usb2="00000000" w:usb3="00000000" w:csb0="00000093" w:csb1="00000000"/>
  </w:font>
  <w:font w:name="Roc Grotesk Medium">
    <w:altName w:val="Calibri"/>
    <w:panose1 w:val="00000000000000000000"/>
    <w:charset w:val="4D"/>
    <w:family w:val="auto"/>
    <w:notTrueType/>
    <w:pitch w:val="variable"/>
    <w:sig w:usb0="00000007" w:usb1="00000000" w:usb2="00000000" w:usb3="00000000" w:csb0="00000093" w:csb1="00000000"/>
  </w:font>
  <w:font w:name="Calibri (Body)">
    <w:altName w:val="Calibri"/>
    <w:panose1 w:val="00000000000000000000"/>
    <w:charset w:val="00"/>
    <w:family w:val="roman"/>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218F" w14:textId="249E25F7" w:rsidR="006A4CD3" w:rsidRDefault="001A7AB3">
    <w:pPr>
      <w:pStyle w:val="Footer"/>
    </w:pPr>
    <w:r>
      <w:rPr>
        <w:noProof/>
      </w:rPr>
      <mc:AlternateContent>
        <mc:Choice Requires="wps">
          <w:drawing>
            <wp:anchor distT="0" distB="0" distL="0" distR="0" simplePos="0" relativeHeight="251658252" behindDoc="0" locked="0" layoutInCell="1" allowOverlap="1" wp14:anchorId="6223493F" wp14:editId="63FF0C63">
              <wp:simplePos x="635" y="635"/>
              <wp:positionH relativeFrom="page">
                <wp:align>center</wp:align>
              </wp:positionH>
              <wp:positionV relativeFrom="page">
                <wp:align>bottom</wp:align>
              </wp:positionV>
              <wp:extent cx="551815" cy="431800"/>
              <wp:effectExtent l="0" t="0" r="635" b="0"/>
              <wp:wrapNone/>
              <wp:docPr id="75878768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57F5A945" w14:textId="066B9635"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23493F" id="_x0000_t202" coordsize="21600,21600" o:spt="202" path="m,l,21600r21600,l21600,xe">
              <v:stroke joinstyle="miter"/>
              <v:path gradientshapeok="t" o:connecttype="rect"/>
            </v:shapetype>
            <v:shape id="Text Box 11" o:spid="_x0000_s1028" type="#_x0000_t202" alt="OFFICIAL" style="position:absolute;margin-left:0;margin-top:0;width:43.45pt;height:34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" filled="f" stroked="f">
              <v:textbox style="mso-fit-shape-to-text:t" inset="0,0,0,15pt">
                <w:txbxContent>
                  <w:p w14:paraId="57F5A945" w14:textId="066B9635"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51FC" w14:textId="5897B2B9" w:rsidR="006A4CD3" w:rsidRDefault="001A7AB3">
    <w:pPr>
      <w:pStyle w:val="Footer"/>
    </w:pPr>
    <w:r>
      <w:rPr>
        <w:noProof/>
      </w:rPr>
      <mc:AlternateContent>
        <mc:Choice Requires="wps">
          <w:drawing>
            <wp:anchor distT="0" distB="0" distL="0" distR="0" simplePos="0" relativeHeight="251658253" behindDoc="0" locked="0" layoutInCell="1" allowOverlap="1" wp14:anchorId="4EB0503A" wp14:editId="2EBBBD3E">
              <wp:simplePos x="612775" y="10577830"/>
              <wp:positionH relativeFrom="page">
                <wp:align>center</wp:align>
              </wp:positionH>
              <wp:positionV relativeFrom="page">
                <wp:align>bottom</wp:align>
              </wp:positionV>
              <wp:extent cx="551815" cy="431800"/>
              <wp:effectExtent l="0" t="0" r="635" b="0"/>
              <wp:wrapNone/>
              <wp:docPr id="7614770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49A43B4E" w14:textId="3C8400BE"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0503A" id="_x0000_t202" coordsize="21600,21600" o:spt="202" path="m,l,21600r21600,l21600,xe">
              <v:stroke joinstyle="miter"/>
              <v:path gradientshapeok="t" o:connecttype="rect"/>
            </v:shapetype>
            <v:shape id="Text Box 12" o:spid="_x0000_s1029" type="#_x0000_t202" alt="OFFICIAL" style="position:absolute;margin-left:0;margin-top:0;width:43.45pt;height:34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" filled="f" stroked="f">
              <v:textbox style="mso-fit-shape-to-text:t" inset="0,0,0,15pt">
                <w:txbxContent>
                  <w:p w14:paraId="49A43B4E" w14:textId="3C8400BE"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025E" w14:textId="514407D7" w:rsidR="006A4CD3" w:rsidRDefault="001A7AB3">
    <w:pPr>
      <w:pStyle w:val="Footer"/>
    </w:pPr>
    <w:r>
      <w:rPr>
        <w:noProof/>
      </w:rPr>
      <mc:AlternateContent>
        <mc:Choice Requires="wps">
          <w:drawing>
            <wp:anchor distT="0" distB="0" distL="0" distR="0" simplePos="0" relativeHeight="251658251" behindDoc="0" locked="0" layoutInCell="1" allowOverlap="1" wp14:anchorId="39EDAA22" wp14:editId="046AFAAC">
              <wp:simplePos x="635" y="635"/>
              <wp:positionH relativeFrom="page">
                <wp:align>center</wp:align>
              </wp:positionH>
              <wp:positionV relativeFrom="page">
                <wp:align>bottom</wp:align>
              </wp:positionV>
              <wp:extent cx="551815" cy="431800"/>
              <wp:effectExtent l="0" t="0" r="635" b="0"/>
              <wp:wrapNone/>
              <wp:docPr id="99039179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613A3DA3" w14:textId="125B8017"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DAA22" id="_x0000_t202" coordsize="21600,21600" o:spt="202" path="m,l,21600r21600,l21600,xe">
              <v:stroke joinstyle="miter"/>
              <v:path gradientshapeok="t" o:connecttype="rect"/>
            </v:shapetype>
            <v:shape id="Text Box 10" o:spid="_x0000_s1031" type="#_x0000_t202" alt="OFFICIAL" style="position:absolute;margin-left:0;margin-top:0;width:43.45pt;height:34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Y+DgIAABw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" filled="f" stroked="f">
              <v:textbox style="mso-fit-shape-to-text:t" inset="0,0,0,15pt">
                <w:txbxContent>
                  <w:p w14:paraId="613A3DA3" w14:textId="125B8017"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33F7" w14:textId="0D26B99F" w:rsidR="006A4CD3" w:rsidRDefault="001A7AB3">
    <w:pPr>
      <w:pStyle w:val="Footer"/>
    </w:pPr>
    <w:r>
      <w:rPr>
        <w:noProof/>
      </w:rPr>
      <mc:AlternateContent>
        <mc:Choice Requires="wps">
          <w:drawing>
            <wp:anchor distT="0" distB="0" distL="0" distR="0" simplePos="0" relativeHeight="251658255" behindDoc="0" locked="0" layoutInCell="1" allowOverlap="1" wp14:anchorId="21ABAE3A" wp14:editId="3E90F96E">
              <wp:simplePos x="635" y="635"/>
              <wp:positionH relativeFrom="page">
                <wp:align>center</wp:align>
              </wp:positionH>
              <wp:positionV relativeFrom="page">
                <wp:align>bottom</wp:align>
              </wp:positionV>
              <wp:extent cx="551815" cy="431800"/>
              <wp:effectExtent l="0" t="0" r="635" b="0"/>
              <wp:wrapNone/>
              <wp:docPr id="151167167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24B80837" w14:textId="431FFAE0"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ABAE3A" id="_x0000_t202" coordsize="21600,21600" o:spt="202" path="m,l,21600r21600,l21600,xe">
              <v:stroke joinstyle="miter"/>
              <v:path gradientshapeok="t" o:connecttype="rect"/>
            </v:shapetype>
            <v:shape id="Text Box 14" o:spid="_x0000_s1034" type="#_x0000_t202" alt="OFFICIAL" style="position:absolute;margin-left:0;margin-top:0;width:43.45pt;height:34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rDDwIAABw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" filled="f" stroked="f">
              <v:textbox style="mso-fit-shape-to-text:t" inset="0,0,0,15pt">
                <w:txbxContent>
                  <w:p w14:paraId="24B80837" w14:textId="431FFAE0"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4797"/>
      <w:gridCol w:w="400"/>
      <w:gridCol w:w="4793"/>
    </w:tblGrid>
    <w:tr w:rsidR="0004340A" w:rsidRPr="0004340A" w14:paraId="55A100E7" w14:textId="77777777" w:rsidTr="00913DD7">
      <w:trPr>
        <w:trHeight w:val="690"/>
      </w:trPr>
      <w:tc>
        <w:tcPr>
          <w:tcW w:w="2401" w:type="pct"/>
        </w:tcPr>
        <w:p w14:paraId="5180D858" w14:textId="3E5EE90B" w:rsidR="0004340A" w:rsidRPr="0004340A" w:rsidRDefault="001A7AB3">
          <w:pPr>
            <w:pStyle w:val="Footer"/>
            <w:rPr>
              <w:rStyle w:val="ColourWhite"/>
            </w:rPr>
          </w:pPr>
          <w:r>
            <w:rPr>
              <w:noProof/>
              <w:color w:val="FFFFFF" w:themeColor="background1"/>
            </w:rPr>
            <mc:AlternateContent>
              <mc:Choice Requires="wps">
                <w:drawing>
                  <wp:anchor distT="0" distB="0" distL="0" distR="0" simplePos="0" relativeHeight="251658256" behindDoc="0" locked="0" layoutInCell="1" allowOverlap="1" wp14:anchorId="5A1F0E35" wp14:editId="473BE8B0">
                    <wp:simplePos x="612775" y="10139680"/>
                    <wp:positionH relativeFrom="page">
                      <wp:align>center</wp:align>
                    </wp:positionH>
                    <wp:positionV relativeFrom="page">
                      <wp:align>bottom</wp:align>
                    </wp:positionV>
                    <wp:extent cx="551815" cy="431800"/>
                    <wp:effectExtent l="0" t="0" r="635" b="0"/>
                    <wp:wrapNone/>
                    <wp:docPr id="108799143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29138BEB" w14:textId="6DEB869E"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F0E35" id="_x0000_t202" coordsize="21600,21600" o:spt="202" path="m,l,21600r21600,l21600,xe">
                    <v:stroke joinstyle="miter"/>
                    <v:path gradientshapeok="t" o:connecttype="rect"/>
                  </v:shapetype>
                  <v:shape id="Text Box 15" o:spid="_x0000_s1035" type="#_x0000_t202" alt="OFFICIAL" style="position:absolute;margin-left:0;margin-top:0;width:43.45pt;height:34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j+DwIAABw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" filled="f" stroked="f">
                    <v:textbox style="mso-fit-shape-to-text:t" inset="0,0,0,15pt">
                      <w:txbxContent>
                        <w:p w14:paraId="29138BEB" w14:textId="6DEB869E"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sdt>
            <w:sdtPr>
              <w:rPr>
                <w:rStyle w:val="ColourWhite"/>
              </w:rPr>
              <w:alias w:val="Title"/>
              <w:tag w:val=""/>
              <w:id w:val="886384654"/>
              <w:placeholder>
                <w:docPart w:val="32EA586800946C48A81A1E49C7F1F4FE"/>
              </w:placeholder>
              <w:dataBinding w:prefixMappings="xmlns:ns0='http://purl.org/dc/elements/1.1/' xmlns:ns1='http://schemas.openxmlformats.org/package/2006/metadata/core-properties' " w:xpath="/ns1:coreProperties[1]/ns0:title[1]" w:storeItemID="{6C3C8BC8-F283-45AE-878A-BAB7291924A1}"/>
              <w:text/>
            </w:sdtPr>
            <w:sdtContent>
              <w:r w:rsidR="00F321F7">
                <w:rPr>
                  <w:rStyle w:val="ColourWhite"/>
                </w:rPr>
                <w:t>Annual Work plan 2024-25</w:t>
              </w:r>
            </w:sdtContent>
          </w:sdt>
        </w:p>
      </w:tc>
      <w:tc>
        <w:tcPr>
          <w:tcW w:w="200" w:type="pct"/>
        </w:tcPr>
        <w:p w14:paraId="56F88900" w14:textId="77777777" w:rsidR="0004340A" w:rsidRPr="0004340A" w:rsidRDefault="0004340A">
          <w:pPr>
            <w:pStyle w:val="Footer"/>
            <w:rPr>
              <w:rStyle w:val="ColourWhite"/>
            </w:rPr>
          </w:pPr>
        </w:p>
      </w:tc>
      <w:tc>
        <w:tcPr>
          <w:tcW w:w="2402" w:type="pct"/>
        </w:tcPr>
        <w:p w14:paraId="17ACA775" w14:textId="603D6E14" w:rsidR="0004340A" w:rsidRPr="0004340A" w:rsidRDefault="00913DD7">
          <w:pPr>
            <w:pStyle w:val="Footer"/>
            <w:jc w:val="right"/>
            <w:rPr>
              <w:rStyle w:val="ColourWhite"/>
            </w:rPr>
          </w:pPr>
          <w:r>
            <w:rPr>
              <w:rStyle w:val="ColourWhite"/>
            </w:rPr>
            <w:fldChar w:fldCharType="begin"/>
          </w:r>
          <w:r>
            <w:rPr>
              <w:rStyle w:val="ColourWhite"/>
            </w:rPr>
            <w:instrText xml:space="preserve"> PAGE \* Arabic \* MERGEFORMAT </w:instrText>
          </w:r>
          <w:r>
            <w:rPr>
              <w:rStyle w:val="ColourWhite"/>
            </w:rPr>
            <w:fldChar w:fldCharType="separate"/>
          </w:r>
          <w:r>
            <w:rPr>
              <w:rStyle w:val="ColourWhite"/>
              <w:noProof/>
            </w:rPr>
            <w:t>2</w:t>
          </w:r>
          <w:r>
            <w:rPr>
              <w:rStyle w:val="ColourWhite"/>
            </w:rPr>
            <w:fldChar w:fldCharType="end"/>
          </w:r>
        </w:p>
      </w:tc>
    </w:tr>
  </w:tbl>
  <w:p w14:paraId="0896F594" w14:textId="77777777" w:rsidR="0004340A" w:rsidRDefault="000434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75F16" w14:textId="07941B4F" w:rsidR="006A4CD3" w:rsidRDefault="001A7AB3">
    <w:pPr>
      <w:pStyle w:val="Footer"/>
    </w:pPr>
    <w:r>
      <w:rPr>
        <w:noProof/>
      </w:rPr>
      <mc:AlternateContent>
        <mc:Choice Requires="wps">
          <w:drawing>
            <wp:anchor distT="0" distB="0" distL="0" distR="0" simplePos="0" relativeHeight="251658254" behindDoc="0" locked="0" layoutInCell="1" allowOverlap="1" wp14:anchorId="57E863AA" wp14:editId="74C6AE17">
              <wp:simplePos x="635" y="635"/>
              <wp:positionH relativeFrom="page">
                <wp:align>center</wp:align>
              </wp:positionH>
              <wp:positionV relativeFrom="page">
                <wp:align>bottom</wp:align>
              </wp:positionV>
              <wp:extent cx="551815" cy="431800"/>
              <wp:effectExtent l="0" t="0" r="635" b="0"/>
              <wp:wrapNone/>
              <wp:docPr id="79286756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1D2DB2E7" w14:textId="7D34FDDD"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863AA" id="_x0000_t202" coordsize="21600,21600" o:spt="202" path="m,l,21600r21600,l21600,xe">
              <v:stroke joinstyle="miter"/>
              <v:path gradientshapeok="t" o:connecttype="rect"/>
            </v:shapetype>
            <v:shape id="Text Box 13" o:spid="_x0000_s1037" type="#_x0000_t202" alt="OFFICIAL" style="position:absolute;margin-left:0;margin-top:0;width:43.45pt;height:34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" filled="f" stroked="f">
              <v:textbox style="mso-fit-shape-to-text:t" inset="0,0,0,15pt">
                <w:txbxContent>
                  <w:p w14:paraId="1D2DB2E7" w14:textId="7D34FDDD"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61F3" w14:textId="4A839FDD" w:rsidR="006A4CD3" w:rsidRDefault="001A7AB3">
    <w:pPr>
      <w:pStyle w:val="Footer"/>
    </w:pPr>
    <w:r>
      <w:rPr>
        <w:noProof/>
      </w:rPr>
      <mc:AlternateContent>
        <mc:Choice Requires="wps">
          <w:drawing>
            <wp:anchor distT="0" distB="0" distL="0" distR="0" simplePos="0" relativeHeight="251658258" behindDoc="0" locked="0" layoutInCell="1" allowOverlap="1" wp14:anchorId="3698B4AE" wp14:editId="7C5BC23A">
              <wp:simplePos x="635" y="635"/>
              <wp:positionH relativeFrom="page">
                <wp:align>center</wp:align>
              </wp:positionH>
              <wp:positionV relativeFrom="page">
                <wp:align>bottom</wp:align>
              </wp:positionV>
              <wp:extent cx="551815" cy="431800"/>
              <wp:effectExtent l="0" t="0" r="635" b="0"/>
              <wp:wrapNone/>
              <wp:docPr id="198638658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271E8667" w14:textId="5916F1C9"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98B4AE" id="_x0000_t202" coordsize="21600,21600" o:spt="202" path="m,l,21600r21600,l21600,xe">
              <v:stroke joinstyle="miter"/>
              <v:path gradientshapeok="t" o:connecttype="rect"/>
            </v:shapetype>
            <v:shape id="Text Box 17" o:spid="_x0000_s1040" type="#_x0000_t202" alt="OFFICIAL" style="position:absolute;margin-left:0;margin-top:0;width:43.45pt;height:34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" filled="f" stroked="f">
              <v:textbox style="mso-fit-shape-to-text:t" inset="0,0,0,15pt">
                <w:txbxContent>
                  <w:p w14:paraId="271E8667" w14:textId="5916F1C9"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4797"/>
      <w:gridCol w:w="400"/>
      <w:gridCol w:w="4793"/>
    </w:tblGrid>
    <w:tr w:rsidR="00913DD7" w:rsidRPr="00913DD7" w14:paraId="35C66C9C" w14:textId="77777777" w:rsidTr="00BE1640">
      <w:trPr>
        <w:trHeight w:val="690"/>
      </w:trPr>
      <w:tc>
        <w:tcPr>
          <w:tcW w:w="2401" w:type="pct"/>
        </w:tcPr>
        <w:p w14:paraId="49CD59FC" w14:textId="0879F88A" w:rsidR="00913DD7" w:rsidRPr="00913DD7" w:rsidRDefault="00000000" w:rsidP="00913DD7">
          <w:pPr>
            <w:pStyle w:val="Footer"/>
          </w:pPr>
          <w:sdt>
            <w:sdtPr>
              <w:alias w:val="Title"/>
              <w:tag w:val=""/>
              <w:id w:val="1197580142"/>
              <w:placeholder>
                <w:docPart w:val="2D853D2DBDFCED42885B8B01973A2356"/>
              </w:placeholder>
              <w:dataBinding w:prefixMappings="xmlns:ns0='http://purl.org/dc/elements/1.1/' xmlns:ns1='http://schemas.openxmlformats.org/package/2006/metadata/core-properties' " w:xpath="/ns1:coreProperties[1]/ns0:title[1]" w:storeItemID="{6C3C8BC8-F283-45AE-878A-BAB7291924A1}"/>
              <w:text/>
            </w:sdtPr>
            <w:sdtContent>
              <w:r w:rsidR="00180E35">
                <w:t>Annual Work plan 20</w:t>
              </w:r>
              <w:r w:rsidR="00F321F7">
                <w:t>24-25</w:t>
              </w:r>
            </w:sdtContent>
          </w:sdt>
        </w:p>
      </w:tc>
      <w:tc>
        <w:tcPr>
          <w:tcW w:w="200" w:type="pct"/>
        </w:tcPr>
        <w:p w14:paraId="6601F72E" w14:textId="77777777" w:rsidR="00913DD7" w:rsidRPr="00913DD7" w:rsidRDefault="00913DD7" w:rsidP="00913DD7">
          <w:pPr>
            <w:pStyle w:val="Footer"/>
            <w:jc w:val="right"/>
          </w:pPr>
        </w:p>
      </w:tc>
      <w:tc>
        <w:tcPr>
          <w:tcW w:w="2402" w:type="pct"/>
        </w:tcPr>
        <w:p w14:paraId="7474895B" w14:textId="77777777" w:rsidR="00913DD7" w:rsidRPr="00913DD7" w:rsidRDefault="00913DD7" w:rsidP="00913DD7">
          <w:pPr>
            <w:pStyle w:val="Footer"/>
            <w:jc w:val="right"/>
          </w:pPr>
          <w:r w:rsidRPr="00913DD7">
            <w:fldChar w:fldCharType="begin"/>
          </w:r>
          <w:r w:rsidRPr="00913DD7">
            <w:instrText xml:space="preserve"> PAGE \* Arabic \* MERGEFORMAT </w:instrText>
          </w:r>
          <w:r w:rsidRPr="00913DD7">
            <w:fldChar w:fldCharType="separate"/>
          </w:r>
          <w:r w:rsidRPr="00913DD7">
            <w:t>2</w:t>
          </w:r>
          <w:r w:rsidRPr="00913DD7">
            <w:fldChar w:fldCharType="end"/>
          </w:r>
        </w:p>
      </w:tc>
    </w:tr>
  </w:tbl>
  <w:p w14:paraId="4DC1DB8D" w14:textId="4A4087EB" w:rsidR="0004340A" w:rsidRPr="00913DD7" w:rsidRDefault="001A7AB3" w:rsidP="00913DD7">
    <w:pPr>
      <w:pStyle w:val="Footer"/>
    </w:pPr>
    <w:r>
      <w:rPr>
        <w:noProof/>
      </w:rPr>
      <mc:AlternateContent>
        <mc:Choice Requires="wps">
          <w:drawing>
            <wp:anchor distT="0" distB="0" distL="0" distR="0" simplePos="0" relativeHeight="251658259" behindDoc="0" locked="0" layoutInCell="1" allowOverlap="1" wp14:anchorId="6B60AFE1" wp14:editId="28AB2EA5">
              <wp:simplePos x="0" y="0"/>
              <wp:positionH relativeFrom="margin">
                <wp:align>center</wp:align>
              </wp:positionH>
              <wp:positionV relativeFrom="page">
                <wp:posOffset>10081895</wp:posOffset>
              </wp:positionV>
              <wp:extent cx="551815" cy="431800"/>
              <wp:effectExtent l="0" t="0" r="635" b="0"/>
              <wp:wrapNone/>
              <wp:docPr id="200660575"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2690496D" w14:textId="085DAC7F"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60AFE1" id="_x0000_t202" coordsize="21600,21600" o:spt="202" path="m,l,21600r21600,l21600,xe">
              <v:stroke joinstyle="miter"/>
              <v:path gradientshapeok="t" o:connecttype="rect"/>
            </v:shapetype>
            <v:shape id="Text Box 18" o:spid="_x0000_s1041" type="#_x0000_t202" alt="OFFICIAL" style="position:absolute;margin-left:0;margin-top:793.85pt;width:43.45pt;height:34pt;z-index:251658259;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" filled="f" stroked="f">
              <v:textbox style="mso-fit-shape-to-text:t" inset="0,0,0,15pt">
                <w:txbxContent>
                  <w:p w14:paraId="2690496D" w14:textId="085DAC7F"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margin"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53BC" w14:textId="0DC0E37B" w:rsidR="006A4CD3" w:rsidRDefault="001A7AB3">
    <w:pPr>
      <w:pStyle w:val="Footer"/>
    </w:pPr>
    <w:r>
      <w:rPr>
        <w:noProof/>
      </w:rPr>
      <mc:AlternateContent>
        <mc:Choice Requires="wps">
          <w:drawing>
            <wp:anchor distT="0" distB="0" distL="0" distR="0" simplePos="0" relativeHeight="251658257" behindDoc="0" locked="0" layoutInCell="1" allowOverlap="1" wp14:anchorId="3BE3AC31" wp14:editId="37C85673">
              <wp:simplePos x="635" y="635"/>
              <wp:positionH relativeFrom="page">
                <wp:align>center</wp:align>
              </wp:positionH>
              <wp:positionV relativeFrom="page">
                <wp:align>bottom</wp:align>
              </wp:positionV>
              <wp:extent cx="551815" cy="431800"/>
              <wp:effectExtent l="0" t="0" r="635" b="0"/>
              <wp:wrapNone/>
              <wp:docPr id="156092092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600F234B" w14:textId="3FC9D4E7"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E3AC31" id="_x0000_t202" coordsize="21600,21600" o:spt="202" path="m,l,21600r21600,l21600,xe">
              <v:stroke joinstyle="miter"/>
              <v:path gradientshapeok="t" o:connecttype="rect"/>
            </v:shapetype>
            <v:shape id="Text Box 16" o:spid="_x0000_s1043" type="#_x0000_t202" alt="OFFICIAL" style="position:absolute;margin-left:0;margin-top:0;width:43.45pt;height:34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" filled="f" stroked="f">
              <v:textbox style="mso-fit-shape-to-text:t" inset="0,0,0,15pt">
                <w:txbxContent>
                  <w:p w14:paraId="600F234B" w14:textId="3FC9D4E7"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7594D" w14:textId="77777777" w:rsidR="00193AEA" w:rsidRDefault="00193AEA" w:rsidP="005856C8">
      <w:pPr>
        <w:spacing w:before="0" w:after="0" w:line="240" w:lineRule="auto"/>
      </w:pPr>
      <w:r>
        <w:separator/>
      </w:r>
    </w:p>
  </w:footnote>
  <w:footnote w:type="continuationSeparator" w:id="0">
    <w:p w14:paraId="7BFBBC67" w14:textId="77777777" w:rsidR="00193AEA" w:rsidRDefault="00193AEA" w:rsidP="005856C8">
      <w:pPr>
        <w:spacing w:before="0" w:after="0" w:line="240" w:lineRule="auto"/>
      </w:pPr>
      <w:r>
        <w:continuationSeparator/>
      </w:r>
    </w:p>
  </w:footnote>
  <w:footnote w:type="continuationNotice" w:id="1">
    <w:p w14:paraId="1FBC7EAC" w14:textId="77777777" w:rsidR="00193AEA" w:rsidRDefault="00193AEA">
      <w:pPr>
        <w:spacing w:before="0" w:after="0" w:line="240" w:lineRule="auto"/>
      </w:pPr>
    </w:p>
  </w:footnote>
  <w:footnote w:id="2">
    <w:p w14:paraId="29713D8C" w14:textId="77777777" w:rsidR="00C679FC" w:rsidRDefault="00C679FC" w:rsidP="00C679FC">
      <w:pPr>
        <w:pStyle w:val="FootnoteText"/>
      </w:pPr>
      <w:r>
        <w:rPr>
          <w:rStyle w:val="FootnoteReference"/>
        </w:rPr>
        <w:footnoteRef/>
      </w:r>
      <w:r>
        <w:t xml:space="preserve"> </w:t>
      </w:r>
      <w:hyperlink r:id="rId1" w:history="1">
        <w:r>
          <w:rPr>
            <w:rStyle w:val="Hyperlink"/>
          </w:rPr>
          <w:t>Water Amendment (Restoring Our Rivers) Bill 2023 – Parliament of Australia (aph.gov.au)</w:t>
        </w:r>
      </w:hyperlink>
    </w:p>
  </w:footnote>
  <w:footnote w:id="3">
    <w:p w14:paraId="6D3C9949" w14:textId="7FA692F0" w:rsidR="0051317F" w:rsidRDefault="0051317F">
      <w:pPr>
        <w:pStyle w:val="FootnoteText"/>
      </w:pPr>
      <w:r>
        <w:rPr>
          <w:rStyle w:val="FootnoteReference"/>
        </w:rPr>
        <w:footnoteRef/>
      </w:r>
      <w:r>
        <w:t xml:space="preserve"> </w:t>
      </w:r>
      <w:hyperlink r:id="rId2" w:history="1">
        <w:r w:rsidR="00AB0832" w:rsidRPr="00AB0832">
          <w:rPr>
            <w:rStyle w:val="Hyperlink"/>
          </w:rPr>
          <w:t>Inquiry Report - Murray-Darling Basin Plan: Implementation review 2023 - Productivity Commission (pc.gov.au)</w:t>
        </w:r>
      </w:hyperlink>
    </w:p>
  </w:footnote>
  <w:footnote w:id="4">
    <w:p w14:paraId="772E420B" w14:textId="53A01261" w:rsidR="006646B8" w:rsidRDefault="006646B8">
      <w:pPr>
        <w:pStyle w:val="FootnoteText"/>
      </w:pPr>
      <w:r>
        <w:rPr>
          <w:rStyle w:val="FootnoteReference"/>
        </w:rPr>
        <w:footnoteRef/>
      </w:r>
      <w:r>
        <w:t xml:space="preserve"> </w:t>
      </w:r>
      <w:hyperlink r:id="rId3" w:history="1">
        <w:r w:rsidR="003B620E" w:rsidRPr="003B620E">
          <w:rPr>
            <w:rStyle w:val="Hyperlink"/>
          </w:rPr>
          <w:t>Framework for the 2025 Basin Plan Evaluation (mdba.gov.au)</w:t>
        </w:r>
      </w:hyperlink>
    </w:p>
  </w:footnote>
  <w:footnote w:id="5">
    <w:p w14:paraId="15C37B77" w14:textId="2B033B95" w:rsidR="00286770" w:rsidRDefault="00286770">
      <w:pPr>
        <w:pStyle w:val="FootnoteText"/>
      </w:pPr>
      <w:r>
        <w:rPr>
          <w:rStyle w:val="FootnoteReference"/>
        </w:rPr>
        <w:footnoteRef/>
      </w:r>
      <w:r>
        <w:t xml:space="preserve"> </w:t>
      </w:r>
      <w:hyperlink r:id="rId4" w:history="1">
        <w:r w:rsidR="001B460E" w:rsidRPr="001B460E">
          <w:rPr>
            <w:rStyle w:val="Hyperlink"/>
          </w:rPr>
          <w:t>Roadmap to the 2026 Basin Plan Review (mdba.gov.au)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CFC8" w14:textId="30B859FB" w:rsidR="006A4CD3" w:rsidRDefault="001A7AB3">
    <w:pPr>
      <w:pStyle w:val="Header"/>
    </w:pPr>
    <w:r>
      <w:rPr>
        <w:noProof/>
      </w:rPr>
      <mc:AlternateContent>
        <mc:Choice Requires="wps">
          <w:drawing>
            <wp:anchor distT="0" distB="0" distL="0" distR="0" simplePos="0" relativeHeight="251658243" behindDoc="0" locked="0" layoutInCell="1" allowOverlap="1" wp14:anchorId="0086BBEE" wp14:editId="4D1F4AC2">
              <wp:simplePos x="635" y="635"/>
              <wp:positionH relativeFrom="page">
                <wp:align>center</wp:align>
              </wp:positionH>
              <wp:positionV relativeFrom="page">
                <wp:align>top</wp:align>
              </wp:positionV>
              <wp:extent cx="551815" cy="431800"/>
              <wp:effectExtent l="0" t="0" r="635" b="6350"/>
              <wp:wrapNone/>
              <wp:docPr id="17332573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104E8607" w14:textId="2F7877C3"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86BBEE" id="_x0000_t202" coordsize="21600,21600" o:spt="202" path="m,l,21600r21600,l21600,xe">
              <v:stroke joinstyle="miter"/>
              <v:path gradientshapeok="t" o:connecttype="rect"/>
            </v:shapetype>
            <v:shape id="Text Box 2" o:spid="_x0000_s1026" type="#_x0000_t202" alt="OFFICIAL" style="position:absolute;margin-left:0;margin-top:0;width:43.45pt;height:34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" filled="f" stroked="f">
              <v:textbox style="mso-fit-shape-to-text:t" inset="0,15pt,0,0">
                <w:txbxContent>
                  <w:p w14:paraId="104E8607" w14:textId="2F7877C3"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92E6D" w14:textId="2B60B9BE" w:rsidR="006A4CD3" w:rsidRDefault="001A7AB3">
    <w:pPr>
      <w:pStyle w:val="Header"/>
    </w:pPr>
    <w:r>
      <w:rPr>
        <w:noProof/>
      </w:rPr>
      <mc:AlternateContent>
        <mc:Choice Requires="wps">
          <w:drawing>
            <wp:anchor distT="0" distB="0" distL="0" distR="0" simplePos="0" relativeHeight="251658244" behindDoc="0" locked="0" layoutInCell="1" allowOverlap="1" wp14:anchorId="77C1027D" wp14:editId="1EC613BF">
              <wp:simplePos x="612775" y="635"/>
              <wp:positionH relativeFrom="page">
                <wp:align>center</wp:align>
              </wp:positionH>
              <wp:positionV relativeFrom="page">
                <wp:align>top</wp:align>
              </wp:positionV>
              <wp:extent cx="551815" cy="431800"/>
              <wp:effectExtent l="0" t="0" r="635" b="6350"/>
              <wp:wrapNone/>
              <wp:docPr id="173732136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2EA59775" w14:textId="21B0200C"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C1027D" id="_x0000_t202" coordsize="21600,21600" o:spt="202" path="m,l,21600r21600,l21600,xe">
              <v:stroke joinstyle="miter"/>
              <v:path gradientshapeok="t" o:connecttype="rect"/>
            </v:shapetype>
            <v:shape id="Text Box 3" o:spid="_x0000_s1027" type="#_x0000_t202" alt="OFFICIAL" style="position:absolute;margin-left:0;margin-top:0;width:43.45pt;height:34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" filled="f" stroked="f">
              <v:textbox style="mso-fit-shape-to-text:t" inset="0,15pt,0,0">
                <w:txbxContent>
                  <w:p w14:paraId="2EA59775" w14:textId="21B0200C"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FD700" w14:textId="0B46A86F" w:rsidR="007311FA" w:rsidRDefault="001A7AB3">
    <w:pPr>
      <w:pStyle w:val="Header"/>
    </w:pPr>
    <w:r>
      <w:rPr>
        <w:noProof/>
      </w:rPr>
      <mc:AlternateContent>
        <mc:Choice Requires="wps">
          <w:drawing>
            <wp:anchor distT="0" distB="0" distL="0" distR="0" simplePos="0" relativeHeight="251658242" behindDoc="0" locked="0" layoutInCell="1" allowOverlap="1" wp14:anchorId="2BDB3FC0" wp14:editId="35B831D8">
              <wp:simplePos x="635" y="635"/>
              <wp:positionH relativeFrom="page">
                <wp:align>center</wp:align>
              </wp:positionH>
              <wp:positionV relativeFrom="page">
                <wp:align>top</wp:align>
              </wp:positionV>
              <wp:extent cx="551815" cy="431800"/>
              <wp:effectExtent l="0" t="0" r="635" b="6350"/>
              <wp:wrapNone/>
              <wp:docPr id="83551596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70AC98C1" w14:textId="286D19D4"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DB3FC0" id="_x0000_t202" coordsize="21600,21600" o:spt="202" path="m,l,21600r21600,l21600,xe">
              <v:stroke joinstyle="miter"/>
              <v:path gradientshapeok="t" o:connecttype="rect"/>
            </v:shapetype>
            <v:shape id="Text Box 1" o:spid="_x0000_s1030" type="#_x0000_t202" alt="OFFICIAL" style="position:absolute;margin-left:0;margin-top:0;width:43.45pt;height:34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" filled="f" stroked="f">
              <v:textbox style="mso-fit-shape-to-text:t" inset="0,15pt,0,0">
                <w:txbxContent>
                  <w:p w14:paraId="70AC98C1" w14:textId="286D19D4"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r w:rsidR="007311FA">
      <w:rPr>
        <w:noProof/>
      </w:rPr>
      <w:drawing>
        <wp:anchor distT="0" distB="0" distL="114300" distR="114300" simplePos="0" relativeHeight="251658240" behindDoc="1" locked="0" layoutInCell="1" allowOverlap="1" wp14:anchorId="643DB224" wp14:editId="1A916663">
          <wp:simplePos x="0" y="0"/>
          <wp:positionH relativeFrom="margin">
            <wp:align>center</wp:align>
          </wp:positionH>
          <wp:positionV relativeFrom="margin">
            <wp:align>center</wp:align>
          </wp:positionV>
          <wp:extent cx="7564666" cy="10692000"/>
          <wp:effectExtent l="0" t="0" r="5080" b="1905"/>
          <wp:wrapNone/>
          <wp:docPr id="800990992" name="Picture 800990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66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2B7A" w14:textId="16D23E44" w:rsidR="006A4CD3" w:rsidRDefault="001A7AB3">
    <w:pPr>
      <w:pStyle w:val="Header"/>
    </w:pPr>
    <w:r>
      <w:rPr>
        <w:noProof/>
      </w:rPr>
      <mc:AlternateContent>
        <mc:Choice Requires="wps">
          <w:drawing>
            <wp:anchor distT="0" distB="0" distL="0" distR="0" simplePos="0" relativeHeight="251658246" behindDoc="0" locked="0" layoutInCell="1" allowOverlap="1" wp14:anchorId="5F0D3B3F" wp14:editId="156310A4">
              <wp:simplePos x="635" y="635"/>
              <wp:positionH relativeFrom="page">
                <wp:align>center</wp:align>
              </wp:positionH>
              <wp:positionV relativeFrom="page">
                <wp:align>top</wp:align>
              </wp:positionV>
              <wp:extent cx="551815" cy="431800"/>
              <wp:effectExtent l="0" t="0" r="635" b="6350"/>
              <wp:wrapNone/>
              <wp:docPr id="152745430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312C2CD3" w14:textId="06C0595F"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0D3B3F" id="_x0000_t202" coordsize="21600,21600" o:spt="202" path="m,l,21600r21600,l21600,xe">
              <v:stroke joinstyle="miter"/>
              <v:path gradientshapeok="t" o:connecttype="rect"/>
            </v:shapetype>
            <v:shape id="Text Box 5" o:spid="_x0000_s1032" type="#_x0000_t202" alt="OFFICIAL" style="position:absolute;margin-left:0;margin-top:0;width:43.45pt;height:34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" filled="f" stroked="f">
              <v:textbox style="mso-fit-shape-to-text:t" inset="0,15pt,0,0">
                <w:txbxContent>
                  <w:p w14:paraId="312C2CD3" w14:textId="06C0595F"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8D704" w14:textId="1AAB763F" w:rsidR="007311FA" w:rsidRDefault="001A7AB3">
    <w:pPr>
      <w:pStyle w:val="Header"/>
    </w:pPr>
    <w:r>
      <w:rPr>
        <w:noProof/>
      </w:rPr>
      <mc:AlternateContent>
        <mc:Choice Requires="wps">
          <w:drawing>
            <wp:anchor distT="0" distB="0" distL="0" distR="0" simplePos="0" relativeHeight="251658247" behindDoc="0" locked="0" layoutInCell="1" allowOverlap="1" wp14:anchorId="785CE219" wp14:editId="6D6DB842">
              <wp:simplePos x="612775" y="635"/>
              <wp:positionH relativeFrom="page">
                <wp:align>center</wp:align>
              </wp:positionH>
              <wp:positionV relativeFrom="page">
                <wp:align>top</wp:align>
              </wp:positionV>
              <wp:extent cx="551815" cy="431800"/>
              <wp:effectExtent l="0" t="0" r="635" b="6350"/>
              <wp:wrapNone/>
              <wp:docPr id="52365588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1CF5A6CA" w14:textId="170C492F"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5CE219" id="_x0000_t202" coordsize="21600,21600" o:spt="202" path="m,l,21600r21600,l21600,xe">
              <v:stroke joinstyle="miter"/>
              <v:path gradientshapeok="t" o:connecttype="rect"/>
            </v:shapetype>
            <v:shape id="Text Box 6" o:spid="_x0000_s1033" type="#_x0000_t202" alt="OFFICIAL" style="position:absolute;margin-left:0;margin-top:0;width:43.45pt;height:34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" filled="f" stroked="f">
              <v:textbox style="mso-fit-shape-to-text:t" inset="0,15pt,0,0">
                <w:txbxContent>
                  <w:p w14:paraId="1CF5A6CA" w14:textId="170C492F"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4A0E" w14:textId="38C27368" w:rsidR="006A4CD3" w:rsidRDefault="001A7AB3">
    <w:pPr>
      <w:pStyle w:val="Header"/>
    </w:pPr>
    <w:r>
      <w:rPr>
        <w:noProof/>
      </w:rPr>
      <mc:AlternateContent>
        <mc:Choice Requires="wps">
          <w:drawing>
            <wp:anchor distT="0" distB="0" distL="0" distR="0" simplePos="0" relativeHeight="251658245" behindDoc="0" locked="0" layoutInCell="1" allowOverlap="1" wp14:anchorId="6450473E" wp14:editId="71B0166A">
              <wp:simplePos x="635" y="635"/>
              <wp:positionH relativeFrom="page">
                <wp:align>center</wp:align>
              </wp:positionH>
              <wp:positionV relativeFrom="page">
                <wp:align>top</wp:align>
              </wp:positionV>
              <wp:extent cx="551815" cy="431800"/>
              <wp:effectExtent l="0" t="0" r="635" b="6350"/>
              <wp:wrapNone/>
              <wp:docPr id="141913825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415CF5FE" w14:textId="2655EF29"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50473E" id="_x0000_t202" coordsize="21600,21600" o:spt="202" path="m,l,21600r21600,l21600,xe">
              <v:stroke joinstyle="miter"/>
              <v:path gradientshapeok="t" o:connecttype="rect"/>
            </v:shapetype>
            <v:shape id="Text Box 4" o:spid="_x0000_s1036" type="#_x0000_t202" alt="OFFICIAL" style="position:absolute;margin-left:0;margin-top:0;width:43.45pt;height:34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" filled="f" stroked="f">
              <v:textbox style="mso-fit-shape-to-text:t" inset="0,15pt,0,0">
                <w:txbxContent>
                  <w:p w14:paraId="415CF5FE" w14:textId="2655EF29"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CB54" w14:textId="4C697963" w:rsidR="006A4CD3" w:rsidRDefault="001A7AB3">
    <w:pPr>
      <w:pStyle w:val="Header"/>
    </w:pPr>
    <w:r>
      <w:rPr>
        <w:noProof/>
      </w:rPr>
      <mc:AlternateContent>
        <mc:Choice Requires="wps">
          <w:drawing>
            <wp:anchor distT="0" distB="0" distL="0" distR="0" simplePos="0" relativeHeight="251658249" behindDoc="0" locked="0" layoutInCell="1" allowOverlap="1" wp14:anchorId="14E3CEE3" wp14:editId="2F231318">
              <wp:simplePos x="635" y="635"/>
              <wp:positionH relativeFrom="page">
                <wp:align>center</wp:align>
              </wp:positionH>
              <wp:positionV relativeFrom="page">
                <wp:align>top</wp:align>
              </wp:positionV>
              <wp:extent cx="551815" cy="431800"/>
              <wp:effectExtent l="0" t="0" r="635" b="6350"/>
              <wp:wrapNone/>
              <wp:docPr id="97056573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36485A0E" w14:textId="10B39712"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3CEE3" id="_x0000_t202" coordsize="21600,21600" o:spt="202" path="m,l,21600r21600,l21600,xe">
              <v:stroke joinstyle="miter"/>
              <v:path gradientshapeok="t" o:connecttype="rect"/>
            </v:shapetype>
            <v:shape id="Text Box 8" o:spid="_x0000_s1038" type="#_x0000_t202" alt="OFFICIAL" style="position:absolute;margin-left:0;margin-top:0;width:43.45pt;height:34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" filled="f" stroked="f">
              <v:textbox style="mso-fit-shape-to-text:t" inset="0,15pt,0,0">
                <w:txbxContent>
                  <w:p w14:paraId="36485A0E" w14:textId="10B39712"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F5600" w14:textId="0562AF26" w:rsidR="0004340A" w:rsidRDefault="001A7AB3">
    <w:pPr>
      <w:pStyle w:val="Header"/>
    </w:pPr>
    <w:r>
      <w:rPr>
        <w:noProof/>
      </w:rPr>
      <mc:AlternateContent>
        <mc:Choice Requires="wps">
          <w:drawing>
            <wp:anchor distT="0" distB="0" distL="0" distR="0" simplePos="0" relativeHeight="251658250" behindDoc="0" locked="0" layoutInCell="1" allowOverlap="1" wp14:anchorId="797AE2B5" wp14:editId="23DABAA0">
              <wp:simplePos x="609600" y="0"/>
              <wp:positionH relativeFrom="page">
                <wp:align>center</wp:align>
              </wp:positionH>
              <wp:positionV relativeFrom="page">
                <wp:align>top</wp:align>
              </wp:positionV>
              <wp:extent cx="551815" cy="431800"/>
              <wp:effectExtent l="0" t="0" r="635" b="6350"/>
              <wp:wrapNone/>
              <wp:docPr id="134997174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247DCBB8" w14:textId="08FD22FF"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7AE2B5" id="_x0000_t202" coordsize="21600,21600" o:spt="202" path="m,l,21600r21600,l21600,xe">
              <v:stroke joinstyle="miter"/>
              <v:path gradientshapeok="t" o:connecttype="rect"/>
            </v:shapetype>
            <v:shape id="Text Box 9" o:spid="_x0000_s1039" type="#_x0000_t202" alt="OFFICIAL" style="position:absolute;margin-left:0;margin-top:0;width:43.45pt;height:34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" filled="f" stroked="f">
              <v:textbox style="mso-fit-shape-to-text:t" inset="0,15pt,0,0">
                <w:txbxContent>
                  <w:p w14:paraId="247DCBB8" w14:textId="08FD22FF"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r w:rsidR="00913DD7">
      <w:rPr>
        <w:noProof/>
      </w:rPr>
      <w:drawing>
        <wp:anchor distT="0" distB="0" distL="114300" distR="114300" simplePos="0" relativeHeight="251658241" behindDoc="1" locked="0" layoutInCell="1" allowOverlap="1" wp14:anchorId="733C51A7" wp14:editId="58785697">
          <wp:simplePos x="0" y="0"/>
          <wp:positionH relativeFrom="margin">
            <wp:posOffset>-619125</wp:posOffset>
          </wp:positionH>
          <wp:positionV relativeFrom="margin">
            <wp:posOffset>-650149</wp:posOffset>
          </wp:positionV>
          <wp:extent cx="7581156" cy="10715308"/>
          <wp:effectExtent l="0" t="0" r="1270" b="3810"/>
          <wp:wrapNone/>
          <wp:docPr id="504584129" name="Picture 504584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156" cy="10715308"/>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CA8A3" w14:textId="3EE40390" w:rsidR="006A4CD3" w:rsidRDefault="001A7AB3">
    <w:pPr>
      <w:pStyle w:val="Header"/>
    </w:pPr>
    <w:r>
      <w:rPr>
        <w:noProof/>
      </w:rPr>
      <mc:AlternateContent>
        <mc:Choice Requires="wps">
          <w:drawing>
            <wp:anchor distT="0" distB="0" distL="0" distR="0" simplePos="0" relativeHeight="251658248" behindDoc="0" locked="0" layoutInCell="1" allowOverlap="1" wp14:anchorId="4DF577DF" wp14:editId="5E3312A4">
              <wp:simplePos x="635" y="635"/>
              <wp:positionH relativeFrom="page">
                <wp:align>center</wp:align>
              </wp:positionH>
              <wp:positionV relativeFrom="page">
                <wp:align>top</wp:align>
              </wp:positionV>
              <wp:extent cx="551815" cy="431800"/>
              <wp:effectExtent l="0" t="0" r="635" b="6350"/>
              <wp:wrapNone/>
              <wp:docPr id="88117950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1800"/>
                      </a:xfrm>
                      <a:prstGeom prst="rect">
                        <a:avLst/>
                      </a:prstGeom>
                      <a:noFill/>
                      <a:ln>
                        <a:noFill/>
                      </a:ln>
                    </wps:spPr>
                    <wps:txbx>
                      <w:txbxContent>
                        <w:p w14:paraId="0F8FEC8B" w14:textId="1F7257C1"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F577DF" id="_x0000_t202" coordsize="21600,21600" o:spt="202" path="m,l,21600r21600,l21600,xe">
              <v:stroke joinstyle="miter"/>
              <v:path gradientshapeok="t" o:connecttype="rect"/>
            </v:shapetype>
            <v:shape id="Text Box 7" o:spid="_x0000_s1042" type="#_x0000_t202" alt="OFFICIAL" style="position:absolute;margin-left:0;margin-top:0;width:43.45pt;height:34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" filled="f" stroked="f">
              <v:textbox style="mso-fit-shape-to-text:t" inset="0,15pt,0,0">
                <w:txbxContent>
                  <w:p w14:paraId="0F8FEC8B" w14:textId="1F7257C1" w:rsidR="001A7AB3" w:rsidRPr="001A7AB3" w:rsidRDefault="001A7AB3" w:rsidP="001A7AB3">
                    <w:pPr>
                      <w:spacing w:after="0"/>
                      <w:rPr>
                        <w:rFonts w:ascii="Calibri" w:eastAsia="Calibri" w:hAnsi="Calibri" w:cs="Calibri"/>
                        <w:noProof/>
                        <w:color w:val="FF0000"/>
                        <w:sz w:val="24"/>
                      </w:rPr>
                    </w:pPr>
                    <w:r w:rsidRPr="001A7AB3">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6EA2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9035EE"/>
    <w:multiLevelType w:val="hybridMultilevel"/>
    <w:tmpl w:val="582C296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86534C1"/>
    <w:multiLevelType w:val="hybridMultilevel"/>
    <w:tmpl w:val="E1087AF8"/>
    <w:lvl w:ilvl="0" w:tplc="CB1ED6A6">
      <w:start w:val="1"/>
      <w:numFmt w:val="bullet"/>
      <w:pStyle w:val="ListParagraph"/>
      <w:lvlText w:val=""/>
      <w:lvlJc w:val="left"/>
      <w:pPr>
        <w:ind w:left="720" w:hanging="360"/>
      </w:pPr>
      <w:rPr>
        <w:rFonts w:ascii="Symbol" w:hAnsi="Symbol" w:hint="default"/>
      </w:rPr>
    </w:lvl>
    <w:lvl w:ilvl="1" w:tplc="59EE7FB0" w:tentative="1">
      <w:start w:val="1"/>
      <w:numFmt w:val="bullet"/>
      <w:lvlText w:val="o"/>
      <w:lvlJc w:val="left"/>
      <w:pPr>
        <w:ind w:left="1440" w:hanging="360"/>
      </w:pPr>
      <w:rPr>
        <w:rFonts w:ascii="Courier New" w:hAnsi="Courier New" w:cs="Courier New" w:hint="default"/>
      </w:rPr>
    </w:lvl>
    <w:lvl w:ilvl="2" w:tplc="0C4635A6" w:tentative="1">
      <w:start w:val="1"/>
      <w:numFmt w:val="bullet"/>
      <w:lvlText w:val=""/>
      <w:lvlJc w:val="left"/>
      <w:pPr>
        <w:ind w:left="2160" w:hanging="360"/>
      </w:pPr>
      <w:rPr>
        <w:rFonts w:ascii="Wingdings" w:hAnsi="Wingdings" w:hint="default"/>
      </w:rPr>
    </w:lvl>
    <w:lvl w:ilvl="3" w:tplc="8772AED0" w:tentative="1">
      <w:start w:val="1"/>
      <w:numFmt w:val="bullet"/>
      <w:lvlText w:val=""/>
      <w:lvlJc w:val="left"/>
      <w:pPr>
        <w:ind w:left="2880" w:hanging="360"/>
      </w:pPr>
      <w:rPr>
        <w:rFonts w:ascii="Symbol" w:hAnsi="Symbol" w:hint="default"/>
      </w:rPr>
    </w:lvl>
    <w:lvl w:ilvl="4" w:tplc="D95AF5F6" w:tentative="1">
      <w:start w:val="1"/>
      <w:numFmt w:val="bullet"/>
      <w:lvlText w:val="o"/>
      <w:lvlJc w:val="left"/>
      <w:pPr>
        <w:ind w:left="3600" w:hanging="360"/>
      </w:pPr>
      <w:rPr>
        <w:rFonts w:ascii="Courier New" w:hAnsi="Courier New" w:cs="Courier New" w:hint="default"/>
      </w:rPr>
    </w:lvl>
    <w:lvl w:ilvl="5" w:tplc="682A80A0" w:tentative="1">
      <w:start w:val="1"/>
      <w:numFmt w:val="bullet"/>
      <w:lvlText w:val=""/>
      <w:lvlJc w:val="left"/>
      <w:pPr>
        <w:ind w:left="4320" w:hanging="360"/>
      </w:pPr>
      <w:rPr>
        <w:rFonts w:ascii="Wingdings" w:hAnsi="Wingdings" w:hint="default"/>
      </w:rPr>
    </w:lvl>
    <w:lvl w:ilvl="6" w:tplc="D90AEAEA" w:tentative="1">
      <w:start w:val="1"/>
      <w:numFmt w:val="bullet"/>
      <w:lvlText w:val=""/>
      <w:lvlJc w:val="left"/>
      <w:pPr>
        <w:ind w:left="5040" w:hanging="360"/>
      </w:pPr>
      <w:rPr>
        <w:rFonts w:ascii="Symbol" w:hAnsi="Symbol" w:hint="default"/>
      </w:rPr>
    </w:lvl>
    <w:lvl w:ilvl="7" w:tplc="CD6AD74C" w:tentative="1">
      <w:start w:val="1"/>
      <w:numFmt w:val="bullet"/>
      <w:lvlText w:val="o"/>
      <w:lvlJc w:val="left"/>
      <w:pPr>
        <w:ind w:left="5760" w:hanging="360"/>
      </w:pPr>
      <w:rPr>
        <w:rFonts w:ascii="Courier New" w:hAnsi="Courier New" w:cs="Courier New" w:hint="default"/>
      </w:rPr>
    </w:lvl>
    <w:lvl w:ilvl="8" w:tplc="3FEEF1CE" w:tentative="1">
      <w:start w:val="1"/>
      <w:numFmt w:val="bullet"/>
      <w:lvlText w:val=""/>
      <w:lvlJc w:val="left"/>
      <w:pPr>
        <w:ind w:left="6480" w:hanging="360"/>
      </w:pPr>
      <w:rPr>
        <w:rFonts w:ascii="Wingdings" w:hAnsi="Wingdings" w:hint="default"/>
      </w:rPr>
    </w:lvl>
  </w:abstractNum>
  <w:abstractNum w:abstractNumId="3" w15:restartNumberingAfterBreak="0">
    <w:nsid w:val="72336E17"/>
    <w:multiLevelType w:val="hybridMultilevel"/>
    <w:tmpl w:val="7AC693D4"/>
    <w:lvl w:ilvl="0" w:tplc="BDA0316E">
      <w:start w:val="1"/>
      <w:numFmt w:val="bullet"/>
      <w:lvlText w:val=""/>
      <w:lvlJc w:val="left"/>
      <w:pPr>
        <w:ind w:left="720" w:hanging="360"/>
      </w:pPr>
      <w:rPr>
        <w:rFonts w:ascii="Symbol" w:hAnsi="Symbol" w:hint="default"/>
        <w:color w:val="44545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7806685">
    <w:abstractNumId w:val="2"/>
  </w:num>
  <w:num w:numId="2" w16cid:durableId="1016426447">
    <w:abstractNumId w:val="0"/>
  </w:num>
  <w:num w:numId="3" w16cid:durableId="727874587">
    <w:abstractNumId w:val="3"/>
  </w:num>
  <w:num w:numId="4" w16cid:durableId="17920944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C8"/>
    <w:rsid w:val="00001423"/>
    <w:rsid w:val="00001B29"/>
    <w:rsid w:val="00004709"/>
    <w:rsid w:val="00013AE2"/>
    <w:rsid w:val="00016C4E"/>
    <w:rsid w:val="00021E9F"/>
    <w:rsid w:val="00033231"/>
    <w:rsid w:val="00034676"/>
    <w:rsid w:val="00041DE9"/>
    <w:rsid w:val="0004340A"/>
    <w:rsid w:val="0005205E"/>
    <w:rsid w:val="000557A9"/>
    <w:rsid w:val="0005694B"/>
    <w:rsid w:val="00061692"/>
    <w:rsid w:val="00064E09"/>
    <w:rsid w:val="000650F4"/>
    <w:rsid w:val="00071174"/>
    <w:rsid w:val="00071DD1"/>
    <w:rsid w:val="000720D2"/>
    <w:rsid w:val="00073487"/>
    <w:rsid w:val="000746B9"/>
    <w:rsid w:val="0007609E"/>
    <w:rsid w:val="00077B6F"/>
    <w:rsid w:val="000837C9"/>
    <w:rsid w:val="000903B8"/>
    <w:rsid w:val="000905CA"/>
    <w:rsid w:val="00092882"/>
    <w:rsid w:val="00093510"/>
    <w:rsid w:val="00094351"/>
    <w:rsid w:val="00095B41"/>
    <w:rsid w:val="000A0CE9"/>
    <w:rsid w:val="000A1D11"/>
    <w:rsid w:val="000A416E"/>
    <w:rsid w:val="000A44D1"/>
    <w:rsid w:val="000A52AA"/>
    <w:rsid w:val="000A5E42"/>
    <w:rsid w:val="000A67DA"/>
    <w:rsid w:val="000B026F"/>
    <w:rsid w:val="000B2BBF"/>
    <w:rsid w:val="000B3429"/>
    <w:rsid w:val="000B5471"/>
    <w:rsid w:val="000B7683"/>
    <w:rsid w:val="000B7E8C"/>
    <w:rsid w:val="000C1F61"/>
    <w:rsid w:val="000C3E15"/>
    <w:rsid w:val="000C6477"/>
    <w:rsid w:val="000C69E3"/>
    <w:rsid w:val="000C6FC4"/>
    <w:rsid w:val="000D0C26"/>
    <w:rsid w:val="000D417D"/>
    <w:rsid w:val="000D7016"/>
    <w:rsid w:val="000D7536"/>
    <w:rsid w:val="000D7A8A"/>
    <w:rsid w:val="000E025D"/>
    <w:rsid w:val="000E063D"/>
    <w:rsid w:val="000E7752"/>
    <w:rsid w:val="000F18EB"/>
    <w:rsid w:val="000F1AAE"/>
    <w:rsid w:val="000F2098"/>
    <w:rsid w:val="000F289A"/>
    <w:rsid w:val="000F3957"/>
    <w:rsid w:val="000F5469"/>
    <w:rsid w:val="00100B6B"/>
    <w:rsid w:val="0010217E"/>
    <w:rsid w:val="00103F81"/>
    <w:rsid w:val="00110086"/>
    <w:rsid w:val="00111C18"/>
    <w:rsid w:val="00114D31"/>
    <w:rsid w:val="0012166F"/>
    <w:rsid w:val="00131236"/>
    <w:rsid w:val="00150629"/>
    <w:rsid w:val="001522B4"/>
    <w:rsid w:val="0015286C"/>
    <w:rsid w:val="0015667C"/>
    <w:rsid w:val="00156F45"/>
    <w:rsid w:val="00160CC5"/>
    <w:rsid w:val="001640E6"/>
    <w:rsid w:val="00173238"/>
    <w:rsid w:val="001750BE"/>
    <w:rsid w:val="001758CA"/>
    <w:rsid w:val="0017595A"/>
    <w:rsid w:val="00180E35"/>
    <w:rsid w:val="00183994"/>
    <w:rsid w:val="001843C3"/>
    <w:rsid w:val="00185012"/>
    <w:rsid w:val="00185FFB"/>
    <w:rsid w:val="0019354C"/>
    <w:rsid w:val="00193AEA"/>
    <w:rsid w:val="001942BC"/>
    <w:rsid w:val="00194F03"/>
    <w:rsid w:val="001963F7"/>
    <w:rsid w:val="001A3143"/>
    <w:rsid w:val="001A3671"/>
    <w:rsid w:val="001A4609"/>
    <w:rsid w:val="001A529F"/>
    <w:rsid w:val="001A6B08"/>
    <w:rsid w:val="001A7AB3"/>
    <w:rsid w:val="001B127B"/>
    <w:rsid w:val="001B180C"/>
    <w:rsid w:val="001B1AA4"/>
    <w:rsid w:val="001B2C0D"/>
    <w:rsid w:val="001B2D0A"/>
    <w:rsid w:val="001B460E"/>
    <w:rsid w:val="001B4810"/>
    <w:rsid w:val="001C3AC5"/>
    <w:rsid w:val="001C3D71"/>
    <w:rsid w:val="001C4817"/>
    <w:rsid w:val="001C6F2E"/>
    <w:rsid w:val="001D0EB1"/>
    <w:rsid w:val="001D487A"/>
    <w:rsid w:val="001D5D17"/>
    <w:rsid w:val="001D5D87"/>
    <w:rsid w:val="001D5F95"/>
    <w:rsid w:val="001E11F4"/>
    <w:rsid w:val="001E3259"/>
    <w:rsid w:val="001E4D15"/>
    <w:rsid w:val="001E4EE3"/>
    <w:rsid w:val="001E553C"/>
    <w:rsid w:val="001E7793"/>
    <w:rsid w:val="001F0177"/>
    <w:rsid w:val="001F5F4F"/>
    <w:rsid w:val="001F603B"/>
    <w:rsid w:val="002006F5"/>
    <w:rsid w:val="00202E60"/>
    <w:rsid w:val="00203911"/>
    <w:rsid w:val="00204E39"/>
    <w:rsid w:val="00206D68"/>
    <w:rsid w:val="002100DA"/>
    <w:rsid w:val="00210177"/>
    <w:rsid w:val="00210DA2"/>
    <w:rsid w:val="0021169A"/>
    <w:rsid w:val="002127DF"/>
    <w:rsid w:val="002136CD"/>
    <w:rsid w:val="00214A28"/>
    <w:rsid w:val="002247EE"/>
    <w:rsid w:val="00224DDA"/>
    <w:rsid w:val="002402F0"/>
    <w:rsid w:val="0024155E"/>
    <w:rsid w:val="00251A39"/>
    <w:rsid w:val="00253525"/>
    <w:rsid w:val="00254B96"/>
    <w:rsid w:val="0025708E"/>
    <w:rsid w:val="0026103F"/>
    <w:rsid w:val="00261545"/>
    <w:rsid w:val="00261A64"/>
    <w:rsid w:val="00262B8B"/>
    <w:rsid w:val="002637C5"/>
    <w:rsid w:val="0026554C"/>
    <w:rsid w:val="00267568"/>
    <w:rsid w:val="00270AAC"/>
    <w:rsid w:val="00270BEA"/>
    <w:rsid w:val="00271E71"/>
    <w:rsid w:val="00272811"/>
    <w:rsid w:val="0027306B"/>
    <w:rsid w:val="00273692"/>
    <w:rsid w:val="00286770"/>
    <w:rsid w:val="00291C0D"/>
    <w:rsid w:val="002944DB"/>
    <w:rsid w:val="00296272"/>
    <w:rsid w:val="00297F45"/>
    <w:rsid w:val="002A3FE2"/>
    <w:rsid w:val="002B12C6"/>
    <w:rsid w:val="002B133D"/>
    <w:rsid w:val="002B2491"/>
    <w:rsid w:val="002B593D"/>
    <w:rsid w:val="002C3F24"/>
    <w:rsid w:val="002D12B2"/>
    <w:rsid w:val="002E1FA3"/>
    <w:rsid w:val="002F0D30"/>
    <w:rsid w:val="002F19DE"/>
    <w:rsid w:val="002F201E"/>
    <w:rsid w:val="002F380D"/>
    <w:rsid w:val="002F7F41"/>
    <w:rsid w:val="003003AE"/>
    <w:rsid w:val="00307E83"/>
    <w:rsid w:val="0032016E"/>
    <w:rsid w:val="0032165C"/>
    <w:rsid w:val="00321937"/>
    <w:rsid w:val="00323769"/>
    <w:rsid w:val="00327671"/>
    <w:rsid w:val="0033181D"/>
    <w:rsid w:val="00331DCB"/>
    <w:rsid w:val="00332C3E"/>
    <w:rsid w:val="00333AE6"/>
    <w:rsid w:val="003343FB"/>
    <w:rsid w:val="00336495"/>
    <w:rsid w:val="003404E7"/>
    <w:rsid w:val="00344935"/>
    <w:rsid w:val="0035014D"/>
    <w:rsid w:val="00350725"/>
    <w:rsid w:val="00350991"/>
    <w:rsid w:val="00350B8D"/>
    <w:rsid w:val="00353457"/>
    <w:rsid w:val="0035600F"/>
    <w:rsid w:val="00360535"/>
    <w:rsid w:val="003625F1"/>
    <w:rsid w:val="0036358C"/>
    <w:rsid w:val="00363DF0"/>
    <w:rsid w:val="00372D45"/>
    <w:rsid w:val="0038351D"/>
    <w:rsid w:val="00390360"/>
    <w:rsid w:val="00392B6B"/>
    <w:rsid w:val="003940C8"/>
    <w:rsid w:val="0039434D"/>
    <w:rsid w:val="003A1F7F"/>
    <w:rsid w:val="003A4980"/>
    <w:rsid w:val="003A54AC"/>
    <w:rsid w:val="003A71D8"/>
    <w:rsid w:val="003B1CA4"/>
    <w:rsid w:val="003B56F3"/>
    <w:rsid w:val="003B580F"/>
    <w:rsid w:val="003B620E"/>
    <w:rsid w:val="003B6DCC"/>
    <w:rsid w:val="003B7580"/>
    <w:rsid w:val="003C0C5F"/>
    <w:rsid w:val="003C15F9"/>
    <w:rsid w:val="003C4AB4"/>
    <w:rsid w:val="003C54AC"/>
    <w:rsid w:val="003D03A5"/>
    <w:rsid w:val="003D05B6"/>
    <w:rsid w:val="003D102D"/>
    <w:rsid w:val="003D10ED"/>
    <w:rsid w:val="003D7622"/>
    <w:rsid w:val="003E0688"/>
    <w:rsid w:val="003E26B0"/>
    <w:rsid w:val="003E2C88"/>
    <w:rsid w:val="003E42BF"/>
    <w:rsid w:val="003E4F3B"/>
    <w:rsid w:val="003E76F8"/>
    <w:rsid w:val="003F0D09"/>
    <w:rsid w:val="003F65B2"/>
    <w:rsid w:val="00400FD0"/>
    <w:rsid w:val="00401C9B"/>
    <w:rsid w:val="00401EFA"/>
    <w:rsid w:val="00402EE4"/>
    <w:rsid w:val="0040367D"/>
    <w:rsid w:val="00403CB5"/>
    <w:rsid w:val="0040684F"/>
    <w:rsid w:val="00412DB8"/>
    <w:rsid w:val="00414668"/>
    <w:rsid w:val="00414D58"/>
    <w:rsid w:val="00415069"/>
    <w:rsid w:val="00415A38"/>
    <w:rsid w:val="0041760A"/>
    <w:rsid w:val="0042251E"/>
    <w:rsid w:val="0042358B"/>
    <w:rsid w:val="00423F37"/>
    <w:rsid w:val="00424624"/>
    <w:rsid w:val="00435E30"/>
    <w:rsid w:val="0045073A"/>
    <w:rsid w:val="00451EE3"/>
    <w:rsid w:val="00455A82"/>
    <w:rsid w:val="00457668"/>
    <w:rsid w:val="0046193A"/>
    <w:rsid w:val="00464880"/>
    <w:rsid w:val="00465E90"/>
    <w:rsid w:val="004668CD"/>
    <w:rsid w:val="00467E4E"/>
    <w:rsid w:val="00470C61"/>
    <w:rsid w:val="00472B2C"/>
    <w:rsid w:val="00472D33"/>
    <w:rsid w:val="004738F6"/>
    <w:rsid w:val="0048151D"/>
    <w:rsid w:val="00483BE8"/>
    <w:rsid w:val="0049064E"/>
    <w:rsid w:val="0049206E"/>
    <w:rsid w:val="00497BE0"/>
    <w:rsid w:val="004B0250"/>
    <w:rsid w:val="004B0676"/>
    <w:rsid w:val="004B627C"/>
    <w:rsid w:val="004C221B"/>
    <w:rsid w:val="004C2F8C"/>
    <w:rsid w:val="004C7508"/>
    <w:rsid w:val="004D0C90"/>
    <w:rsid w:val="004D11C6"/>
    <w:rsid w:val="004D1572"/>
    <w:rsid w:val="004D1B65"/>
    <w:rsid w:val="004D3257"/>
    <w:rsid w:val="004D46B9"/>
    <w:rsid w:val="004D76DF"/>
    <w:rsid w:val="004D7EFC"/>
    <w:rsid w:val="004F02FE"/>
    <w:rsid w:val="004F0F11"/>
    <w:rsid w:val="004F21C1"/>
    <w:rsid w:val="005036FB"/>
    <w:rsid w:val="00503A9D"/>
    <w:rsid w:val="0050508B"/>
    <w:rsid w:val="005055CB"/>
    <w:rsid w:val="0050668E"/>
    <w:rsid w:val="0050686A"/>
    <w:rsid w:val="005115DD"/>
    <w:rsid w:val="0051317F"/>
    <w:rsid w:val="0051533A"/>
    <w:rsid w:val="00515F46"/>
    <w:rsid w:val="0051626B"/>
    <w:rsid w:val="00520183"/>
    <w:rsid w:val="00520AFF"/>
    <w:rsid w:val="00521E09"/>
    <w:rsid w:val="005234E8"/>
    <w:rsid w:val="00523971"/>
    <w:rsid w:val="005245D8"/>
    <w:rsid w:val="0053260F"/>
    <w:rsid w:val="005364ED"/>
    <w:rsid w:val="00537784"/>
    <w:rsid w:val="00542DA2"/>
    <w:rsid w:val="00544B31"/>
    <w:rsid w:val="00546B0E"/>
    <w:rsid w:val="005472E1"/>
    <w:rsid w:val="00552275"/>
    <w:rsid w:val="00554A6D"/>
    <w:rsid w:val="00557B7A"/>
    <w:rsid w:val="00557D89"/>
    <w:rsid w:val="00563463"/>
    <w:rsid w:val="00564BF3"/>
    <w:rsid w:val="0057027E"/>
    <w:rsid w:val="00576E78"/>
    <w:rsid w:val="005776F3"/>
    <w:rsid w:val="00581737"/>
    <w:rsid w:val="0058231C"/>
    <w:rsid w:val="00584A0D"/>
    <w:rsid w:val="005856C8"/>
    <w:rsid w:val="0058652F"/>
    <w:rsid w:val="005918D8"/>
    <w:rsid w:val="00592799"/>
    <w:rsid w:val="00593023"/>
    <w:rsid w:val="00593D3E"/>
    <w:rsid w:val="005A4469"/>
    <w:rsid w:val="005B1E71"/>
    <w:rsid w:val="005C0662"/>
    <w:rsid w:val="005C47BA"/>
    <w:rsid w:val="005C48E2"/>
    <w:rsid w:val="005C65D6"/>
    <w:rsid w:val="005C7BEB"/>
    <w:rsid w:val="005D09D8"/>
    <w:rsid w:val="005D2CBD"/>
    <w:rsid w:val="005D2F4A"/>
    <w:rsid w:val="005D50F2"/>
    <w:rsid w:val="005E013E"/>
    <w:rsid w:val="005E16CE"/>
    <w:rsid w:val="005E2430"/>
    <w:rsid w:val="005E324D"/>
    <w:rsid w:val="005E3377"/>
    <w:rsid w:val="005E3A1D"/>
    <w:rsid w:val="005E4125"/>
    <w:rsid w:val="005E6C29"/>
    <w:rsid w:val="005F013C"/>
    <w:rsid w:val="005F0818"/>
    <w:rsid w:val="005F0CBB"/>
    <w:rsid w:val="005F46F4"/>
    <w:rsid w:val="00602947"/>
    <w:rsid w:val="00603A14"/>
    <w:rsid w:val="00606142"/>
    <w:rsid w:val="006065D2"/>
    <w:rsid w:val="006070D9"/>
    <w:rsid w:val="00610400"/>
    <w:rsid w:val="0061305B"/>
    <w:rsid w:val="0061371B"/>
    <w:rsid w:val="00614D22"/>
    <w:rsid w:val="00617125"/>
    <w:rsid w:val="00626C5A"/>
    <w:rsid w:val="006349E6"/>
    <w:rsid w:val="00634BEC"/>
    <w:rsid w:val="00636852"/>
    <w:rsid w:val="00643F13"/>
    <w:rsid w:val="00645DD1"/>
    <w:rsid w:val="00647188"/>
    <w:rsid w:val="00647B2D"/>
    <w:rsid w:val="00652AC6"/>
    <w:rsid w:val="00662300"/>
    <w:rsid w:val="006646B8"/>
    <w:rsid w:val="00664EB1"/>
    <w:rsid w:val="0066557C"/>
    <w:rsid w:val="00665727"/>
    <w:rsid w:val="00666EFF"/>
    <w:rsid w:val="006674D1"/>
    <w:rsid w:val="00667D4A"/>
    <w:rsid w:val="00672667"/>
    <w:rsid w:val="00674323"/>
    <w:rsid w:val="00676BB2"/>
    <w:rsid w:val="00677F51"/>
    <w:rsid w:val="00684968"/>
    <w:rsid w:val="00684A11"/>
    <w:rsid w:val="00684D3E"/>
    <w:rsid w:val="00684D63"/>
    <w:rsid w:val="0069291E"/>
    <w:rsid w:val="00695EFC"/>
    <w:rsid w:val="00695F04"/>
    <w:rsid w:val="00696C40"/>
    <w:rsid w:val="00697117"/>
    <w:rsid w:val="006A363C"/>
    <w:rsid w:val="006A4CD3"/>
    <w:rsid w:val="006A709A"/>
    <w:rsid w:val="006A7463"/>
    <w:rsid w:val="006B27E4"/>
    <w:rsid w:val="006B6DB2"/>
    <w:rsid w:val="006C163A"/>
    <w:rsid w:val="006C44B6"/>
    <w:rsid w:val="006C4631"/>
    <w:rsid w:val="006C5DFA"/>
    <w:rsid w:val="006C6305"/>
    <w:rsid w:val="006C6DBB"/>
    <w:rsid w:val="006D0E5A"/>
    <w:rsid w:val="006D17DC"/>
    <w:rsid w:val="006D40DC"/>
    <w:rsid w:val="006D60E5"/>
    <w:rsid w:val="006D616A"/>
    <w:rsid w:val="006E036E"/>
    <w:rsid w:val="006E56D2"/>
    <w:rsid w:val="006E5900"/>
    <w:rsid w:val="006E7411"/>
    <w:rsid w:val="006F01F5"/>
    <w:rsid w:val="006F464E"/>
    <w:rsid w:val="006F586E"/>
    <w:rsid w:val="006F7560"/>
    <w:rsid w:val="006F7AC0"/>
    <w:rsid w:val="0070403F"/>
    <w:rsid w:val="007057A9"/>
    <w:rsid w:val="007078DD"/>
    <w:rsid w:val="007121C2"/>
    <w:rsid w:val="00714379"/>
    <w:rsid w:val="00716E35"/>
    <w:rsid w:val="00724F85"/>
    <w:rsid w:val="007311FA"/>
    <w:rsid w:val="00735A25"/>
    <w:rsid w:val="00741C58"/>
    <w:rsid w:val="00742171"/>
    <w:rsid w:val="00746AC6"/>
    <w:rsid w:val="007500BA"/>
    <w:rsid w:val="00753A52"/>
    <w:rsid w:val="00753E11"/>
    <w:rsid w:val="00754B08"/>
    <w:rsid w:val="00754DC8"/>
    <w:rsid w:val="0075606E"/>
    <w:rsid w:val="00760834"/>
    <w:rsid w:val="007625E6"/>
    <w:rsid w:val="00762B2D"/>
    <w:rsid w:val="00764BE6"/>
    <w:rsid w:val="00765B0C"/>
    <w:rsid w:val="00765D8A"/>
    <w:rsid w:val="007716DD"/>
    <w:rsid w:val="0077295E"/>
    <w:rsid w:val="007812EC"/>
    <w:rsid w:val="00785506"/>
    <w:rsid w:val="007868FA"/>
    <w:rsid w:val="00791AF7"/>
    <w:rsid w:val="00791E4F"/>
    <w:rsid w:val="007926BB"/>
    <w:rsid w:val="00797585"/>
    <w:rsid w:val="00797EE4"/>
    <w:rsid w:val="007A2F67"/>
    <w:rsid w:val="007A343F"/>
    <w:rsid w:val="007A59B4"/>
    <w:rsid w:val="007A70C6"/>
    <w:rsid w:val="007A7A0F"/>
    <w:rsid w:val="007A7B97"/>
    <w:rsid w:val="007B0067"/>
    <w:rsid w:val="007B3370"/>
    <w:rsid w:val="007B5961"/>
    <w:rsid w:val="007C2806"/>
    <w:rsid w:val="007C44A5"/>
    <w:rsid w:val="007C4734"/>
    <w:rsid w:val="007D0A9D"/>
    <w:rsid w:val="007D7DFE"/>
    <w:rsid w:val="007E3552"/>
    <w:rsid w:val="007E401D"/>
    <w:rsid w:val="007E49D5"/>
    <w:rsid w:val="007E4C35"/>
    <w:rsid w:val="007E6661"/>
    <w:rsid w:val="007E6867"/>
    <w:rsid w:val="007F528E"/>
    <w:rsid w:val="008057D5"/>
    <w:rsid w:val="00807EC0"/>
    <w:rsid w:val="00812AD2"/>
    <w:rsid w:val="00817FC5"/>
    <w:rsid w:val="00822587"/>
    <w:rsid w:val="0082265F"/>
    <w:rsid w:val="008237DD"/>
    <w:rsid w:val="00823C26"/>
    <w:rsid w:val="0082660A"/>
    <w:rsid w:val="00826C1C"/>
    <w:rsid w:val="00826DF5"/>
    <w:rsid w:val="008274E6"/>
    <w:rsid w:val="00834A69"/>
    <w:rsid w:val="008354B8"/>
    <w:rsid w:val="008360F9"/>
    <w:rsid w:val="00837186"/>
    <w:rsid w:val="00840C91"/>
    <w:rsid w:val="00843D4B"/>
    <w:rsid w:val="00845A8A"/>
    <w:rsid w:val="00846250"/>
    <w:rsid w:val="0084678F"/>
    <w:rsid w:val="00851559"/>
    <w:rsid w:val="00853A36"/>
    <w:rsid w:val="00855B95"/>
    <w:rsid w:val="00856684"/>
    <w:rsid w:val="0086011A"/>
    <w:rsid w:val="008610AE"/>
    <w:rsid w:val="00861EE7"/>
    <w:rsid w:val="00862B9B"/>
    <w:rsid w:val="00864497"/>
    <w:rsid w:val="00866937"/>
    <w:rsid w:val="00872987"/>
    <w:rsid w:val="00876464"/>
    <w:rsid w:val="00877090"/>
    <w:rsid w:val="0088062E"/>
    <w:rsid w:val="00890287"/>
    <w:rsid w:val="008912CE"/>
    <w:rsid w:val="008A1671"/>
    <w:rsid w:val="008A4C95"/>
    <w:rsid w:val="008B1517"/>
    <w:rsid w:val="008B5DB9"/>
    <w:rsid w:val="008B68CD"/>
    <w:rsid w:val="008C56BB"/>
    <w:rsid w:val="008C62D5"/>
    <w:rsid w:val="008C7097"/>
    <w:rsid w:val="008D22E2"/>
    <w:rsid w:val="008D2F7C"/>
    <w:rsid w:val="008D50FA"/>
    <w:rsid w:val="008D7902"/>
    <w:rsid w:val="008E0BB0"/>
    <w:rsid w:val="008E5B84"/>
    <w:rsid w:val="008F19A9"/>
    <w:rsid w:val="008F24B5"/>
    <w:rsid w:val="008F4FF7"/>
    <w:rsid w:val="008F6DC9"/>
    <w:rsid w:val="00905069"/>
    <w:rsid w:val="00907372"/>
    <w:rsid w:val="00910F8B"/>
    <w:rsid w:val="00913DD7"/>
    <w:rsid w:val="00914A9C"/>
    <w:rsid w:val="00917CB2"/>
    <w:rsid w:val="00925600"/>
    <w:rsid w:val="00927ABA"/>
    <w:rsid w:val="00932CC9"/>
    <w:rsid w:val="00933AA8"/>
    <w:rsid w:val="0093498C"/>
    <w:rsid w:val="00936A1A"/>
    <w:rsid w:val="00936B53"/>
    <w:rsid w:val="0094209C"/>
    <w:rsid w:val="00945512"/>
    <w:rsid w:val="00945C68"/>
    <w:rsid w:val="00950474"/>
    <w:rsid w:val="00950DA6"/>
    <w:rsid w:val="00950E8E"/>
    <w:rsid w:val="00952A35"/>
    <w:rsid w:val="009534D3"/>
    <w:rsid w:val="00953A6C"/>
    <w:rsid w:val="00954EBF"/>
    <w:rsid w:val="009556CD"/>
    <w:rsid w:val="00957B10"/>
    <w:rsid w:val="00957C4B"/>
    <w:rsid w:val="0096052C"/>
    <w:rsid w:val="00962A67"/>
    <w:rsid w:val="009644D0"/>
    <w:rsid w:val="00964ABF"/>
    <w:rsid w:val="009654CD"/>
    <w:rsid w:val="0096738D"/>
    <w:rsid w:val="00971957"/>
    <w:rsid w:val="00972301"/>
    <w:rsid w:val="009724C1"/>
    <w:rsid w:val="00975A74"/>
    <w:rsid w:val="009853B8"/>
    <w:rsid w:val="009871D4"/>
    <w:rsid w:val="00990243"/>
    <w:rsid w:val="00992583"/>
    <w:rsid w:val="009942CA"/>
    <w:rsid w:val="00997860"/>
    <w:rsid w:val="009A0497"/>
    <w:rsid w:val="009A09FF"/>
    <w:rsid w:val="009A51D0"/>
    <w:rsid w:val="009A55C1"/>
    <w:rsid w:val="009A6B09"/>
    <w:rsid w:val="009A7CE8"/>
    <w:rsid w:val="009B2319"/>
    <w:rsid w:val="009B25F8"/>
    <w:rsid w:val="009B28CA"/>
    <w:rsid w:val="009B3E3D"/>
    <w:rsid w:val="009B5A0A"/>
    <w:rsid w:val="009B75F4"/>
    <w:rsid w:val="009C00FD"/>
    <w:rsid w:val="009C0876"/>
    <w:rsid w:val="009C098C"/>
    <w:rsid w:val="009C28AA"/>
    <w:rsid w:val="009C354F"/>
    <w:rsid w:val="009D44D3"/>
    <w:rsid w:val="009D57D1"/>
    <w:rsid w:val="009D6C12"/>
    <w:rsid w:val="009E071E"/>
    <w:rsid w:val="009E10AA"/>
    <w:rsid w:val="009E69D8"/>
    <w:rsid w:val="009F05D7"/>
    <w:rsid w:val="009F15D3"/>
    <w:rsid w:val="009F1DD7"/>
    <w:rsid w:val="009F2229"/>
    <w:rsid w:val="009F2DC4"/>
    <w:rsid w:val="009F3FF8"/>
    <w:rsid w:val="009F408F"/>
    <w:rsid w:val="009F56D7"/>
    <w:rsid w:val="009F5DB0"/>
    <w:rsid w:val="00A033D1"/>
    <w:rsid w:val="00A0380B"/>
    <w:rsid w:val="00A03BBE"/>
    <w:rsid w:val="00A1051A"/>
    <w:rsid w:val="00A10937"/>
    <w:rsid w:val="00A11D31"/>
    <w:rsid w:val="00A132BA"/>
    <w:rsid w:val="00A14B75"/>
    <w:rsid w:val="00A16997"/>
    <w:rsid w:val="00A20E17"/>
    <w:rsid w:val="00A2183A"/>
    <w:rsid w:val="00A23A76"/>
    <w:rsid w:val="00A26E87"/>
    <w:rsid w:val="00A30FFB"/>
    <w:rsid w:val="00A3123F"/>
    <w:rsid w:val="00A31EBD"/>
    <w:rsid w:val="00A3676B"/>
    <w:rsid w:val="00A42B0A"/>
    <w:rsid w:val="00A43071"/>
    <w:rsid w:val="00A516B8"/>
    <w:rsid w:val="00A533E7"/>
    <w:rsid w:val="00A536C4"/>
    <w:rsid w:val="00A57A77"/>
    <w:rsid w:val="00A65DF9"/>
    <w:rsid w:val="00A73A3F"/>
    <w:rsid w:val="00A75E6B"/>
    <w:rsid w:val="00A778CA"/>
    <w:rsid w:val="00A77EC6"/>
    <w:rsid w:val="00A81D9A"/>
    <w:rsid w:val="00A961B7"/>
    <w:rsid w:val="00A969A1"/>
    <w:rsid w:val="00A9765B"/>
    <w:rsid w:val="00A97C78"/>
    <w:rsid w:val="00AA3001"/>
    <w:rsid w:val="00AA5B18"/>
    <w:rsid w:val="00AA5D55"/>
    <w:rsid w:val="00AA6ADA"/>
    <w:rsid w:val="00AB0832"/>
    <w:rsid w:val="00AB2D44"/>
    <w:rsid w:val="00AB3788"/>
    <w:rsid w:val="00AB66C8"/>
    <w:rsid w:val="00AD0FFB"/>
    <w:rsid w:val="00AD3EE3"/>
    <w:rsid w:val="00AE1244"/>
    <w:rsid w:val="00AE4B63"/>
    <w:rsid w:val="00AE4E9B"/>
    <w:rsid w:val="00AE7356"/>
    <w:rsid w:val="00AF06E2"/>
    <w:rsid w:val="00AF0996"/>
    <w:rsid w:val="00B01325"/>
    <w:rsid w:val="00B040E4"/>
    <w:rsid w:val="00B0659F"/>
    <w:rsid w:val="00B06B5C"/>
    <w:rsid w:val="00B0759B"/>
    <w:rsid w:val="00B11C90"/>
    <w:rsid w:val="00B11F7B"/>
    <w:rsid w:val="00B30EA3"/>
    <w:rsid w:val="00B33D4C"/>
    <w:rsid w:val="00B343EF"/>
    <w:rsid w:val="00B36F69"/>
    <w:rsid w:val="00B409F7"/>
    <w:rsid w:val="00B42581"/>
    <w:rsid w:val="00B43BC8"/>
    <w:rsid w:val="00B4409F"/>
    <w:rsid w:val="00B520CB"/>
    <w:rsid w:val="00B52ABF"/>
    <w:rsid w:val="00B536AD"/>
    <w:rsid w:val="00B54B20"/>
    <w:rsid w:val="00B54F65"/>
    <w:rsid w:val="00B55D16"/>
    <w:rsid w:val="00B60401"/>
    <w:rsid w:val="00B64CB0"/>
    <w:rsid w:val="00B656BD"/>
    <w:rsid w:val="00B66E4C"/>
    <w:rsid w:val="00B67DD9"/>
    <w:rsid w:val="00B74413"/>
    <w:rsid w:val="00B76844"/>
    <w:rsid w:val="00B87CD5"/>
    <w:rsid w:val="00B91454"/>
    <w:rsid w:val="00B9411D"/>
    <w:rsid w:val="00B94308"/>
    <w:rsid w:val="00B95448"/>
    <w:rsid w:val="00B9650A"/>
    <w:rsid w:val="00B9781C"/>
    <w:rsid w:val="00B97ECE"/>
    <w:rsid w:val="00BA2244"/>
    <w:rsid w:val="00BA563C"/>
    <w:rsid w:val="00BB007D"/>
    <w:rsid w:val="00BB26BF"/>
    <w:rsid w:val="00BB2746"/>
    <w:rsid w:val="00BB3BD3"/>
    <w:rsid w:val="00BB5659"/>
    <w:rsid w:val="00BB79ED"/>
    <w:rsid w:val="00BC0B88"/>
    <w:rsid w:val="00BC1AA7"/>
    <w:rsid w:val="00BC3204"/>
    <w:rsid w:val="00BC3590"/>
    <w:rsid w:val="00BC5511"/>
    <w:rsid w:val="00BC7ABD"/>
    <w:rsid w:val="00BD521A"/>
    <w:rsid w:val="00BD5391"/>
    <w:rsid w:val="00BD5776"/>
    <w:rsid w:val="00BE0A04"/>
    <w:rsid w:val="00BE1F7E"/>
    <w:rsid w:val="00BE3F67"/>
    <w:rsid w:val="00BE5442"/>
    <w:rsid w:val="00BE5696"/>
    <w:rsid w:val="00BE72B3"/>
    <w:rsid w:val="00BF2F8B"/>
    <w:rsid w:val="00BF5169"/>
    <w:rsid w:val="00C03B86"/>
    <w:rsid w:val="00C11229"/>
    <w:rsid w:val="00C13FEF"/>
    <w:rsid w:val="00C147FD"/>
    <w:rsid w:val="00C16143"/>
    <w:rsid w:val="00C17274"/>
    <w:rsid w:val="00C24432"/>
    <w:rsid w:val="00C25F56"/>
    <w:rsid w:val="00C2607C"/>
    <w:rsid w:val="00C27A66"/>
    <w:rsid w:val="00C30186"/>
    <w:rsid w:val="00C302F7"/>
    <w:rsid w:val="00C304B1"/>
    <w:rsid w:val="00C34214"/>
    <w:rsid w:val="00C50B8A"/>
    <w:rsid w:val="00C51247"/>
    <w:rsid w:val="00C55573"/>
    <w:rsid w:val="00C567FE"/>
    <w:rsid w:val="00C570E2"/>
    <w:rsid w:val="00C579C2"/>
    <w:rsid w:val="00C669ED"/>
    <w:rsid w:val="00C66D3C"/>
    <w:rsid w:val="00C679FC"/>
    <w:rsid w:val="00C67F35"/>
    <w:rsid w:val="00C70B4D"/>
    <w:rsid w:val="00C7226F"/>
    <w:rsid w:val="00C72422"/>
    <w:rsid w:val="00C726D9"/>
    <w:rsid w:val="00C746A9"/>
    <w:rsid w:val="00C764C9"/>
    <w:rsid w:val="00C76B3D"/>
    <w:rsid w:val="00C76F71"/>
    <w:rsid w:val="00C7791F"/>
    <w:rsid w:val="00C8430F"/>
    <w:rsid w:val="00C857A8"/>
    <w:rsid w:val="00C85B62"/>
    <w:rsid w:val="00C86162"/>
    <w:rsid w:val="00C96914"/>
    <w:rsid w:val="00C978A6"/>
    <w:rsid w:val="00CA21CB"/>
    <w:rsid w:val="00CA7E56"/>
    <w:rsid w:val="00CB2416"/>
    <w:rsid w:val="00CC3602"/>
    <w:rsid w:val="00CC5074"/>
    <w:rsid w:val="00CC51C9"/>
    <w:rsid w:val="00CC6CB8"/>
    <w:rsid w:val="00CD485F"/>
    <w:rsid w:val="00CE46FE"/>
    <w:rsid w:val="00CE48CD"/>
    <w:rsid w:val="00CE5445"/>
    <w:rsid w:val="00CE560A"/>
    <w:rsid w:val="00CE622B"/>
    <w:rsid w:val="00CE726F"/>
    <w:rsid w:val="00CF401A"/>
    <w:rsid w:val="00CF5016"/>
    <w:rsid w:val="00CF6700"/>
    <w:rsid w:val="00D04D13"/>
    <w:rsid w:val="00D0746D"/>
    <w:rsid w:val="00D0747B"/>
    <w:rsid w:val="00D11855"/>
    <w:rsid w:val="00D11C02"/>
    <w:rsid w:val="00D14836"/>
    <w:rsid w:val="00D15462"/>
    <w:rsid w:val="00D165B9"/>
    <w:rsid w:val="00D22C49"/>
    <w:rsid w:val="00D25FB3"/>
    <w:rsid w:val="00D271DB"/>
    <w:rsid w:val="00D2762E"/>
    <w:rsid w:val="00D32032"/>
    <w:rsid w:val="00D40690"/>
    <w:rsid w:val="00D43B08"/>
    <w:rsid w:val="00D5037E"/>
    <w:rsid w:val="00D50CBB"/>
    <w:rsid w:val="00D52823"/>
    <w:rsid w:val="00D52F93"/>
    <w:rsid w:val="00D542AF"/>
    <w:rsid w:val="00D63073"/>
    <w:rsid w:val="00D639E9"/>
    <w:rsid w:val="00D64137"/>
    <w:rsid w:val="00D64F90"/>
    <w:rsid w:val="00D64FEE"/>
    <w:rsid w:val="00D65559"/>
    <w:rsid w:val="00D718A5"/>
    <w:rsid w:val="00D73498"/>
    <w:rsid w:val="00D736CC"/>
    <w:rsid w:val="00D771EC"/>
    <w:rsid w:val="00D77D8A"/>
    <w:rsid w:val="00D77F22"/>
    <w:rsid w:val="00D817D7"/>
    <w:rsid w:val="00D8196F"/>
    <w:rsid w:val="00D81E76"/>
    <w:rsid w:val="00D8405D"/>
    <w:rsid w:val="00D94CD1"/>
    <w:rsid w:val="00D964E9"/>
    <w:rsid w:val="00D9670B"/>
    <w:rsid w:val="00D968C4"/>
    <w:rsid w:val="00DA043A"/>
    <w:rsid w:val="00DA09F1"/>
    <w:rsid w:val="00DA1D93"/>
    <w:rsid w:val="00DA2DDC"/>
    <w:rsid w:val="00DA3104"/>
    <w:rsid w:val="00DA4CC3"/>
    <w:rsid w:val="00DB2C4D"/>
    <w:rsid w:val="00DB3C85"/>
    <w:rsid w:val="00DB5339"/>
    <w:rsid w:val="00DB7DCB"/>
    <w:rsid w:val="00DD1139"/>
    <w:rsid w:val="00DD156C"/>
    <w:rsid w:val="00DD225F"/>
    <w:rsid w:val="00DD2A5F"/>
    <w:rsid w:val="00DD41BB"/>
    <w:rsid w:val="00DD620A"/>
    <w:rsid w:val="00DD6626"/>
    <w:rsid w:val="00DD771C"/>
    <w:rsid w:val="00DD78E7"/>
    <w:rsid w:val="00DE05F7"/>
    <w:rsid w:val="00DE113C"/>
    <w:rsid w:val="00DE798A"/>
    <w:rsid w:val="00DF32DD"/>
    <w:rsid w:val="00DF75B3"/>
    <w:rsid w:val="00E00D27"/>
    <w:rsid w:val="00E00EEE"/>
    <w:rsid w:val="00E02904"/>
    <w:rsid w:val="00E03085"/>
    <w:rsid w:val="00E049BB"/>
    <w:rsid w:val="00E07F9B"/>
    <w:rsid w:val="00E10A93"/>
    <w:rsid w:val="00E113C8"/>
    <w:rsid w:val="00E11470"/>
    <w:rsid w:val="00E11F63"/>
    <w:rsid w:val="00E15570"/>
    <w:rsid w:val="00E15AC0"/>
    <w:rsid w:val="00E20251"/>
    <w:rsid w:val="00E2385C"/>
    <w:rsid w:val="00E23E16"/>
    <w:rsid w:val="00E24C40"/>
    <w:rsid w:val="00E27B21"/>
    <w:rsid w:val="00E27FE2"/>
    <w:rsid w:val="00E304CB"/>
    <w:rsid w:val="00E35AA6"/>
    <w:rsid w:val="00E4067E"/>
    <w:rsid w:val="00E4175E"/>
    <w:rsid w:val="00E44835"/>
    <w:rsid w:val="00E525E2"/>
    <w:rsid w:val="00E5682B"/>
    <w:rsid w:val="00E611D4"/>
    <w:rsid w:val="00E61615"/>
    <w:rsid w:val="00E65691"/>
    <w:rsid w:val="00E766C8"/>
    <w:rsid w:val="00E771A2"/>
    <w:rsid w:val="00E82BC0"/>
    <w:rsid w:val="00E84F5D"/>
    <w:rsid w:val="00E87216"/>
    <w:rsid w:val="00E90067"/>
    <w:rsid w:val="00E90F59"/>
    <w:rsid w:val="00E93712"/>
    <w:rsid w:val="00E943CE"/>
    <w:rsid w:val="00E957D7"/>
    <w:rsid w:val="00E96681"/>
    <w:rsid w:val="00EA1074"/>
    <w:rsid w:val="00EA42CB"/>
    <w:rsid w:val="00EB01A5"/>
    <w:rsid w:val="00EB0AAE"/>
    <w:rsid w:val="00EC003B"/>
    <w:rsid w:val="00EC16C7"/>
    <w:rsid w:val="00EC2F3A"/>
    <w:rsid w:val="00EC2F89"/>
    <w:rsid w:val="00EC452D"/>
    <w:rsid w:val="00EC607B"/>
    <w:rsid w:val="00EC6CD8"/>
    <w:rsid w:val="00EC6F41"/>
    <w:rsid w:val="00ED5A42"/>
    <w:rsid w:val="00EE01E3"/>
    <w:rsid w:val="00EE0455"/>
    <w:rsid w:val="00EE1302"/>
    <w:rsid w:val="00EF0528"/>
    <w:rsid w:val="00EF099A"/>
    <w:rsid w:val="00EF0B50"/>
    <w:rsid w:val="00EF0F01"/>
    <w:rsid w:val="00EF1293"/>
    <w:rsid w:val="00EF47A6"/>
    <w:rsid w:val="00EF7B7C"/>
    <w:rsid w:val="00EF7E09"/>
    <w:rsid w:val="00F0499F"/>
    <w:rsid w:val="00F0564D"/>
    <w:rsid w:val="00F07F5E"/>
    <w:rsid w:val="00F114C8"/>
    <w:rsid w:val="00F16307"/>
    <w:rsid w:val="00F16F15"/>
    <w:rsid w:val="00F21626"/>
    <w:rsid w:val="00F21CA0"/>
    <w:rsid w:val="00F23F95"/>
    <w:rsid w:val="00F26369"/>
    <w:rsid w:val="00F27BC6"/>
    <w:rsid w:val="00F311A6"/>
    <w:rsid w:val="00F32084"/>
    <w:rsid w:val="00F321F7"/>
    <w:rsid w:val="00F323BB"/>
    <w:rsid w:val="00F32C34"/>
    <w:rsid w:val="00F334D0"/>
    <w:rsid w:val="00F33839"/>
    <w:rsid w:val="00F338F0"/>
    <w:rsid w:val="00F45D49"/>
    <w:rsid w:val="00F465A1"/>
    <w:rsid w:val="00F54C43"/>
    <w:rsid w:val="00F55BF9"/>
    <w:rsid w:val="00F55DFF"/>
    <w:rsid w:val="00F612BE"/>
    <w:rsid w:val="00F6145B"/>
    <w:rsid w:val="00F61F00"/>
    <w:rsid w:val="00F628D6"/>
    <w:rsid w:val="00F662B0"/>
    <w:rsid w:val="00F7398E"/>
    <w:rsid w:val="00F74136"/>
    <w:rsid w:val="00F75B09"/>
    <w:rsid w:val="00F75CD5"/>
    <w:rsid w:val="00F8099F"/>
    <w:rsid w:val="00F81A4C"/>
    <w:rsid w:val="00F85F75"/>
    <w:rsid w:val="00F90656"/>
    <w:rsid w:val="00F94804"/>
    <w:rsid w:val="00F955D4"/>
    <w:rsid w:val="00F97008"/>
    <w:rsid w:val="00F971D3"/>
    <w:rsid w:val="00FA058D"/>
    <w:rsid w:val="00FB186B"/>
    <w:rsid w:val="00FB418A"/>
    <w:rsid w:val="00FB4D67"/>
    <w:rsid w:val="00FB6E74"/>
    <w:rsid w:val="00FC0840"/>
    <w:rsid w:val="00FC39E9"/>
    <w:rsid w:val="00FC4A83"/>
    <w:rsid w:val="00FC7FF0"/>
    <w:rsid w:val="00FD0BBD"/>
    <w:rsid w:val="00FD4FC9"/>
    <w:rsid w:val="00FD5FB7"/>
    <w:rsid w:val="00FE1CCB"/>
    <w:rsid w:val="00FE2F2D"/>
    <w:rsid w:val="00FE559E"/>
    <w:rsid w:val="00FE6965"/>
    <w:rsid w:val="00FF45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AF3F9"/>
  <w15:chartTrackingRefBased/>
  <w15:docId w15:val="{0B8FB9DB-5548-3644-9868-04CB57B8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26F"/>
    <w:pPr>
      <w:spacing w:before="120" w:after="120" w:line="260" w:lineRule="exact"/>
    </w:pPr>
    <w:rPr>
      <w:rFonts w:ascii="Roc Grotesk" w:hAnsi="Roc Grotesk"/>
      <w:color w:val="48555E" w:themeColor="text1"/>
      <w:sz w:val="20"/>
    </w:rPr>
  </w:style>
  <w:style w:type="paragraph" w:styleId="Heading1">
    <w:name w:val="heading 1"/>
    <w:basedOn w:val="Normal"/>
    <w:next w:val="Normal"/>
    <w:link w:val="Heading1Char"/>
    <w:uiPriority w:val="9"/>
    <w:qFormat/>
    <w:rsid w:val="00A536C4"/>
    <w:pPr>
      <w:keepNext/>
      <w:keepLines/>
      <w:spacing w:before="720" w:after="240" w:line="480" w:lineRule="exact"/>
      <w:outlineLvl w:val="0"/>
    </w:pPr>
    <w:rPr>
      <w:rFonts w:ascii="Roc Grotesk Medium" w:eastAsiaTheme="majorEastAsia" w:hAnsi="Roc Grotesk Medium" w:cstheme="majorBidi"/>
      <w:color w:val="4C6968" w:themeColor="text2"/>
      <w:sz w:val="44"/>
      <w:szCs w:val="32"/>
    </w:rPr>
  </w:style>
  <w:style w:type="paragraph" w:styleId="Heading2">
    <w:name w:val="heading 2"/>
    <w:next w:val="Normal"/>
    <w:link w:val="Heading2Char"/>
    <w:uiPriority w:val="9"/>
    <w:unhideWhenUsed/>
    <w:qFormat/>
    <w:rsid w:val="00A536C4"/>
    <w:pPr>
      <w:keepNext/>
      <w:keepLines/>
      <w:spacing w:before="480" w:after="240" w:line="360" w:lineRule="exact"/>
      <w:outlineLvl w:val="1"/>
    </w:pPr>
    <w:rPr>
      <w:rFonts w:ascii="Roc Grotesk Medium" w:eastAsiaTheme="majorEastAsia" w:hAnsi="Roc Grotesk Medium" w:cstheme="majorBidi"/>
      <w:color w:val="4C6968" w:themeColor="text2"/>
      <w:sz w:val="28"/>
      <w:szCs w:val="26"/>
    </w:rPr>
  </w:style>
  <w:style w:type="paragraph" w:styleId="Heading3">
    <w:name w:val="heading 3"/>
    <w:basedOn w:val="Normal"/>
    <w:next w:val="Normal"/>
    <w:link w:val="Heading3Char"/>
    <w:uiPriority w:val="9"/>
    <w:qFormat/>
    <w:rsid w:val="003A4980"/>
    <w:pPr>
      <w:keepNext/>
      <w:keepLines/>
      <w:spacing w:before="300" w:after="60"/>
      <w:outlineLvl w:val="2"/>
    </w:pPr>
    <w:rPr>
      <w:rFonts w:eastAsiaTheme="majorEastAsia" w:cs="Calibri (Body)"/>
      <w:b/>
      <w:bCs/>
      <w:color w:val="808080" w:themeColor="background1" w:themeShade="80"/>
      <w:sz w:val="24"/>
      <w:szCs w:val="28"/>
    </w:rPr>
  </w:style>
  <w:style w:type="paragraph" w:styleId="Heading4">
    <w:name w:val="heading 4"/>
    <w:basedOn w:val="Normal"/>
    <w:next w:val="Normal"/>
    <w:link w:val="Heading4Char"/>
    <w:uiPriority w:val="9"/>
    <w:qFormat/>
    <w:rsid w:val="0061305B"/>
    <w:pPr>
      <w:keepNext/>
      <w:keepLines/>
      <w:spacing w:before="300" w:after="100" w:line="240" w:lineRule="auto"/>
      <w:outlineLvl w:val="3"/>
    </w:pPr>
    <w:rPr>
      <w:rFonts w:asciiTheme="minorHAnsi" w:eastAsiaTheme="majorEastAsia" w:hAnsiTheme="minorHAnsi" w:cstheme="majorBidi"/>
      <w:bCs/>
      <w:iCs/>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6C8"/>
    <w:pPr>
      <w:tabs>
        <w:tab w:val="center" w:pos="4513"/>
        <w:tab w:val="right" w:pos="9026"/>
      </w:tabs>
    </w:pPr>
  </w:style>
  <w:style w:type="character" w:customStyle="1" w:styleId="HeaderChar">
    <w:name w:val="Header Char"/>
    <w:basedOn w:val="DefaultParagraphFont"/>
    <w:link w:val="Header"/>
    <w:uiPriority w:val="99"/>
    <w:rsid w:val="005856C8"/>
  </w:style>
  <w:style w:type="paragraph" w:styleId="Footer">
    <w:name w:val="footer"/>
    <w:link w:val="FooterChar"/>
    <w:uiPriority w:val="99"/>
    <w:unhideWhenUsed/>
    <w:rsid w:val="00C24432"/>
    <w:pPr>
      <w:tabs>
        <w:tab w:val="center" w:pos="4513"/>
        <w:tab w:val="right" w:pos="9026"/>
      </w:tabs>
    </w:pPr>
    <w:rPr>
      <w:rFonts w:ascii="Roc Grotesk" w:hAnsi="Roc Grotesk" w:cs="Times New Roman (Body CS)"/>
      <w:caps/>
      <w:color w:val="48555E" w:themeColor="text1"/>
      <w:position w:val="-6"/>
      <w:sz w:val="15"/>
    </w:rPr>
  </w:style>
  <w:style w:type="character" w:customStyle="1" w:styleId="FooterChar">
    <w:name w:val="Footer Char"/>
    <w:basedOn w:val="DefaultParagraphFont"/>
    <w:link w:val="Footer"/>
    <w:uiPriority w:val="99"/>
    <w:rsid w:val="00C24432"/>
    <w:rPr>
      <w:rFonts w:ascii="Roc Grotesk" w:hAnsi="Roc Grotesk" w:cs="Times New Roman (Body CS)"/>
      <w:caps/>
      <w:color w:val="48555E" w:themeColor="text1"/>
      <w:position w:val="-6"/>
      <w:sz w:val="15"/>
    </w:rPr>
  </w:style>
  <w:style w:type="paragraph" w:styleId="Title">
    <w:name w:val="Title"/>
    <w:next w:val="Normal"/>
    <w:link w:val="TitleChar"/>
    <w:uiPriority w:val="10"/>
    <w:qFormat/>
    <w:rsid w:val="00834A69"/>
    <w:pPr>
      <w:spacing w:before="1200" w:line="800" w:lineRule="exact"/>
      <w:contextualSpacing/>
    </w:pPr>
    <w:rPr>
      <w:rFonts w:ascii="Roc Grotesk Medium" w:eastAsiaTheme="majorEastAsia" w:hAnsi="Roc Grotesk Medium" w:cs="Times New Roman (Headings CS)"/>
      <w:color w:val="BCD8E3" w:themeColor="accent4"/>
      <w:kern w:val="28"/>
      <w:sz w:val="72"/>
      <w:szCs w:val="56"/>
    </w:rPr>
  </w:style>
  <w:style w:type="character" w:customStyle="1" w:styleId="TitleChar">
    <w:name w:val="Title Char"/>
    <w:basedOn w:val="DefaultParagraphFont"/>
    <w:link w:val="Title"/>
    <w:uiPriority w:val="10"/>
    <w:rsid w:val="00834A69"/>
    <w:rPr>
      <w:rFonts w:ascii="Roc Grotesk Medium" w:eastAsiaTheme="majorEastAsia" w:hAnsi="Roc Grotesk Medium" w:cs="Times New Roman (Headings CS)"/>
      <w:color w:val="BCD8E3" w:themeColor="accent4"/>
      <w:kern w:val="28"/>
      <w:sz w:val="72"/>
      <w:szCs w:val="56"/>
    </w:rPr>
  </w:style>
  <w:style w:type="character" w:customStyle="1" w:styleId="ColourWhite">
    <w:name w:val="Colour — White"/>
    <w:basedOn w:val="DefaultParagraphFont"/>
    <w:uiPriority w:val="1"/>
    <w:qFormat/>
    <w:rsid w:val="007311FA"/>
    <w:rPr>
      <w:color w:val="FFFFFF" w:themeColor="background1"/>
    </w:rPr>
  </w:style>
  <w:style w:type="character" w:customStyle="1" w:styleId="Heading3Char">
    <w:name w:val="Heading 3 Char"/>
    <w:basedOn w:val="DefaultParagraphFont"/>
    <w:link w:val="Heading3"/>
    <w:uiPriority w:val="9"/>
    <w:rsid w:val="003A4980"/>
    <w:rPr>
      <w:rFonts w:ascii="Roc Grotesk" w:eastAsiaTheme="majorEastAsia" w:hAnsi="Roc Grotesk" w:cs="Calibri (Body)"/>
      <w:b/>
      <w:bCs/>
      <w:color w:val="808080" w:themeColor="background1" w:themeShade="80"/>
      <w:szCs w:val="28"/>
    </w:rPr>
  </w:style>
  <w:style w:type="character" w:styleId="Strong">
    <w:name w:val="Strong"/>
    <w:basedOn w:val="DefaultParagraphFont"/>
    <w:uiPriority w:val="22"/>
    <w:qFormat/>
    <w:rsid w:val="00D65559"/>
    <w:rPr>
      <w:b/>
      <w:bCs/>
    </w:rPr>
  </w:style>
  <w:style w:type="character" w:styleId="PlaceholderText">
    <w:name w:val="Placeholder Text"/>
    <w:basedOn w:val="DefaultParagraphFont"/>
    <w:uiPriority w:val="99"/>
    <w:semiHidden/>
    <w:rsid w:val="00D65559"/>
    <w:rPr>
      <w:color w:val="808080"/>
    </w:rPr>
  </w:style>
  <w:style w:type="paragraph" w:customStyle="1" w:styleId="Infotext">
    <w:name w:val="Info text"/>
    <w:link w:val="InfotextChar"/>
    <w:qFormat/>
    <w:rsid w:val="003D03A5"/>
    <w:pPr>
      <w:tabs>
        <w:tab w:val="left" w:pos="7300"/>
      </w:tabs>
      <w:spacing w:before="120" w:after="120" w:line="260" w:lineRule="exact"/>
    </w:pPr>
    <w:rPr>
      <w:rFonts w:ascii="Roc Grotesk" w:hAnsi="Roc Grotesk" w:cs="Calibri (Body)"/>
      <w:noProof/>
      <w:color w:val="FFFFFF" w:themeColor="background1"/>
      <w:sz w:val="18"/>
      <w:szCs w:val="18"/>
      <w:lang w:eastAsia="en-AU"/>
    </w:rPr>
  </w:style>
  <w:style w:type="character" w:customStyle="1" w:styleId="InfotextChar">
    <w:name w:val="Info text Char"/>
    <w:basedOn w:val="DefaultParagraphFont"/>
    <w:link w:val="Infotext"/>
    <w:rsid w:val="003D03A5"/>
    <w:rPr>
      <w:rFonts w:ascii="Roc Grotesk" w:hAnsi="Roc Grotesk" w:cs="Calibri (Body)"/>
      <w:noProof/>
      <w:color w:val="FFFFFF" w:themeColor="background1"/>
      <w:sz w:val="18"/>
      <w:szCs w:val="18"/>
      <w:lang w:eastAsia="en-AU"/>
    </w:rPr>
  </w:style>
  <w:style w:type="paragraph" w:customStyle="1" w:styleId="Infoheading">
    <w:name w:val="Info heading"/>
    <w:uiPriority w:val="99"/>
    <w:qFormat/>
    <w:rsid w:val="003D03A5"/>
    <w:pPr>
      <w:spacing w:before="240" w:line="300" w:lineRule="exact"/>
    </w:pPr>
    <w:rPr>
      <w:rFonts w:ascii="Roc Grotesk Medium" w:eastAsiaTheme="majorEastAsia" w:hAnsi="Roc Grotesk Medium" w:cs="Calibri (Body)"/>
      <w:bCs/>
      <w:color w:val="FFFFFF" w:themeColor="background1"/>
      <w:position w:val="1"/>
      <w:szCs w:val="28"/>
    </w:rPr>
  </w:style>
  <w:style w:type="character" w:customStyle="1" w:styleId="Heading1Char">
    <w:name w:val="Heading 1 Char"/>
    <w:basedOn w:val="DefaultParagraphFont"/>
    <w:link w:val="Heading1"/>
    <w:uiPriority w:val="9"/>
    <w:rsid w:val="00A536C4"/>
    <w:rPr>
      <w:rFonts w:ascii="Roc Grotesk Medium" w:eastAsiaTheme="majorEastAsia" w:hAnsi="Roc Grotesk Medium" w:cstheme="majorBidi"/>
      <w:color w:val="4C6968" w:themeColor="text2"/>
      <w:sz w:val="44"/>
      <w:szCs w:val="32"/>
    </w:rPr>
  </w:style>
  <w:style w:type="character" w:customStyle="1" w:styleId="Heading2Char">
    <w:name w:val="Heading 2 Char"/>
    <w:basedOn w:val="DefaultParagraphFont"/>
    <w:link w:val="Heading2"/>
    <w:uiPriority w:val="9"/>
    <w:rsid w:val="00A536C4"/>
    <w:rPr>
      <w:rFonts w:ascii="Roc Grotesk Medium" w:eastAsiaTheme="majorEastAsia" w:hAnsi="Roc Grotesk Medium" w:cstheme="majorBidi"/>
      <w:color w:val="4C6968" w:themeColor="text2"/>
      <w:sz w:val="28"/>
      <w:szCs w:val="26"/>
    </w:rPr>
  </w:style>
  <w:style w:type="paragraph" w:styleId="ListParagraph">
    <w:name w:val="List Paragraph"/>
    <w:basedOn w:val="Normal"/>
    <w:uiPriority w:val="34"/>
    <w:qFormat/>
    <w:rsid w:val="004D3257"/>
    <w:pPr>
      <w:numPr>
        <w:numId w:val="1"/>
      </w:numPr>
      <w:spacing w:before="0" w:after="200" w:line="276" w:lineRule="auto"/>
      <w:contextualSpacing/>
    </w:pPr>
    <w:rPr>
      <w:rFonts w:asciiTheme="minorHAnsi" w:hAnsiTheme="minorHAnsi" w:cstheme="minorHAnsi"/>
      <w:color w:val="auto"/>
      <w:sz w:val="22"/>
      <w:szCs w:val="22"/>
    </w:rPr>
  </w:style>
  <w:style w:type="paragraph" w:styleId="ListBullet">
    <w:name w:val="List Bullet"/>
    <w:basedOn w:val="Normal"/>
    <w:uiPriority w:val="99"/>
    <w:unhideWhenUsed/>
    <w:rsid w:val="004D3257"/>
    <w:pPr>
      <w:numPr>
        <w:numId w:val="2"/>
      </w:numPr>
      <w:spacing w:after="240"/>
      <w:contextualSpacing/>
    </w:pPr>
  </w:style>
  <w:style w:type="paragraph" w:customStyle="1" w:styleId="Logo-coverpage">
    <w:name w:val="Logo - cover page"/>
    <w:qFormat/>
    <w:rsid w:val="007A59B4"/>
    <w:rPr>
      <w:rFonts w:ascii="Roc Grotesk" w:hAnsi="Roc Grotesk"/>
      <w:color w:val="48555E" w:themeColor="text1"/>
      <w:sz w:val="32"/>
    </w:rPr>
  </w:style>
  <w:style w:type="character" w:customStyle="1" w:styleId="normaltextrun">
    <w:name w:val="normaltextrun"/>
    <w:basedOn w:val="DefaultParagraphFont"/>
    <w:rsid w:val="007A59B4"/>
  </w:style>
  <w:style w:type="character" w:styleId="Hyperlink">
    <w:name w:val="Hyperlink"/>
    <w:uiPriority w:val="99"/>
    <w:unhideWhenUsed/>
    <w:rsid w:val="00A536C4"/>
    <w:rPr>
      <w:color w:val="48555E" w:themeColor="text1"/>
      <w:u w:val="single" w:color="6E8C81" w:themeColor="accent3"/>
    </w:rPr>
  </w:style>
  <w:style w:type="table" w:styleId="TableGrid">
    <w:name w:val="Table Grid"/>
    <w:basedOn w:val="TableNormal"/>
    <w:uiPriority w:val="39"/>
    <w:rsid w:val="002B593D"/>
    <w:rPr>
      <w:rFonts w:ascii="Roc Grotesk" w:hAnsi="Roc Grotesk"/>
      <w:color w:val="48555E" w:themeColor="text1"/>
      <w:sz w:val="20"/>
    </w:rPr>
    <w:tblPr>
      <w:tblBorders>
        <w:top w:val="single" w:sz="2" w:space="0" w:color="4C6968" w:themeColor="text2"/>
        <w:bottom w:val="single" w:sz="2" w:space="0" w:color="4C6968" w:themeColor="text2"/>
        <w:insideH w:val="single" w:sz="2" w:space="0" w:color="4C6968" w:themeColor="text2"/>
      </w:tblBorders>
    </w:tblPr>
    <w:tcPr>
      <w:shd w:val="clear" w:color="auto" w:fill="auto"/>
    </w:tcPr>
    <w:tblStylePr w:type="firstRow">
      <w:rPr>
        <w:b w:val="0"/>
        <w:color w:val="FFFFFF" w:themeColor="background1"/>
      </w:rPr>
      <w:tblPr/>
      <w:tcPr>
        <w:shd w:val="clear" w:color="auto" w:fill="48555E" w:themeFill="text1"/>
      </w:tcPr>
    </w:tblStylePr>
    <w:tblStylePr w:type="firstCol">
      <w:rPr>
        <w:b/>
      </w:rPr>
    </w:tblStylePr>
  </w:style>
  <w:style w:type="paragraph" w:customStyle="1" w:styleId="Tableheaderrow">
    <w:name w:val="Table header row"/>
    <w:basedOn w:val="Normal"/>
    <w:qFormat/>
    <w:rsid w:val="002B593D"/>
    <w:rPr>
      <w:rFonts w:ascii="Roc Grotesk Medium" w:hAnsi="Roc Grotesk Medium"/>
      <w:color w:val="FFFFFF" w:themeColor="background1"/>
    </w:rPr>
  </w:style>
  <w:style w:type="character" w:customStyle="1" w:styleId="Heading4Char">
    <w:name w:val="Heading 4 Char"/>
    <w:basedOn w:val="DefaultParagraphFont"/>
    <w:link w:val="Heading4"/>
    <w:uiPriority w:val="9"/>
    <w:rsid w:val="0061305B"/>
    <w:rPr>
      <w:rFonts w:eastAsiaTheme="majorEastAsia" w:cstheme="majorBidi"/>
      <w:bCs/>
      <w:iCs/>
      <w:sz w:val="32"/>
      <w:szCs w:val="32"/>
    </w:rPr>
  </w:style>
  <w:style w:type="paragraph" w:customStyle="1" w:styleId="Infobody">
    <w:name w:val="Info body"/>
    <w:basedOn w:val="Normal"/>
    <w:uiPriority w:val="99"/>
    <w:rsid w:val="003D03A5"/>
    <w:pPr>
      <w:suppressAutoHyphens/>
      <w:autoSpaceDE w:val="0"/>
      <w:autoSpaceDN w:val="0"/>
      <w:adjustRightInd w:val="0"/>
      <w:spacing w:before="85" w:after="85" w:line="240" w:lineRule="atLeast"/>
      <w:textAlignment w:val="center"/>
    </w:pPr>
    <w:rPr>
      <w:rFonts w:cs="Roc Grotesk"/>
      <w:color w:val="FFFFFF"/>
      <w:sz w:val="18"/>
      <w:szCs w:val="18"/>
      <w:lang w:val="en-US"/>
    </w:rPr>
  </w:style>
  <w:style w:type="character" w:customStyle="1" w:styleId="White">
    <w:name w:val="White"/>
    <w:uiPriority w:val="99"/>
    <w:rsid w:val="003D03A5"/>
    <w:rPr>
      <w:outline/>
    </w:rPr>
  </w:style>
  <w:style w:type="character" w:customStyle="1" w:styleId="Whitelink">
    <w:name w:val="White link"/>
    <w:uiPriority w:val="99"/>
    <w:rsid w:val="003D03A5"/>
    <w:rPr>
      <w:u w:val="thick" w:color="FFFFFF"/>
    </w:rPr>
  </w:style>
  <w:style w:type="character" w:styleId="UnresolvedMention">
    <w:name w:val="Unresolved Mention"/>
    <w:basedOn w:val="DefaultParagraphFont"/>
    <w:uiPriority w:val="99"/>
    <w:semiHidden/>
    <w:unhideWhenUsed/>
    <w:rsid w:val="003D03A5"/>
    <w:rPr>
      <w:color w:val="605E5C"/>
      <w:shd w:val="clear" w:color="auto" w:fill="E1DFDD"/>
    </w:rPr>
  </w:style>
  <w:style w:type="character" w:customStyle="1" w:styleId="Hyperlink-White">
    <w:name w:val="Hyperlink - White"/>
    <w:uiPriority w:val="1"/>
    <w:qFormat/>
    <w:rsid w:val="003D03A5"/>
    <w:rPr>
      <w:color w:val="FFFFFF" w:themeColor="background1"/>
      <w:u w:val="single"/>
    </w:rPr>
  </w:style>
  <w:style w:type="paragraph" w:styleId="Revision">
    <w:name w:val="Revision"/>
    <w:hidden/>
    <w:uiPriority w:val="99"/>
    <w:semiHidden/>
    <w:rsid w:val="00826C1C"/>
    <w:rPr>
      <w:rFonts w:ascii="Roc Grotesk" w:hAnsi="Roc Grotesk"/>
      <w:color w:val="48555E" w:themeColor="text1"/>
      <w:sz w:val="20"/>
    </w:rPr>
  </w:style>
  <w:style w:type="character" w:styleId="CommentReference">
    <w:name w:val="annotation reference"/>
    <w:basedOn w:val="DefaultParagraphFont"/>
    <w:uiPriority w:val="99"/>
    <w:semiHidden/>
    <w:unhideWhenUsed/>
    <w:rsid w:val="001963F7"/>
    <w:rPr>
      <w:sz w:val="16"/>
      <w:szCs w:val="16"/>
    </w:rPr>
  </w:style>
  <w:style w:type="paragraph" w:styleId="CommentText">
    <w:name w:val="annotation text"/>
    <w:basedOn w:val="Normal"/>
    <w:link w:val="CommentTextChar"/>
    <w:uiPriority w:val="99"/>
    <w:unhideWhenUsed/>
    <w:rsid w:val="001963F7"/>
    <w:pPr>
      <w:spacing w:line="240" w:lineRule="auto"/>
    </w:pPr>
    <w:rPr>
      <w:szCs w:val="20"/>
    </w:rPr>
  </w:style>
  <w:style w:type="character" w:customStyle="1" w:styleId="CommentTextChar">
    <w:name w:val="Comment Text Char"/>
    <w:basedOn w:val="DefaultParagraphFont"/>
    <w:link w:val="CommentText"/>
    <w:uiPriority w:val="99"/>
    <w:rsid w:val="001963F7"/>
    <w:rPr>
      <w:rFonts w:ascii="Roc Grotesk" w:hAnsi="Roc Grotesk"/>
      <w:color w:val="48555E" w:themeColor="text1"/>
      <w:sz w:val="20"/>
      <w:szCs w:val="20"/>
    </w:rPr>
  </w:style>
  <w:style w:type="paragraph" w:styleId="CommentSubject">
    <w:name w:val="annotation subject"/>
    <w:basedOn w:val="CommentText"/>
    <w:next w:val="CommentText"/>
    <w:link w:val="CommentSubjectChar"/>
    <w:uiPriority w:val="99"/>
    <w:semiHidden/>
    <w:unhideWhenUsed/>
    <w:rsid w:val="001963F7"/>
    <w:rPr>
      <w:b/>
      <w:bCs/>
    </w:rPr>
  </w:style>
  <w:style w:type="character" w:customStyle="1" w:styleId="CommentSubjectChar">
    <w:name w:val="Comment Subject Char"/>
    <w:basedOn w:val="CommentTextChar"/>
    <w:link w:val="CommentSubject"/>
    <w:uiPriority w:val="99"/>
    <w:semiHidden/>
    <w:rsid w:val="001963F7"/>
    <w:rPr>
      <w:rFonts w:ascii="Roc Grotesk" w:hAnsi="Roc Grotesk"/>
      <w:b/>
      <w:bCs/>
      <w:color w:val="48555E" w:themeColor="text1"/>
      <w:sz w:val="20"/>
      <w:szCs w:val="20"/>
    </w:rPr>
  </w:style>
  <w:style w:type="paragraph" w:styleId="FootnoteText">
    <w:name w:val="footnote text"/>
    <w:basedOn w:val="Normal"/>
    <w:link w:val="FootnoteTextChar"/>
    <w:uiPriority w:val="99"/>
    <w:semiHidden/>
    <w:unhideWhenUsed/>
    <w:rsid w:val="00C679FC"/>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79FC"/>
    <w:rPr>
      <w:rFonts w:ascii="Roc Grotesk" w:hAnsi="Roc Grotesk"/>
      <w:color w:val="48555E" w:themeColor="text1"/>
      <w:sz w:val="20"/>
      <w:szCs w:val="20"/>
    </w:rPr>
  </w:style>
  <w:style w:type="character" w:styleId="FootnoteReference">
    <w:name w:val="footnote reference"/>
    <w:basedOn w:val="DefaultParagraphFont"/>
    <w:uiPriority w:val="99"/>
    <w:semiHidden/>
    <w:unhideWhenUsed/>
    <w:rsid w:val="00C679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41179">
      <w:bodyDiv w:val="1"/>
      <w:marLeft w:val="0"/>
      <w:marRight w:val="0"/>
      <w:marTop w:val="0"/>
      <w:marBottom w:val="0"/>
      <w:divBdr>
        <w:top w:val="none" w:sz="0" w:space="0" w:color="auto"/>
        <w:left w:val="none" w:sz="0" w:space="0" w:color="auto"/>
        <w:bottom w:val="none" w:sz="0" w:space="0" w:color="auto"/>
        <w:right w:val="none" w:sz="0" w:space="0" w:color="auto"/>
      </w:divBdr>
    </w:div>
    <w:div w:id="349258876">
      <w:bodyDiv w:val="1"/>
      <w:marLeft w:val="0"/>
      <w:marRight w:val="0"/>
      <w:marTop w:val="0"/>
      <w:marBottom w:val="0"/>
      <w:divBdr>
        <w:top w:val="none" w:sz="0" w:space="0" w:color="auto"/>
        <w:left w:val="none" w:sz="0" w:space="0" w:color="auto"/>
        <w:bottom w:val="none" w:sz="0" w:space="0" w:color="auto"/>
        <w:right w:val="none" w:sz="0" w:space="0" w:color="auto"/>
      </w:divBdr>
    </w:div>
    <w:div w:id="467209042">
      <w:bodyDiv w:val="1"/>
      <w:marLeft w:val="0"/>
      <w:marRight w:val="0"/>
      <w:marTop w:val="0"/>
      <w:marBottom w:val="0"/>
      <w:divBdr>
        <w:top w:val="none" w:sz="0" w:space="0" w:color="auto"/>
        <w:left w:val="none" w:sz="0" w:space="0" w:color="auto"/>
        <w:bottom w:val="none" w:sz="0" w:space="0" w:color="auto"/>
        <w:right w:val="none" w:sz="0" w:space="0" w:color="auto"/>
      </w:divBdr>
    </w:div>
    <w:div w:id="502819634">
      <w:bodyDiv w:val="1"/>
      <w:marLeft w:val="0"/>
      <w:marRight w:val="0"/>
      <w:marTop w:val="0"/>
      <w:marBottom w:val="0"/>
      <w:divBdr>
        <w:top w:val="none" w:sz="0" w:space="0" w:color="auto"/>
        <w:left w:val="none" w:sz="0" w:space="0" w:color="auto"/>
        <w:bottom w:val="none" w:sz="0" w:space="0" w:color="auto"/>
        <w:right w:val="none" w:sz="0" w:space="0" w:color="auto"/>
      </w:divBdr>
    </w:div>
    <w:div w:id="604466097">
      <w:bodyDiv w:val="1"/>
      <w:marLeft w:val="0"/>
      <w:marRight w:val="0"/>
      <w:marTop w:val="0"/>
      <w:marBottom w:val="0"/>
      <w:divBdr>
        <w:top w:val="none" w:sz="0" w:space="0" w:color="auto"/>
        <w:left w:val="none" w:sz="0" w:space="0" w:color="auto"/>
        <w:bottom w:val="none" w:sz="0" w:space="0" w:color="auto"/>
        <w:right w:val="none" w:sz="0" w:space="0" w:color="auto"/>
      </w:divBdr>
    </w:div>
    <w:div w:id="694234489">
      <w:bodyDiv w:val="1"/>
      <w:marLeft w:val="0"/>
      <w:marRight w:val="0"/>
      <w:marTop w:val="0"/>
      <w:marBottom w:val="0"/>
      <w:divBdr>
        <w:top w:val="none" w:sz="0" w:space="0" w:color="auto"/>
        <w:left w:val="none" w:sz="0" w:space="0" w:color="auto"/>
        <w:bottom w:val="none" w:sz="0" w:space="0" w:color="auto"/>
        <w:right w:val="none" w:sz="0" w:space="0" w:color="auto"/>
      </w:divBdr>
    </w:div>
    <w:div w:id="887649593">
      <w:bodyDiv w:val="1"/>
      <w:marLeft w:val="0"/>
      <w:marRight w:val="0"/>
      <w:marTop w:val="0"/>
      <w:marBottom w:val="0"/>
      <w:divBdr>
        <w:top w:val="none" w:sz="0" w:space="0" w:color="auto"/>
        <w:left w:val="none" w:sz="0" w:space="0" w:color="auto"/>
        <w:bottom w:val="none" w:sz="0" w:space="0" w:color="auto"/>
        <w:right w:val="none" w:sz="0" w:space="0" w:color="auto"/>
      </w:divBdr>
    </w:div>
    <w:div w:id="1332951541">
      <w:bodyDiv w:val="1"/>
      <w:marLeft w:val="0"/>
      <w:marRight w:val="0"/>
      <w:marTop w:val="0"/>
      <w:marBottom w:val="0"/>
      <w:divBdr>
        <w:top w:val="none" w:sz="0" w:space="0" w:color="auto"/>
        <w:left w:val="none" w:sz="0" w:space="0" w:color="auto"/>
        <w:bottom w:val="none" w:sz="0" w:space="0" w:color="auto"/>
        <w:right w:val="none" w:sz="0" w:space="0" w:color="auto"/>
      </w:divBdr>
    </w:div>
    <w:div w:id="1493838176">
      <w:bodyDiv w:val="1"/>
      <w:marLeft w:val="0"/>
      <w:marRight w:val="0"/>
      <w:marTop w:val="0"/>
      <w:marBottom w:val="0"/>
      <w:divBdr>
        <w:top w:val="none" w:sz="0" w:space="0" w:color="auto"/>
        <w:left w:val="none" w:sz="0" w:space="0" w:color="auto"/>
        <w:bottom w:val="none" w:sz="0" w:space="0" w:color="auto"/>
        <w:right w:val="none" w:sz="0" w:space="0" w:color="auto"/>
      </w:divBdr>
    </w:div>
    <w:div w:id="1832484523">
      <w:bodyDiv w:val="1"/>
      <w:marLeft w:val="0"/>
      <w:marRight w:val="0"/>
      <w:marTop w:val="0"/>
      <w:marBottom w:val="0"/>
      <w:divBdr>
        <w:top w:val="none" w:sz="0" w:space="0" w:color="auto"/>
        <w:left w:val="none" w:sz="0" w:space="0" w:color="auto"/>
        <w:bottom w:val="none" w:sz="0" w:space="0" w:color="auto"/>
        <w:right w:val="none" w:sz="0" w:space="0" w:color="auto"/>
      </w:divBdr>
    </w:div>
    <w:div w:id="2002924789">
      <w:bodyDiv w:val="1"/>
      <w:marLeft w:val="0"/>
      <w:marRight w:val="0"/>
      <w:marTop w:val="0"/>
      <w:marBottom w:val="0"/>
      <w:divBdr>
        <w:top w:val="none" w:sz="0" w:space="0" w:color="auto"/>
        <w:left w:val="none" w:sz="0" w:space="0" w:color="auto"/>
        <w:bottom w:val="none" w:sz="0" w:space="0" w:color="auto"/>
        <w:right w:val="none" w:sz="0" w:space="0" w:color="auto"/>
      </w:divBdr>
    </w:div>
    <w:div w:id="210372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opyright@dcceew.gov.au"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7.jpe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mdba.gov.au/sites/default/files/publications/framework-for-the-2025-basin-plan-evaluation.pdf" TargetMode="External"/><Relationship Id="rId2" Type="http://schemas.openxmlformats.org/officeDocument/2006/relationships/hyperlink" Target="https://www.pc.gov.au/inquiries/completed/basin-plan-2023/report" TargetMode="External"/><Relationship Id="rId1" Type="http://schemas.openxmlformats.org/officeDocument/2006/relationships/hyperlink" Target="https://www.aph.gov.au/Parliamentary_Business/Bills_Legislation/Bills_Search_Results/Result?bId=r7076" TargetMode="External"/><Relationship Id="rId4" Type="http://schemas.openxmlformats.org/officeDocument/2006/relationships/hyperlink" Target="https://www.mdba.gov.au/sites/default/files/publications/bpr-review-roadmap.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EA586800946C48A81A1E49C7F1F4FE"/>
        <w:category>
          <w:name w:val="General"/>
          <w:gallery w:val="placeholder"/>
        </w:category>
        <w:types>
          <w:type w:val="bbPlcHdr"/>
        </w:types>
        <w:behaviors>
          <w:behavior w:val="content"/>
        </w:behaviors>
        <w:guid w:val="{E73D10F4-9624-2F4F-9A8B-8E7E5224E5C4}"/>
      </w:docPartPr>
      <w:docPartBody>
        <w:p w:rsidR="00BE06D6" w:rsidRDefault="00A72B19" w:rsidP="00A72B19">
          <w:pPr>
            <w:pStyle w:val="32EA586800946C48A81A1E49C7F1F4FE"/>
          </w:pPr>
          <w:r>
            <w:rPr>
              <w:caps/>
              <w:color w:val="156082" w:themeColor="accent1"/>
              <w:sz w:val="18"/>
              <w:szCs w:val="18"/>
            </w:rPr>
            <w:t>[Document title]</w:t>
          </w:r>
        </w:p>
      </w:docPartBody>
    </w:docPart>
    <w:docPart>
      <w:docPartPr>
        <w:name w:val="2D853D2DBDFCED42885B8B01973A2356"/>
        <w:category>
          <w:name w:val="General"/>
          <w:gallery w:val="placeholder"/>
        </w:category>
        <w:types>
          <w:type w:val="bbPlcHdr"/>
        </w:types>
        <w:behaviors>
          <w:behavior w:val="content"/>
        </w:behaviors>
        <w:guid w:val="{3249BAB1-6B87-E147-AD08-06F040421DDE}"/>
      </w:docPartPr>
      <w:docPartBody>
        <w:p w:rsidR="00BE06D6" w:rsidRDefault="00A72B19" w:rsidP="00A72B19">
          <w:pPr>
            <w:pStyle w:val="2D853D2DBDFCED42885B8B01973A2356"/>
          </w:pPr>
          <w:r>
            <w:rPr>
              <w:caps/>
              <w:color w:val="156082"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 Grotesk">
    <w:altName w:val="Calibri"/>
    <w:panose1 w:val="00000000000000000000"/>
    <w:charset w:val="4D"/>
    <w:family w:val="auto"/>
    <w:notTrueType/>
    <w:pitch w:val="variable"/>
    <w:sig w:usb0="00000007" w:usb1="00000000" w:usb2="00000000" w:usb3="00000000" w:csb0="00000093" w:csb1="00000000"/>
  </w:font>
  <w:font w:name="Roc Grotesk Medium">
    <w:altName w:val="Calibri"/>
    <w:panose1 w:val="00000000000000000000"/>
    <w:charset w:val="4D"/>
    <w:family w:val="auto"/>
    <w:notTrueType/>
    <w:pitch w:val="variable"/>
    <w:sig w:usb0="00000007" w:usb1="00000000" w:usb2="00000000" w:usb3="00000000" w:csb0="00000093" w:csb1="00000000"/>
  </w:font>
  <w:font w:name="Calibri (Body)">
    <w:altName w:val="Calibri"/>
    <w:panose1 w:val="00000000000000000000"/>
    <w:charset w:val="00"/>
    <w:family w:val="roman"/>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19"/>
    <w:rsid w:val="000467EC"/>
    <w:rsid w:val="00083A27"/>
    <w:rsid w:val="000903B8"/>
    <w:rsid w:val="0009384B"/>
    <w:rsid w:val="000A3B69"/>
    <w:rsid w:val="00165318"/>
    <w:rsid w:val="001660F2"/>
    <w:rsid w:val="001E7793"/>
    <w:rsid w:val="00254B96"/>
    <w:rsid w:val="002F0D7F"/>
    <w:rsid w:val="00466EF9"/>
    <w:rsid w:val="004C4B48"/>
    <w:rsid w:val="00517DF8"/>
    <w:rsid w:val="00563C70"/>
    <w:rsid w:val="00593D3E"/>
    <w:rsid w:val="00643F13"/>
    <w:rsid w:val="00684968"/>
    <w:rsid w:val="0069291E"/>
    <w:rsid w:val="00696F0D"/>
    <w:rsid w:val="006A1A6B"/>
    <w:rsid w:val="006A7463"/>
    <w:rsid w:val="007716DD"/>
    <w:rsid w:val="00777472"/>
    <w:rsid w:val="00861EE7"/>
    <w:rsid w:val="008B0CDE"/>
    <w:rsid w:val="00936B53"/>
    <w:rsid w:val="00950B6C"/>
    <w:rsid w:val="00964ABF"/>
    <w:rsid w:val="00986671"/>
    <w:rsid w:val="009E69D8"/>
    <w:rsid w:val="00A57900"/>
    <w:rsid w:val="00A72B19"/>
    <w:rsid w:val="00B011D2"/>
    <w:rsid w:val="00B57BF0"/>
    <w:rsid w:val="00BE06D6"/>
    <w:rsid w:val="00BE5696"/>
    <w:rsid w:val="00C13FEF"/>
    <w:rsid w:val="00C36BCB"/>
    <w:rsid w:val="00C579C2"/>
    <w:rsid w:val="00CD3DBB"/>
    <w:rsid w:val="00CE03A4"/>
    <w:rsid w:val="00CE31E4"/>
    <w:rsid w:val="00DA2DDC"/>
    <w:rsid w:val="00DE1737"/>
    <w:rsid w:val="00DF7F0A"/>
    <w:rsid w:val="00E766C8"/>
    <w:rsid w:val="00F26369"/>
    <w:rsid w:val="00F379FA"/>
    <w:rsid w:val="00FD3E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EA586800946C48A81A1E49C7F1F4FE">
    <w:name w:val="32EA586800946C48A81A1E49C7F1F4FE"/>
    <w:rsid w:val="00A72B19"/>
  </w:style>
  <w:style w:type="paragraph" w:customStyle="1" w:styleId="2D853D2DBDFCED42885B8B01973A2356">
    <w:name w:val="2D853D2DBDFCED42885B8B01973A2356"/>
    <w:rsid w:val="00A72B19"/>
  </w:style>
  <w:style w:type="character" w:styleId="PlaceholderText">
    <w:name w:val="Placeholder Text"/>
    <w:basedOn w:val="DefaultParagraphFont"/>
    <w:uiPriority w:val="99"/>
    <w:semiHidden/>
    <w:rsid w:val="00A72B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GWC">
      <a:dk1>
        <a:srgbClr val="48555E"/>
      </a:dk1>
      <a:lt1>
        <a:srgbClr val="FFFFFF"/>
      </a:lt1>
      <a:dk2>
        <a:srgbClr val="4C6968"/>
      </a:dk2>
      <a:lt2>
        <a:srgbClr val="FFFFFF"/>
      </a:lt2>
      <a:accent1>
        <a:srgbClr val="48555E"/>
      </a:accent1>
      <a:accent2>
        <a:srgbClr val="4C6968"/>
      </a:accent2>
      <a:accent3>
        <a:srgbClr val="6E8C81"/>
      </a:accent3>
      <a:accent4>
        <a:srgbClr val="BCD8E3"/>
      </a:accent4>
      <a:accent5>
        <a:srgbClr val="F1C88A"/>
      </a:accent5>
      <a:accent6>
        <a:srgbClr val="CE9282"/>
      </a:accent6>
      <a:hlink>
        <a:srgbClr val="48555E"/>
      </a:hlink>
      <a:folHlink>
        <a:srgbClr val="48555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95247a4-6a6b-40fb-87b6-0fb2f012c536" xsi:nil="true"/>
    <lcf76f155ced4ddcb4097134ff3c332f xmlns="d81c2681-db7b-4a56-9abd-a3238a78f6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SharedWithUsers xmlns="d869c146-c82e-4435-92e4-da91542262fd">
      <UserInfo>
        <DisplayName/>
        <AccountId xsi:nil="true"/>
        <AccountType/>
      </UserInfo>
    </SharedWithUsers>
  </documentManagement>
</p:properties>
</file>

<file path=customXml/itemProps1.xml><?xml version="1.0" encoding="utf-8"?>
<ds:datastoreItem xmlns:ds="http://schemas.openxmlformats.org/officeDocument/2006/customXml" ds:itemID="{699DA126-ECBA-4D0A-95D8-CC2374F85959}">
  <ds:schemaRefs>
    <ds:schemaRef ds:uri="http://schemas.openxmlformats.org/officeDocument/2006/bibliography"/>
  </ds:schemaRefs>
</ds:datastoreItem>
</file>

<file path=customXml/itemProps2.xml><?xml version="1.0" encoding="utf-8"?>
<ds:datastoreItem xmlns:ds="http://schemas.openxmlformats.org/officeDocument/2006/customXml" ds:itemID="{BE3960A7-54CB-4E2E-BFF9-7F22D47F47E4}">
  <ds:schemaRefs>
    <ds:schemaRef ds:uri="http://schemas.microsoft.com/sharepoint/v3/contenttype/forms"/>
  </ds:schemaRefs>
</ds:datastoreItem>
</file>

<file path=customXml/itemProps3.xml><?xml version="1.0" encoding="utf-8"?>
<ds:datastoreItem xmlns:ds="http://schemas.openxmlformats.org/officeDocument/2006/customXml" ds:itemID="{99184381-00EF-4051-BE19-5E9E3B4AA647}"/>
</file>

<file path=customXml/itemProps4.xml><?xml version="1.0" encoding="utf-8"?>
<ds:datastoreItem xmlns:ds="http://schemas.openxmlformats.org/officeDocument/2006/customXml" ds:itemID="{4074936B-CF3E-44B0-8FFB-77517306437C}">
  <ds:schemaRefs>
    <ds:schemaRef ds:uri="http://schemas.microsoft.com/office/2006/metadata/properties"/>
    <ds:schemaRef ds:uri="http://schemas.microsoft.com/office/infopath/2007/PartnerControls"/>
    <ds:schemaRef ds:uri="a95247a4-6a6b-40fb-87b6-0fb2f012c536"/>
    <ds:schemaRef ds:uri="d81c2681-db7b-4a56-9abd-a3238a78f6b2"/>
    <ds:schemaRef ds:uri="3831e8a4-9d05-4fa9-b62b-4dc281877bbf"/>
    <ds:schemaRef ds:uri="http://schemas.microsoft.com/sharepoint/v3"/>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Annual Work plan 2023–24</vt:lpstr>
    </vt:vector>
  </TitlesOfParts>
  <Manager/>
  <Company/>
  <LinksUpToDate>false</LinksUpToDate>
  <CharactersWithSpaces>17565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Work plan 2024-25</dc:title>
  <dc:subject/>
  <dc:creator>Inspector-General of Water Compliance</dc:creator>
  <cp:keywords/>
  <dc:description/>
  <cp:lastModifiedBy>Maggie WELFARE</cp:lastModifiedBy>
  <cp:revision>3</cp:revision>
  <dcterms:created xsi:type="dcterms:W3CDTF">2025-02-17T04:12:00Z</dcterms:created>
  <dcterms:modified xsi:type="dcterms:W3CDTF">2025-03-03T04:12:00Z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lassificationContentMarkingHeaderShapeIds">
    <vt:lpwstr>31ccf63d,674f68a1,678d6b98,549654cd,5b0b1a63,1f365ace,3485bb72,39d9a868,5076ef24</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3b082df7,2d3a2e63,489ebf6,2f4232ed,5a1a477c,40d96e8b,5d09c35e,7665da95,bf5d65f</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ies>
</file>