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6BB1D6" w14:textId="729976A7" w:rsidR="00775A90" w:rsidRPr="00775A90" w:rsidRDefault="00DD276C" w:rsidP="00B26EE5">
      <w:pPr>
        <w:pStyle w:val="Title"/>
      </w:pPr>
      <w:r>
        <w:rPr>
          <w:noProof/>
        </w:rPr>
        <w:drawing>
          <wp:anchor distT="0" distB="0" distL="114300" distR="114300" simplePos="0" relativeHeight="251661318" behindDoc="1" locked="0" layoutInCell="1" allowOverlap="1" wp14:anchorId="6244F793" wp14:editId="7DA62495">
            <wp:simplePos x="0" y="0"/>
            <wp:positionH relativeFrom="margin">
              <wp:align>left</wp:align>
            </wp:positionH>
            <wp:positionV relativeFrom="page">
              <wp:posOffset>400050</wp:posOffset>
            </wp:positionV>
            <wp:extent cx="3600450" cy="1040130"/>
            <wp:effectExtent l="0" t="0" r="0" b="0"/>
            <wp:wrapNone/>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045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6733">
        <w:rPr>
          <w:noProof/>
        </w:rPr>
        <w:drawing>
          <wp:anchor distT="0" distB="0" distL="114300" distR="114300" simplePos="0" relativeHeight="251660294" behindDoc="1" locked="0" layoutInCell="1" allowOverlap="1" wp14:anchorId="5165085C" wp14:editId="6A83AFD1">
            <wp:simplePos x="0" y="0"/>
            <wp:positionH relativeFrom="column">
              <wp:posOffset>-755650</wp:posOffset>
            </wp:positionH>
            <wp:positionV relativeFrom="paragraph">
              <wp:posOffset>-2882900</wp:posOffset>
            </wp:positionV>
            <wp:extent cx="7597140" cy="10751185"/>
            <wp:effectExtent l="0" t="0" r="3810" b="0"/>
            <wp:wrapNone/>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7140" cy="10751185"/>
                    </a:xfrm>
                    <a:prstGeom prst="rect">
                      <a:avLst/>
                    </a:prstGeom>
                  </pic:spPr>
                </pic:pic>
              </a:graphicData>
            </a:graphic>
            <wp14:sizeRelH relativeFrom="page">
              <wp14:pctWidth>0</wp14:pctWidth>
            </wp14:sizeRelH>
            <wp14:sizeRelV relativeFrom="page">
              <wp14:pctHeight>0</wp14:pctHeight>
            </wp14:sizeRelV>
          </wp:anchor>
        </w:drawing>
      </w:r>
      <w:r w:rsidR="002C2C16">
        <w:t>Regulatory Policy</w:t>
      </w:r>
    </w:p>
    <w:p w14:paraId="0CE16F81" w14:textId="46328BDB" w:rsidR="003E3229" w:rsidRPr="00A11881" w:rsidRDefault="00B51C8E" w:rsidP="00DD276C">
      <w:pPr>
        <w:pStyle w:val="Subtitle"/>
      </w:pPr>
      <w:r>
        <w:t xml:space="preserve">July </w:t>
      </w:r>
      <w:r w:rsidR="001642A2">
        <w:t>2024</w:t>
      </w:r>
    </w:p>
    <w:p w14:paraId="34CFB52E" w14:textId="5F417557" w:rsidR="0065497C" w:rsidRPr="00BB4A89" w:rsidRDefault="0065497C">
      <w:pPr>
        <w:spacing w:after="0"/>
      </w:pPr>
      <w:r w:rsidRPr="00BB4A89">
        <w:br w:type="page"/>
      </w:r>
    </w:p>
    <w:p w14:paraId="649F7E94" w14:textId="42A61101" w:rsidR="0054076A" w:rsidRDefault="0054076A" w:rsidP="00904DE7">
      <w:pPr>
        <w:rPr>
          <w:rFonts w:ascii="Arial" w:eastAsia="Times New Roman" w:hAnsi="Arial"/>
          <w:szCs w:val="20"/>
          <w:lang w:eastAsia="en-GB"/>
        </w:rPr>
      </w:pPr>
    </w:p>
    <w:p w14:paraId="5073CAE9" w14:textId="6BABB839" w:rsidR="00A46170" w:rsidRPr="00452256" w:rsidRDefault="00A46170" w:rsidP="00A46170">
      <w:pPr>
        <w:rPr>
          <w:szCs w:val="20"/>
        </w:rPr>
      </w:pPr>
      <w:r w:rsidRPr="00452256">
        <w:rPr>
          <w:szCs w:val="20"/>
        </w:rPr>
        <w:t>© Commonwealth of Australia 202</w:t>
      </w:r>
      <w:r w:rsidR="00C5292A">
        <w:rPr>
          <w:szCs w:val="20"/>
        </w:rPr>
        <w:t>4</w:t>
      </w:r>
    </w:p>
    <w:p w14:paraId="053C3027" w14:textId="77777777" w:rsidR="00A46170" w:rsidRPr="00452256" w:rsidRDefault="00A46170" w:rsidP="00A46170">
      <w:pPr>
        <w:rPr>
          <w:rStyle w:val="Strong"/>
          <w:szCs w:val="20"/>
        </w:rPr>
      </w:pPr>
      <w:r w:rsidRPr="00452256">
        <w:rPr>
          <w:rStyle w:val="Strong"/>
          <w:szCs w:val="20"/>
        </w:rPr>
        <w:t>Ownership of intellectual property rights</w:t>
      </w:r>
    </w:p>
    <w:p w14:paraId="71100408" w14:textId="77777777" w:rsidR="00A46170" w:rsidRPr="00452256" w:rsidRDefault="00A46170" w:rsidP="00A46170">
      <w:pPr>
        <w:rPr>
          <w:szCs w:val="20"/>
        </w:rPr>
      </w:pPr>
      <w:r w:rsidRPr="00452256">
        <w:rPr>
          <w:szCs w:val="20"/>
        </w:rPr>
        <w:t>Unless otherwise noted, copyright (and any other intellectual property rights) in this publication is owned by the Commonwealth of Australia (referred to as the Commonwealth).</w:t>
      </w:r>
    </w:p>
    <w:p w14:paraId="0E77AC22" w14:textId="77777777" w:rsidR="00A46170" w:rsidRPr="00452256" w:rsidRDefault="00A46170" w:rsidP="00A46170">
      <w:pPr>
        <w:rPr>
          <w:rStyle w:val="Strong"/>
          <w:szCs w:val="20"/>
        </w:rPr>
      </w:pPr>
      <w:r w:rsidRPr="00452256">
        <w:rPr>
          <w:rStyle w:val="Strong"/>
          <w:szCs w:val="20"/>
        </w:rPr>
        <w:t xml:space="preserve">Creative Commons licence </w:t>
      </w:r>
    </w:p>
    <w:p w14:paraId="20134655" w14:textId="77777777" w:rsidR="00A46170" w:rsidRPr="00452256" w:rsidRDefault="00A46170" w:rsidP="00A46170">
      <w:pPr>
        <w:rPr>
          <w:szCs w:val="20"/>
        </w:rPr>
      </w:pPr>
      <w:r w:rsidRPr="00452256">
        <w:rPr>
          <w:szCs w:val="20"/>
        </w:rPr>
        <w:t xml:space="preserve">All material in this publication is licensed under a Creative Commons Attribution 4.0 International Licence, except for content supplied by third parties, logos and the Commonwealth Coat of Arms. </w:t>
      </w:r>
    </w:p>
    <w:p w14:paraId="1E7DE447" w14:textId="77777777" w:rsidR="00A46170" w:rsidRPr="00452256" w:rsidRDefault="00A46170" w:rsidP="00A46170">
      <w:pPr>
        <w:rPr>
          <w:szCs w:val="20"/>
        </w:rPr>
      </w:pPr>
      <w:r w:rsidRPr="00452256">
        <w:rPr>
          <w:szCs w:val="20"/>
        </w:rPr>
        <w:t>Inquiries about the licence and any use of this document should be emailed to copyright@dcceew.gov.au.</w:t>
      </w:r>
    </w:p>
    <w:p w14:paraId="5EAB3083" w14:textId="77777777" w:rsidR="00A46170" w:rsidRPr="00452256" w:rsidRDefault="00A46170" w:rsidP="00A46170">
      <w:pPr>
        <w:rPr>
          <w:szCs w:val="20"/>
        </w:rPr>
      </w:pPr>
      <w:r w:rsidRPr="00452256">
        <w:rPr>
          <w:noProof/>
          <w:szCs w:val="20"/>
          <w:lang w:eastAsia="en-AU"/>
        </w:rPr>
        <w:drawing>
          <wp:inline distT="0" distB="0" distL="0" distR="0" wp14:anchorId="62299374" wp14:editId="700AB410">
            <wp:extent cx="724535" cy="25527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870FEAF" w14:textId="77777777" w:rsidR="00A46170" w:rsidRPr="00452256" w:rsidRDefault="00A46170" w:rsidP="00A46170">
      <w:pPr>
        <w:rPr>
          <w:rStyle w:val="Strong"/>
          <w:szCs w:val="20"/>
        </w:rPr>
      </w:pPr>
      <w:r w:rsidRPr="00452256">
        <w:rPr>
          <w:rStyle w:val="Strong"/>
          <w:szCs w:val="20"/>
        </w:rPr>
        <w:t>Cataloguing data</w:t>
      </w:r>
    </w:p>
    <w:p w14:paraId="51E76B65" w14:textId="2A9B3DB0" w:rsidR="00A46170" w:rsidRPr="00452256" w:rsidRDefault="00A46170" w:rsidP="00A46170">
      <w:pPr>
        <w:rPr>
          <w:szCs w:val="20"/>
        </w:rPr>
      </w:pPr>
      <w:r w:rsidRPr="00452256">
        <w:rPr>
          <w:szCs w:val="20"/>
        </w:rPr>
        <w:t>This publication (and any material sourced from it) should be attributed as: Inspector-General of Water Compliance 202</w:t>
      </w:r>
      <w:r w:rsidR="00DD276C">
        <w:rPr>
          <w:szCs w:val="20"/>
        </w:rPr>
        <w:t>4</w:t>
      </w:r>
      <w:r w:rsidRPr="00452256">
        <w:rPr>
          <w:szCs w:val="20"/>
        </w:rPr>
        <w:t xml:space="preserve">, </w:t>
      </w:r>
      <w:r>
        <w:rPr>
          <w:rStyle w:val="Emphasis"/>
          <w:szCs w:val="20"/>
        </w:rPr>
        <w:t>Regulatory Policy</w:t>
      </w:r>
      <w:r w:rsidRPr="00452256">
        <w:rPr>
          <w:szCs w:val="20"/>
        </w:rPr>
        <w:t xml:space="preserve">, the Australian Government, Canberra, </w:t>
      </w:r>
      <w:r w:rsidR="00DD276C">
        <w:rPr>
          <w:szCs w:val="20"/>
        </w:rPr>
        <w:t>July</w:t>
      </w:r>
      <w:r w:rsidRPr="00452256">
        <w:rPr>
          <w:szCs w:val="20"/>
        </w:rPr>
        <w:t xml:space="preserve"> 202</w:t>
      </w:r>
      <w:r w:rsidR="00DD276C">
        <w:rPr>
          <w:szCs w:val="20"/>
        </w:rPr>
        <w:t>4</w:t>
      </w:r>
      <w:r w:rsidRPr="00452256">
        <w:rPr>
          <w:szCs w:val="20"/>
        </w:rPr>
        <w:t>. CC BY 4.0.</w:t>
      </w:r>
    </w:p>
    <w:p w14:paraId="360FEA24" w14:textId="77777777" w:rsidR="00A46170" w:rsidRPr="00452256" w:rsidRDefault="00A46170" w:rsidP="00A46170">
      <w:pPr>
        <w:rPr>
          <w:rStyle w:val="Hyperlink"/>
          <w:szCs w:val="20"/>
        </w:rPr>
      </w:pPr>
      <w:r w:rsidRPr="00452256">
        <w:rPr>
          <w:szCs w:val="20"/>
        </w:rPr>
        <w:t xml:space="preserve">This publication is available at </w:t>
      </w:r>
      <w:r w:rsidRPr="00550278">
        <w:rPr>
          <w:szCs w:val="20"/>
        </w:rPr>
        <w:t>https://www.igwc.gov.au/about</w:t>
      </w:r>
    </w:p>
    <w:p w14:paraId="1B9648DD" w14:textId="77777777" w:rsidR="00A46170" w:rsidRPr="00452256" w:rsidRDefault="00A46170" w:rsidP="00A46170">
      <w:pPr>
        <w:rPr>
          <w:szCs w:val="20"/>
        </w:rPr>
      </w:pPr>
      <w:r w:rsidRPr="00452256">
        <w:rPr>
          <w:szCs w:val="20"/>
        </w:rPr>
        <w:t>Inspector-General of Water Compliance</w:t>
      </w:r>
      <w:r w:rsidRPr="00452256">
        <w:rPr>
          <w:szCs w:val="20"/>
        </w:rPr>
        <w:br/>
        <w:t>GPO Box 3090 Canberra ACT 2601</w:t>
      </w:r>
    </w:p>
    <w:p w14:paraId="6F75FB55" w14:textId="77777777" w:rsidR="00A46170" w:rsidRPr="00452256" w:rsidRDefault="00A46170" w:rsidP="00A46170">
      <w:pPr>
        <w:rPr>
          <w:rStyle w:val="Strong"/>
          <w:szCs w:val="20"/>
        </w:rPr>
      </w:pPr>
      <w:r w:rsidRPr="00452256">
        <w:rPr>
          <w:rStyle w:val="Strong"/>
          <w:szCs w:val="20"/>
        </w:rPr>
        <w:t>Disclaimer</w:t>
      </w:r>
    </w:p>
    <w:p w14:paraId="1C37DCCC" w14:textId="77777777" w:rsidR="00A46170" w:rsidRPr="00452256" w:rsidRDefault="00A46170" w:rsidP="00A46170">
      <w:pPr>
        <w:rPr>
          <w:szCs w:val="20"/>
        </w:rPr>
      </w:pPr>
      <w:r w:rsidRPr="00452256">
        <w:rPr>
          <w:szCs w:val="20"/>
        </w:rPr>
        <w:t>The Australian Government represented by the Inspector-General of Water Compliance, has exercised due care and skill in preparing and compiling the information and data in this publication. Notwithstanding, the</w:t>
      </w:r>
      <w:r>
        <w:rPr>
          <w:szCs w:val="20"/>
        </w:rPr>
        <w:t xml:space="preserve"> </w:t>
      </w:r>
      <w:r w:rsidRPr="00452256">
        <w:rPr>
          <w:szCs w:val="20"/>
        </w:rPr>
        <w:t xml:space="preserve">Inspector-General of Water Compliance, the Australian Government’s employees disclaim all liability, including liability for negligence and for any loss, damage, injury, expense or cost incurred by any person </w:t>
      </w:r>
      <w:proofErr w:type="gramStart"/>
      <w:r w:rsidRPr="00452256">
        <w:rPr>
          <w:szCs w:val="20"/>
        </w:rPr>
        <w:t>as a result of</w:t>
      </w:r>
      <w:proofErr w:type="gramEnd"/>
      <w:r w:rsidRPr="00452256">
        <w:rPr>
          <w:szCs w:val="20"/>
        </w:rPr>
        <w:t xml:space="preserve"> accessing, using or relying on any of the information or data in this publication to the maximum extent permitted by law.</w:t>
      </w:r>
    </w:p>
    <w:p w14:paraId="261E4DC3" w14:textId="77777777" w:rsidR="00A46170" w:rsidRPr="00452256" w:rsidRDefault="00A46170" w:rsidP="00A46170">
      <w:pPr>
        <w:rPr>
          <w:rStyle w:val="Strong"/>
          <w:szCs w:val="20"/>
        </w:rPr>
      </w:pPr>
      <w:r w:rsidRPr="00452256">
        <w:rPr>
          <w:rStyle w:val="Strong"/>
          <w:szCs w:val="20"/>
        </w:rPr>
        <w:t xml:space="preserve">Acknowledgement of </w:t>
      </w:r>
      <w:r>
        <w:rPr>
          <w:rStyle w:val="Strong"/>
          <w:szCs w:val="20"/>
        </w:rPr>
        <w:t>all Traditional Owners</w:t>
      </w:r>
    </w:p>
    <w:p w14:paraId="7399E889" w14:textId="77777777" w:rsidR="00A46170" w:rsidRDefault="00A46170" w:rsidP="00A46170">
      <w:pPr>
        <w:rPr>
          <w:szCs w:val="20"/>
        </w:rPr>
      </w:pPr>
      <w:r>
        <w:rPr>
          <w:szCs w:val="20"/>
        </w:rPr>
        <w:t xml:space="preserve">We pay our respect to the Traditional Owners and their Nations of the Murray-Darling Basin. We acknowledge their deep cultural, social, environmental, spiritual and economic connection to their lands and waters. </w:t>
      </w:r>
    </w:p>
    <w:p w14:paraId="727AC089" w14:textId="77777777" w:rsidR="00A46170" w:rsidRPr="00452256" w:rsidRDefault="00A46170" w:rsidP="00A46170">
      <w:pPr>
        <w:rPr>
          <w:szCs w:val="20"/>
        </w:rPr>
      </w:pPr>
      <w:r>
        <w:rPr>
          <w:szCs w:val="20"/>
        </w:rPr>
        <w:t xml:space="preserve">Aboriginal people should be aware that this publication may contain images, names, or quotations of deceased persons. </w:t>
      </w:r>
    </w:p>
    <w:p w14:paraId="6A392FD8" w14:textId="77777777" w:rsidR="00A46170" w:rsidRPr="00452256" w:rsidRDefault="00A46170" w:rsidP="00A46170">
      <w:pPr>
        <w:rPr>
          <w:rStyle w:val="Strong"/>
          <w:szCs w:val="20"/>
        </w:rPr>
      </w:pPr>
      <w:r w:rsidRPr="00452256">
        <w:rPr>
          <w:rStyle w:val="Strong"/>
          <w:szCs w:val="20"/>
        </w:rPr>
        <w:t>Accessibility</w:t>
      </w:r>
    </w:p>
    <w:p w14:paraId="2EED56D9" w14:textId="38ECCA84" w:rsidR="00A46170" w:rsidRDefault="00A46170" w:rsidP="00A46170">
      <w:pPr>
        <w:rPr>
          <w:szCs w:val="20"/>
        </w:rPr>
      </w:pPr>
      <w:r w:rsidRPr="00452256">
        <w:rPr>
          <w:szCs w:val="20"/>
        </w:rPr>
        <w:t xml:space="preserve">The document and information </w:t>
      </w:r>
      <w:proofErr w:type="gramStart"/>
      <w:r w:rsidRPr="00452256">
        <w:rPr>
          <w:szCs w:val="20"/>
        </w:rPr>
        <w:t>is</w:t>
      </w:r>
      <w:proofErr w:type="gramEnd"/>
      <w:r w:rsidRPr="00452256">
        <w:rPr>
          <w:szCs w:val="20"/>
        </w:rPr>
        <w:t xml:space="preserve"> available in accessible formats. On some occasions the highly technical nature of the document means that we cannot make some sections fully accessible. If you encounter accessibility problems or the document is in a format that you cannot access, please contact us</w:t>
      </w:r>
      <w:r>
        <w:rPr>
          <w:szCs w:val="20"/>
        </w:rPr>
        <w:t xml:space="preserve"> on 13 IGWC (13 44 92)</w:t>
      </w:r>
      <w:r w:rsidRPr="00452256">
        <w:rPr>
          <w:szCs w:val="20"/>
        </w:rPr>
        <w:t>.</w:t>
      </w:r>
    </w:p>
    <w:p w14:paraId="519EE3FC" w14:textId="77777777" w:rsidR="00671DF0" w:rsidRDefault="00671DF0" w:rsidP="00904DE7">
      <w:pPr>
        <w:sectPr w:rsidR="00671DF0" w:rsidSect="00E90F6B">
          <w:headerReference w:type="even" r:id="rId14"/>
          <w:headerReference w:type="default" r:id="rId15"/>
          <w:footerReference w:type="even" r:id="rId16"/>
          <w:footerReference w:type="default" r:id="rId17"/>
          <w:headerReference w:type="first" r:id="rId18"/>
          <w:footerReference w:type="first" r:id="rId19"/>
          <w:footnotePr>
            <w:numFmt w:val="lowerRoman"/>
          </w:footnotePr>
          <w:endnotePr>
            <w:numFmt w:val="decimal"/>
          </w:endnotePr>
          <w:pgSz w:w="11906" w:h="16838"/>
          <w:pgMar w:top="1284" w:right="1134" w:bottom="816" w:left="1134" w:header="425" w:footer="999" w:gutter="0"/>
          <w:cols w:space="708"/>
          <w:titlePg/>
          <w:docGrid w:linePitch="360"/>
        </w:sectPr>
      </w:pPr>
    </w:p>
    <w:p w14:paraId="75AAC00F" w14:textId="31F3E4F6" w:rsidR="00473F5B" w:rsidRPr="00D21687" w:rsidRDefault="00473F5B" w:rsidP="004557E7">
      <w:pPr>
        <w:rPr>
          <w:bCs/>
          <w:szCs w:val="50"/>
        </w:rPr>
      </w:pPr>
      <w:bookmarkStart w:id="0" w:name="_Toc105590117"/>
      <w:bookmarkStart w:id="1" w:name="_Toc105590325"/>
      <w:r w:rsidRPr="004557E7">
        <w:rPr>
          <w:b/>
          <w:color w:val="4C6968" w:themeColor="text1"/>
          <w:sz w:val="50"/>
          <w:szCs w:val="50"/>
        </w:rPr>
        <w:lastRenderedPageBreak/>
        <w:t>Table of Contents</w:t>
      </w:r>
      <w:bookmarkEnd w:id="0"/>
      <w:bookmarkEnd w:id="1"/>
    </w:p>
    <w:p w14:paraId="46E0E576" w14:textId="1C638723" w:rsidR="00BE136E" w:rsidRDefault="00A4375F" w:rsidP="002E0900">
      <w:pPr>
        <w:pStyle w:val="TOC1"/>
        <w:rPr>
          <w:rFonts w:asciiTheme="minorHAnsi" w:eastAsiaTheme="minorEastAsia" w:hAnsiTheme="minorHAnsi" w:cstheme="minorBidi"/>
          <w:color w:val="auto"/>
          <w:kern w:val="2"/>
          <w:sz w:val="22"/>
          <w:lang w:eastAsia="en-AU"/>
          <w14:ligatures w14:val="standardContextual"/>
        </w:rPr>
      </w:pPr>
      <w:r>
        <w:fldChar w:fldCharType="begin"/>
      </w:r>
      <w:r>
        <w:instrText xml:space="preserve"> TOC \o "1-2" </w:instrText>
      </w:r>
      <w:r>
        <w:fldChar w:fldCharType="separate"/>
      </w:r>
      <w:r w:rsidR="00BE136E">
        <w:t>Role of the Inspector-General</w:t>
      </w:r>
      <w:r w:rsidR="00BE136E">
        <w:tab/>
      </w:r>
      <w:r w:rsidR="00BE136E">
        <w:fldChar w:fldCharType="begin"/>
      </w:r>
      <w:r w:rsidR="00BE136E">
        <w:instrText xml:space="preserve"> PAGEREF _Toc161834731 \h </w:instrText>
      </w:r>
      <w:r w:rsidR="00BE136E">
        <w:fldChar w:fldCharType="separate"/>
      </w:r>
      <w:r w:rsidR="002E0900">
        <w:t>1</w:t>
      </w:r>
      <w:r w:rsidR="00BE136E">
        <w:fldChar w:fldCharType="end"/>
      </w:r>
    </w:p>
    <w:p w14:paraId="3CCFC851" w14:textId="1AA54579" w:rsidR="00BE136E" w:rsidRDefault="00BE136E" w:rsidP="00B12528">
      <w:pPr>
        <w:pStyle w:val="TOC2"/>
        <w:rPr>
          <w:rFonts w:asciiTheme="minorHAnsi" w:eastAsiaTheme="minorEastAsia" w:hAnsiTheme="minorHAnsi" w:cstheme="minorBidi"/>
          <w:kern w:val="2"/>
          <w:sz w:val="22"/>
          <w:lang w:eastAsia="en-AU"/>
          <w14:ligatures w14:val="standardContextual"/>
        </w:rPr>
      </w:pPr>
      <w:r>
        <w:t>Role as an integrity agency</w:t>
      </w:r>
      <w:r>
        <w:tab/>
      </w:r>
      <w:r>
        <w:fldChar w:fldCharType="begin"/>
      </w:r>
      <w:r>
        <w:instrText xml:space="preserve"> PAGEREF _Toc161834732 \h </w:instrText>
      </w:r>
      <w:r>
        <w:fldChar w:fldCharType="separate"/>
      </w:r>
      <w:r w:rsidR="002E0900">
        <w:t>3</w:t>
      </w:r>
      <w:r>
        <w:fldChar w:fldCharType="end"/>
      </w:r>
    </w:p>
    <w:p w14:paraId="0A44AD36" w14:textId="732A476D" w:rsidR="00BE136E" w:rsidRDefault="00BE136E" w:rsidP="002E0900">
      <w:pPr>
        <w:pStyle w:val="TOC1"/>
        <w:rPr>
          <w:rFonts w:asciiTheme="minorHAnsi" w:eastAsiaTheme="minorEastAsia" w:hAnsiTheme="minorHAnsi" w:cstheme="minorBidi"/>
          <w:color w:val="auto"/>
          <w:kern w:val="2"/>
          <w:sz w:val="22"/>
          <w:lang w:eastAsia="en-AU"/>
          <w14:ligatures w14:val="standardContextual"/>
        </w:rPr>
      </w:pPr>
      <w:r>
        <w:t>When the Inspector–General gets involved</w:t>
      </w:r>
      <w:r>
        <w:tab/>
      </w:r>
      <w:r>
        <w:fldChar w:fldCharType="begin"/>
      </w:r>
      <w:r>
        <w:instrText xml:space="preserve"> PAGEREF _Toc161834733 \h </w:instrText>
      </w:r>
      <w:r>
        <w:fldChar w:fldCharType="separate"/>
      </w:r>
      <w:r w:rsidR="002E0900">
        <w:t>6</w:t>
      </w:r>
      <w:r>
        <w:fldChar w:fldCharType="end"/>
      </w:r>
    </w:p>
    <w:p w14:paraId="07B5A5AC" w14:textId="682E4B53" w:rsidR="00BE136E" w:rsidRDefault="00BE136E" w:rsidP="00B12528">
      <w:pPr>
        <w:pStyle w:val="TOC2"/>
        <w:rPr>
          <w:rFonts w:asciiTheme="minorHAnsi" w:eastAsiaTheme="minorEastAsia" w:hAnsiTheme="minorHAnsi" w:cstheme="minorBidi"/>
          <w:kern w:val="2"/>
          <w:sz w:val="22"/>
          <w:lang w:eastAsia="en-AU"/>
          <w14:ligatures w14:val="standardContextual"/>
        </w:rPr>
      </w:pPr>
      <w:r>
        <w:t>Responsive regulation approach</w:t>
      </w:r>
      <w:r>
        <w:tab/>
      </w:r>
      <w:r>
        <w:fldChar w:fldCharType="begin"/>
      </w:r>
      <w:r>
        <w:instrText xml:space="preserve"> PAGEREF _Toc161834734 \h </w:instrText>
      </w:r>
      <w:r>
        <w:fldChar w:fldCharType="separate"/>
      </w:r>
      <w:r w:rsidR="002E0900">
        <w:t>6</w:t>
      </w:r>
      <w:r>
        <w:fldChar w:fldCharType="end"/>
      </w:r>
    </w:p>
    <w:p w14:paraId="5EA15BAC" w14:textId="26CA3D97" w:rsidR="00BE136E" w:rsidRDefault="00BE136E" w:rsidP="00B12528">
      <w:pPr>
        <w:pStyle w:val="TOC2"/>
        <w:rPr>
          <w:rFonts w:asciiTheme="minorHAnsi" w:eastAsiaTheme="minorEastAsia" w:hAnsiTheme="minorHAnsi" w:cstheme="minorBidi"/>
          <w:kern w:val="2"/>
          <w:sz w:val="22"/>
          <w:lang w:eastAsia="en-AU"/>
          <w14:ligatures w14:val="standardContextual"/>
        </w:rPr>
      </w:pPr>
      <w:r>
        <w:t>Targeted priorities</w:t>
      </w:r>
      <w:r>
        <w:tab/>
      </w:r>
      <w:r>
        <w:fldChar w:fldCharType="begin"/>
      </w:r>
      <w:r>
        <w:instrText xml:space="preserve"> PAGEREF _Toc161834735 \h </w:instrText>
      </w:r>
      <w:r>
        <w:fldChar w:fldCharType="separate"/>
      </w:r>
      <w:r w:rsidR="002E0900">
        <w:t>7</w:t>
      </w:r>
      <w:r>
        <w:fldChar w:fldCharType="end"/>
      </w:r>
    </w:p>
    <w:p w14:paraId="6F46CB6B" w14:textId="7D0BCE1B" w:rsidR="00BE136E" w:rsidRDefault="00BE136E" w:rsidP="00B12528">
      <w:pPr>
        <w:pStyle w:val="TOC2"/>
        <w:rPr>
          <w:rFonts w:asciiTheme="minorHAnsi" w:eastAsiaTheme="minorEastAsia" w:hAnsiTheme="minorHAnsi" w:cstheme="minorBidi"/>
          <w:kern w:val="2"/>
          <w:sz w:val="22"/>
          <w:lang w:eastAsia="en-AU"/>
          <w14:ligatures w14:val="standardContextual"/>
        </w:rPr>
      </w:pPr>
      <w:r>
        <w:t>Ongoing regulatory focus</w:t>
      </w:r>
      <w:r>
        <w:tab/>
      </w:r>
      <w:r>
        <w:fldChar w:fldCharType="begin"/>
      </w:r>
      <w:r>
        <w:instrText xml:space="preserve"> PAGEREF _Toc161834736 \h </w:instrText>
      </w:r>
      <w:r>
        <w:fldChar w:fldCharType="separate"/>
      </w:r>
      <w:r w:rsidR="002E0900">
        <w:t>7</w:t>
      </w:r>
      <w:r>
        <w:fldChar w:fldCharType="end"/>
      </w:r>
    </w:p>
    <w:p w14:paraId="09F6C455" w14:textId="1038F537" w:rsidR="00BE136E" w:rsidRDefault="00BE136E" w:rsidP="002E0900">
      <w:pPr>
        <w:pStyle w:val="TOC1"/>
        <w:rPr>
          <w:rFonts w:asciiTheme="minorHAnsi" w:eastAsiaTheme="minorEastAsia" w:hAnsiTheme="minorHAnsi" w:cstheme="minorBidi"/>
          <w:color w:val="auto"/>
          <w:kern w:val="2"/>
          <w:sz w:val="22"/>
          <w:lang w:eastAsia="en-AU"/>
          <w14:ligatures w14:val="standardContextual"/>
        </w:rPr>
      </w:pPr>
      <w:r>
        <w:t>Principles–based approach</w:t>
      </w:r>
      <w:r>
        <w:tab/>
      </w:r>
      <w:r>
        <w:fldChar w:fldCharType="begin"/>
      </w:r>
      <w:r>
        <w:instrText xml:space="preserve"> PAGEREF _Toc161834737 \h </w:instrText>
      </w:r>
      <w:r>
        <w:fldChar w:fldCharType="separate"/>
      </w:r>
      <w:r w:rsidR="002E0900">
        <w:t>11</w:t>
      </w:r>
      <w:r>
        <w:fldChar w:fldCharType="end"/>
      </w:r>
    </w:p>
    <w:p w14:paraId="5AD6991D" w14:textId="23CB50A6" w:rsidR="00BE136E" w:rsidRDefault="00BE136E" w:rsidP="00B12528">
      <w:pPr>
        <w:pStyle w:val="TOC2"/>
        <w:rPr>
          <w:rFonts w:asciiTheme="minorHAnsi" w:eastAsiaTheme="minorEastAsia" w:hAnsiTheme="minorHAnsi" w:cstheme="minorBidi"/>
          <w:kern w:val="2"/>
          <w:sz w:val="22"/>
          <w:lang w:eastAsia="en-AU"/>
          <w14:ligatures w14:val="standardContextual"/>
        </w:rPr>
      </w:pPr>
      <w:r>
        <w:t>Principles for the management of Basin water resources</w:t>
      </w:r>
      <w:r>
        <w:tab/>
      </w:r>
      <w:r>
        <w:fldChar w:fldCharType="begin"/>
      </w:r>
      <w:r>
        <w:instrText xml:space="preserve"> PAGEREF _Toc161834738 \h </w:instrText>
      </w:r>
      <w:r>
        <w:fldChar w:fldCharType="separate"/>
      </w:r>
      <w:r w:rsidR="002E0900">
        <w:t>11</w:t>
      </w:r>
      <w:r>
        <w:fldChar w:fldCharType="end"/>
      </w:r>
    </w:p>
    <w:p w14:paraId="75BCDC20" w14:textId="74C18E5F" w:rsidR="00BE136E" w:rsidRDefault="00BE136E" w:rsidP="00B12528">
      <w:pPr>
        <w:pStyle w:val="TOC2"/>
        <w:rPr>
          <w:rFonts w:asciiTheme="minorHAnsi" w:eastAsiaTheme="minorEastAsia" w:hAnsiTheme="minorHAnsi" w:cstheme="minorBidi"/>
          <w:kern w:val="2"/>
          <w:sz w:val="22"/>
          <w:lang w:eastAsia="en-AU"/>
          <w14:ligatures w14:val="standardContextual"/>
        </w:rPr>
      </w:pPr>
      <w:r>
        <w:t>Regulatory principles</w:t>
      </w:r>
      <w:r>
        <w:tab/>
      </w:r>
      <w:r>
        <w:fldChar w:fldCharType="begin"/>
      </w:r>
      <w:r>
        <w:instrText xml:space="preserve"> PAGEREF _Toc161834739 \h </w:instrText>
      </w:r>
      <w:r>
        <w:fldChar w:fldCharType="separate"/>
      </w:r>
      <w:r w:rsidR="002E0900">
        <w:t>12</w:t>
      </w:r>
      <w:r>
        <w:fldChar w:fldCharType="end"/>
      </w:r>
    </w:p>
    <w:p w14:paraId="6955BBB9" w14:textId="00D51E7A" w:rsidR="00BE136E" w:rsidRDefault="00BE136E" w:rsidP="002E0900">
      <w:pPr>
        <w:pStyle w:val="TOC1"/>
        <w:rPr>
          <w:rFonts w:asciiTheme="minorHAnsi" w:eastAsiaTheme="minorEastAsia" w:hAnsiTheme="minorHAnsi" w:cstheme="minorBidi"/>
          <w:color w:val="auto"/>
          <w:kern w:val="2"/>
          <w:sz w:val="22"/>
          <w:lang w:eastAsia="en-AU"/>
          <w14:ligatures w14:val="standardContextual"/>
        </w:rPr>
      </w:pPr>
      <w:r>
        <w:t>Regulated entities</w:t>
      </w:r>
      <w:r>
        <w:tab/>
      </w:r>
      <w:r>
        <w:fldChar w:fldCharType="begin"/>
      </w:r>
      <w:r>
        <w:instrText xml:space="preserve"> PAGEREF _Toc161834740 \h </w:instrText>
      </w:r>
      <w:r>
        <w:fldChar w:fldCharType="separate"/>
      </w:r>
      <w:r w:rsidR="002E0900">
        <w:t>14</w:t>
      </w:r>
      <w:r>
        <w:fldChar w:fldCharType="end"/>
      </w:r>
    </w:p>
    <w:p w14:paraId="190F8B0A" w14:textId="6D20D830" w:rsidR="00BE136E" w:rsidRDefault="00BE136E" w:rsidP="00B12528">
      <w:pPr>
        <w:pStyle w:val="TOC2"/>
        <w:rPr>
          <w:rFonts w:asciiTheme="minorHAnsi" w:eastAsiaTheme="minorEastAsia" w:hAnsiTheme="minorHAnsi" w:cstheme="minorBidi"/>
          <w:kern w:val="2"/>
          <w:sz w:val="22"/>
          <w:lang w:eastAsia="en-AU"/>
          <w14:ligatures w14:val="standardContextual"/>
        </w:rPr>
      </w:pPr>
      <w:r>
        <w:t>Coordination with other Commonwealth agencies</w:t>
      </w:r>
      <w:r>
        <w:tab/>
      </w:r>
      <w:r>
        <w:fldChar w:fldCharType="begin"/>
      </w:r>
      <w:r>
        <w:instrText xml:space="preserve"> PAGEREF _Toc161834741 \h </w:instrText>
      </w:r>
      <w:r>
        <w:fldChar w:fldCharType="separate"/>
      </w:r>
      <w:r w:rsidR="002E0900">
        <w:t>16</w:t>
      </w:r>
      <w:r>
        <w:fldChar w:fldCharType="end"/>
      </w:r>
    </w:p>
    <w:p w14:paraId="0455C884" w14:textId="05778C13" w:rsidR="00BE136E" w:rsidRDefault="00BE136E" w:rsidP="00B12528">
      <w:pPr>
        <w:pStyle w:val="TOC2"/>
        <w:rPr>
          <w:rFonts w:asciiTheme="minorHAnsi" w:eastAsiaTheme="minorEastAsia" w:hAnsiTheme="minorHAnsi" w:cstheme="minorBidi"/>
          <w:kern w:val="2"/>
          <w:sz w:val="22"/>
          <w:lang w:eastAsia="en-AU"/>
          <w14:ligatures w14:val="standardContextual"/>
        </w:rPr>
      </w:pPr>
      <w:r>
        <w:t>Collaboration with other entities</w:t>
      </w:r>
      <w:r>
        <w:tab/>
      </w:r>
      <w:r>
        <w:fldChar w:fldCharType="begin"/>
      </w:r>
      <w:r>
        <w:instrText xml:space="preserve"> PAGEREF _Toc161834742 \h </w:instrText>
      </w:r>
      <w:r>
        <w:fldChar w:fldCharType="separate"/>
      </w:r>
      <w:r w:rsidR="002E0900">
        <w:t>16</w:t>
      </w:r>
      <w:r>
        <w:fldChar w:fldCharType="end"/>
      </w:r>
    </w:p>
    <w:p w14:paraId="69FA272C" w14:textId="462401DC" w:rsidR="00BE136E" w:rsidRDefault="00BE136E" w:rsidP="002E0900">
      <w:pPr>
        <w:pStyle w:val="TOC1"/>
        <w:rPr>
          <w:rFonts w:asciiTheme="minorHAnsi" w:eastAsiaTheme="minorEastAsia" w:hAnsiTheme="minorHAnsi" w:cstheme="minorBidi"/>
          <w:color w:val="auto"/>
          <w:kern w:val="2"/>
          <w:sz w:val="22"/>
          <w:lang w:eastAsia="en-AU"/>
          <w14:ligatures w14:val="standardContextual"/>
        </w:rPr>
      </w:pPr>
      <w:r>
        <w:t>Regulatory tools</w:t>
      </w:r>
      <w:r>
        <w:tab/>
      </w:r>
      <w:r>
        <w:fldChar w:fldCharType="begin"/>
      </w:r>
      <w:r>
        <w:instrText xml:space="preserve"> PAGEREF _Toc161834743 \h </w:instrText>
      </w:r>
      <w:r>
        <w:fldChar w:fldCharType="separate"/>
      </w:r>
      <w:r w:rsidR="002E0900">
        <w:t>19</w:t>
      </w:r>
      <w:r>
        <w:fldChar w:fldCharType="end"/>
      </w:r>
    </w:p>
    <w:p w14:paraId="3CBDBE2B" w14:textId="6E681C1A" w:rsidR="00BE136E" w:rsidRDefault="00BE136E" w:rsidP="00B12528">
      <w:pPr>
        <w:pStyle w:val="TOC2"/>
        <w:rPr>
          <w:rFonts w:asciiTheme="minorHAnsi" w:eastAsiaTheme="minorEastAsia" w:hAnsiTheme="minorHAnsi" w:cstheme="minorBidi"/>
          <w:kern w:val="2"/>
          <w:sz w:val="22"/>
          <w:lang w:eastAsia="en-AU"/>
          <w14:ligatures w14:val="standardContextual"/>
        </w:rPr>
      </w:pPr>
      <w:r>
        <w:t>Monitoring</w:t>
      </w:r>
      <w:r>
        <w:tab/>
      </w:r>
      <w:r>
        <w:fldChar w:fldCharType="begin"/>
      </w:r>
      <w:r>
        <w:instrText xml:space="preserve"> PAGEREF _Toc161834744 \h </w:instrText>
      </w:r>
      <w:r>
        <w:fldChar w:fldCharType="separate"/>
      </w:r>
      <w:r w:rsidR="002E0900">
        <w:t>19</w:t>
      </w:r>
      <w:r>
        <w:fldChar w:fldCharType="end"/>
      </w:r>
    </w:p>
    <w:p w14:paraId="563542C6" w14:textId="2B0B00B7" w:rsidR="00BE136E" w:rsidRDefault="00BE136E" w:rsidP="00B12528">
      <w:pPr>
        <w:pStyle w:val="TOC2"/>
        <w:rPr>
          <w:rFonts w:asciiTheme="minorHAnsi" w:eastAsiaTheme="minorEastAsia" w:hAnsiTheme="minorHAnsi" w:cstheme="minorBidi"/>
          <w:kern w:val="2"/>
          <w:sz w:val="22"/>
          <w:lang w:eastAsia="en-AU"/>
          <w14:ligatures w14:val="standardContextual"/>
        </w:rPr>
      </w:pPr>
      <w:r>
        <w:t>Examinations</w:t>
      </w:r>
      <w:r>
        <w:tab/>
      </w:r>
      <w:r>
        <w:fldChar w:fldCharType="begin"/>
      </w:r>
      <w:r>
        <w:instrText xml:space="preserve"> PAGEREF _Toc161834745 \h </w:instrText>
      </w:r>
      <w:r>
        <w:fldChar w:fldCharType="separate"/>
      </w:r>
      <w:r w:rsidR="002E0900">
        <w:t>20</w:t>
      </w:r>
      <w:r>
        <w:fldChar w:fldCharType="end"/>
      </w:r>
    </w:p>
    <w:p w14:paraId="544F86E3" w14:textId="60273C47" w:rsidR="00BE136E" w:rsidRDefault="00BE136E" w:rsidP="00B12528">
      <w:pPr>
        <w:pStyle w:val="TOC2"/>
        <w:rPr>
          <w:rFonts w:asciiTheme="minorHAnsi" w:eastAsiaTheme="minorEastAsia" w:hAnsiTheme="minorHAnsi" w:cstheme="minorBidi"/>
          <w:kern w:val="2"/>
          <w:sz w:val="22"/>
          <w:lang w:eastAsia="en-AU"/>
          <w14:ligatures w14:val="standardContextual"/>
        </w:rPr>
      </w:pPr>
      <w:r>
        <w:t>Enforcement</w:t>
      </w:r>
      <w:r>
        <w:tab/>
      </w:r>
      <w:r>
        <w:fldChar w:fldCharType="begin"/>
      </w:r>
      <w:r>
        <w:instrText xml:space="preserve"> PAGEREF _Toc161834746 \h </w:instrText>
      </w:r>
      <w:r>
        <w:fldChar w:fldCharType="separate"/>
      </w:r>
      <w:r w:rsidR="002E0900">
        <w:t>22</w:t>
      </w:r>
      <w:r>
        <w:fldChar w:fldCharType="end"/>
      </w:r>
    </w:p>
    <w:p w14:paraId="09F68DF5" w14:textId="5C405ACA" w:rsidR="00BE136E" w:rsidRDefault="00BE136E" w:rsidP="00B12528">
      <w:pPr>
        <w:pStyle w:val="TOC2"/>
        <w:rPr>
          <w:rFonts w:asciiTheme="minorHAnsi" w:eastAsiaTheme="minorEastAsia" w:hAnsiTheme="minorHAnsi" w:cstheme="minorBidi"/>
          <w:kern w:val="2"/>
          <w:sz w:val="22"/>
          <w:lang w:eastAsia="en-AU"/>
          <w14:ligatures w14:val="standardContextual"/>
        </w:rPr>
      </w:pPr>
      <w:r>
        <w:t>Guidelines and standards</w:t>
      </w:r>
      <w:r>
        <w:tab/>
      </w:r>
      <w:r>
        <w:fldChar w:fldCharType="begin"/>
      </w:r>
      <w:r>
        <w:instrText xml:space="preserve"> PAGEREF _Toc161834747 \h </w:instrText>
      </w:r>
      <w:r>
        <w:fldChar w:fldCharType="separate"/>
      </w:r>
      <w:r w:rsidR="002E0900">
        <w:t>23</w:t>
      </w:r>
      <w:r>
        <w:fldChar w:fldCharType="end"/>
      </w:r>
    </w:p>
    <w:p w14:paraId="52B09B29" w14:textId="2BE7DFE9" w:rsidR="00BE136E" w:rsidRDefault="00BE136E" w:rsidP="00B12528">
      <w:pPr>
        <w:pStyle w:val="TOC2"/>
        <w:rPr>
          <w:rFonts w:asciiTheme="minorHAnsi" w:eastAsiaTheme="minorEastAsia" w:hAnsiTheme="minorHAnsi" w:cstheme="minorBidi"/>
          <w:kern w:val="2"/>
          <w:sz w:val="22"/>
          <w:lang w:eastAsia="en-AU"/>
          <w14:ligatures w14:val="standardContextual"/>
        </w:rPr>
      </w:pPr>
      <w:r>
        <w:t>Compliance approach</w:t>
      </w:r>
      <w:r>
        <w:tab/>
      </w:r>
      <w:r>
        <w:fldChar w:fldCharType="begin"/>
      </w:r>
      <w:r>
        <w:instrText xml:space="preserve"> PAGEREF _Toc161834748 \h </w:instrText>
      </w:r>
      <w:r>
        <w:fldChar w:fldCharType="separate"/>
      </w:r>
      <w:r w:rsidR="002E0900">
        <w:t>24</w:t>
      </w:r>
      <w:r>
        <w:fldChar w:fldCharType="end"/>
      </w:r>
    </w:p>
    <w:p w14:paraId="5C3D65B6" w14:textId="7985B007" w:rsidR="00BE136E" w:rsidRDefault="00BE136E" w:rsidP="00B12528">
      <w:pPr>
        <w:pStyle w:val="TOC2"/>
        <w:rPr>
          <w:rFonts w:asciiTheme="minorHAnsi" w:eastAsiaTheme="minorEastAsia" w:hAnsiTheme="minorHAnsi" w:cstheme="minorBidi"/>
          <w:kern w:val="2"/>
          <w:sz w:val="22"/>
          <w:lang w:eastAsia="en-AU"/>
          <w14:ligatures w14:val="standardContextual"/>
        </w:rPr>
      </w:pPr>
      <w:r>
        <w:t>Performance approach</w:t>
      </w:r>
      <w:r>
        <w:tab/>
      </w:r>
      <w:r>
        <w:fldChar w:fldCharType="begin"/>
      </w:r>
      <w:r>
        <w:instrText xml:space="preserve"> PAGEREF _Toc161834749 \h </w:instrText>
      </w:r>
      <w:r>
        <w:fldChar w:fldCharType="separate"/>
      </w:r>
      <w:r w:rsidR="002E0900">
        <w:t>25</w:t>
      </w:r>
      <w:r>
        <w:fldChar w:fldCharType="end"/>
      </w:r>
    </w:p>
    <w:p w14:paraId="3A73CD96" w14:textId="18BEFA33" w:rsidR="00BE136E" w:rsidRDefault="00BE136E" w:rsidP="002E0900">
      <w:pPr>
        <w:pStyle w:val="TOC1"/>
        <w:rPr>
          <w:rFonts w:asciiTheme="minorHAnsi" w:eastAsiaTheme="minorEastAsia" w:hAnsiTheme="minorHAnsi" w:cstheme="minorBidi"/>
          <w:color w:val="auto"/>
          <w:kern w:val="2"/>
          <w:sz w:val="22"/>
          <w:lang w:eastAsia="en-AU"/>
          <w14:ligatures w14:val="standardContextual"/>
        </w:rPr>
      </w:pPr>
      <w:r>
        <w:t>Review of policy</w:t>
      </w:r>
      <w:r>
        <w:tab/>
      </w:r>
      <w:r>
        <w:fldChar w:fldCharType="begin"/>
      </w:r>
      <w:r>
        <w:instrText xml:space="preserve"> PAGEREF _Toc161834750 \h </w:instrText>
      </w:r>
      <w:r>
        <w:fldChar w:fldCharType="separate"/>
      </w:r>
      <w:r w:rsidR="002E0900">
        <w:t>27</w:t>
      </w:r>
      <w:r>
        <w:fldChar w:fldCharType="end"/>
      </w:r>
    </w:p>
    <w:p w14:paraId="07A2BE80" w14:textId="71914187" w:rsidR="00BE136E" w:rsidRDefault="00BE136E" w:rsidP="00B12528">
      <w:pPr>
        <w:pStyle w:val="TOC2"/>
        <w:rPr>
          <w:rFonts w:asciiTheme="minorHAnsi" w:eastAsiaTheme="minorEastAsia" w:hAnsiTheme="minorHAnsi" w:cstheme="minorBidi"/>
          <w:kern w:val="2"/>
          <w:sz w:val="22"/>
          <w:lang w:eastAsia="en-AU"/>
          <w14:ligatures w14:val="standardContextual"/>
        </w:rPr>
      </w:pPr>
      <w:r>
        <w:t>Version history</w:t>
      </w:r>
      <w:r>
        <w:tab/>
      </w:r>
      <w:r>
        <w:fldChar w:fldCharType="begin"/>
      </w:r>
      <w:r>
        <w:instrText xml:space="preserve"> PAGEREF _Toc161834751 \h </w:instrText>
      </w:r>
      <w:r>
        <w:fldChar w:fldCharType="separate"/>
      </w:r>
      <w:r w:rsidR="002E0900">
        <w:t>27</w:t>
      </w:r>
      <w:r>
        <w:fldChar w:fldCharType="end"/>
      </w:r>
    </w:p>
    <w:p w14:paraId="0972E129" w14:textId="6C8BD16D" w:rsidR="00BE136E" w:rsidRDefault="00BE136E" w:rsidP="002E0900">
      <w:pPr>
        <w:pStyle w:val="TOC1"/>
        <w:rPr>
          <w:rFonts w:asciiTheme="minorHAnsi" w:eastAsiaTheme="minorEastAsia" w:hAnsiTheme="minorHAnsi" w:cstheme="minorBidi"/>
          <w:color w:val="auto"/>
          <w:kern w:val="2"/>
          <w:sz w:val="22"/>
          <w:lang w:eastAsia="en-AU"/>
          <w14:ligatures w14:val="standardContextual"/>
        </w:rPr>
      </w:pPr>
      <w:r>
        <w:t>References</w:t>
      </w:r>
      <w:r>
        <w:tab/>
      </w:r>
      <w:r>
        <w:fldChar w:fldCharType="begin"/>
      </w:r>
      <w:r>
        <w:instrText xml:space="preserve"> PAGEREF _Toc161834752 \h </w:instrText>
      </w:r>
      <w:r>
        <w:fldChar w:fldCharType="separate"/>
      </w:r>
      <w:r w:rsidR="002E0900">
        <w:t>28</w:t>
      </w:r>
      <w:r>
        <w:fldChar w:fldCharType="end"/>
      </w:r>
    </w:p>
    <w:p w14:paraId="769BF95D" w14:textId="69E88654" w:rsidR="00AB56BB" w:rsidRDefault="00A4375F" w:rsidP="00AB56BB">
      <w:pPr>
        <w:pStyle w:val="Heading1"/>
        <w:pageBreakBefore w:val="0"/>
        <w:rPr>
          <w:b w:val="0"/>
          <w:noProof/>
          <w:color w:val="48555E" w:themeColor="text2"/>
          <w:sz w:val="24"/>
        </w:rPr>
        <w:sectPr w:rsidR="00AB56BB" w:rsidSect="00E90F6B">
          <w:headerReference w:type="even" r:id="rId20"/>
          <w:headerReference w:type="default" r:id="rId21"/>
          <w:footerReference w:type="even" r:id="rId22"/>
          <w:footerReference w:type="default" r:id="rId23"/>
          <w:headerReference w:type="first" r:id="rId24"/>
          <w:footerReference w:type="first" r:id="rId25"/>
          <w:footnotePr>
            <w:numFmt w:val="lowerRoman"/>
          </w:footnotePr>
          <w:endnotePr>
            <w:numFmt w:val="decimal"/>
          </w:endnotePr>
          <w:pgSz w:w="11906" w:h="16838"/>
          <w:pgMar w:top="1284" w:right="1134" w:bottom="816" w:left="1134" w:header="425" w:footer="999" w:gutter="0"/>
          <w:pgNumType w:fmt="lowerRoman" w:start="1"/>
          <w:cols w:space="708"/>
          <w:docGrid w:linePitch="360"/>
        </w:sectPr>
      </w:pPr>
      <w:r>
        <w:fldChar w:fldCharType="end"/>
      </w:r>
    </w:p>
    <w:p w14:paraId="146A634A" w14:textId="59E0A725" w:rsidR="007E7C1A" w:rsidRDefault="00462B97" w:rsidP="007E7C1A">
      <w:pPr>
        <w:pStyle w:val="Heading1"/>
      </w:pPr>
      <w:bookmarkStart w:id="2" w:name="_Toc137125802"/>
      <w:bookmarkStart w:id="3" w:name="_Toc139551369"/>
      <w:bookmarkStart w:id="4" w:name="_Toc161834731"/>
      <w:bookmarkStart w:id="5" w:name="_Toc388442794"/>
      <w:r>
        <w:lastRenderedPageBreak/>
        <w:t>R</w:t>
      </w:r>
      <w:r w:rsidR="00E903E2">
        <w:t>ole of the Inspector-General</w:t>
      </w:r>
      <w:bookmarkEnd w:id="2"/>
      <w:bookmarkEnd w:id="3"/>
      <w:bookmarkEnd w:id="4"/>
    </w:p>
    <w:bookmarkEnd w:id="5"/>
    <w:p w14:paraId="2BEE6A01" w14:textId="64022FB8" w:rsidR="00695767" w:rsidRDefault="00695767" w:rsidP="00884362">
      <w:r>
        <w:t>The Murray–Darling Basin</w:t>
      </w:r>
      <w:r w:rsidR="00E903E2">
        <w:t xml:space="preserve"> (the Basin)</w:t>
      </w:r>
      <w:r>
        <w:t xml:space="preserve"> is in eastern Australia (see Figure 1) and runs across four states: Queensland, New South Wales, Victoria and South Australia. The Australian Capital Territory is also part of the Basin and is the only state or territory that is fully within the Basin. </w:t>
      </w:r>
    </w:p>
    <w:p w14:paraId="3C2D4EE9" w14:textId="2A026C54" w:rsidR="00546D03" w:rsidRDefault="00DF00D6" w:rsidP="00884362">
      <w:r>
        <w:t xml:space="preserve">The Basin is </w:t>
      </w:r>
      <w:r w:rsidR="00546D03">
        <w:t>a</w:t>
      </w:r>
      <w:r w:rsidR="008B4FD1">
        <w:t xml:space="preserve"> geographic region with </w:t>
      </w:r>
      <w:r w:rsidR="00546D03">
        <w:t xml:space="preserve">national economic, social, cultural and ecological </w:t>
      </w:r>
      <w:r w:rsidR="008B4FD1">
        <w:t>importance</w:t>
      </w:r>
      <w:r w:rsidR="00C92887">
        <w:t xml:space="preserve">, </w:t>
      </w:r>
      <w:r w:rsidR="008B4FD1">
        <w:t xml:space="preserve">where </w:t>
      </w:r>
      <w:proofErr w:type="gramStart"/>
      <w:r w:rsidR="008B4FD1">
        <w:t>all of</w:t>
      </w:r>
      <w:proofErr w:type="gramEnd"/>
      <w:r w:rsidR="008B4FD1">
        <w:t xml:space="preserve"> these outcomes </w:t>
      </w:r>
      <w:r w:rsidR="00C92887">
        <w:t xml:space="preserve">are underpinned by the effective management of its water resources. </w:t>
      </w:r>
      <w:r w:rsidR="004F26E9">
        <w:t>Historically</w:t>
      </w:r>
      <w:r w:rsidR="00E903E2">
        <w:t>,</w:t>
      </w:r>
      <w:r w:rsidR="004F26E9">
        <w:t xml:space="preserve"> i</w:t>
      </w:r>
      <w:r w:rsidR="00F045DB">
        <w:t xml:space="preserve">neffectual </w:t>
      </w:r>
      <w:r w:rsidR="00981E3A">
        <w:t xml:space="preserve">and disparate regulation of these </w:t>
      </w:r>
      <w:r w:rsidR="008E4B50">
        <w:t xml:space="preserve">water resources led to the establishment of </w:t>
      </w:r>
      <w:r w:rsidR="00630340">
        <w:t xml:space="preserve">a national </w:t>
      </w:r>
      <w:r w:rsidR="008E4B50">
        <w:t>framework</w:t>
      </w:r>
      <w:r w:rsidR="0018208D">
        <w:t xml:space="preserve"> under the </w:t>
      </w:r>
      <w:r w:rsidR="0018208D">
        <w:rPr>
          <w:i/>
          <w:iCs/>
        </w:rPr>
        <w:t xml:space="preserve">Water Act 2007 </w:t>
      </w:r>
      <w:r w:rsidR="0018208D">
        <w:t>(</w:t>
      </w:r>
      <w:proofErr w:type="spellStart"/>
      <w:r w:rsidR="008E0068">
        <w:t>Cth</w:t>
      </w:r>
      <w:proofErr w:type="spellEnd"/>
      <w:proofErr w:type="gramStart"/>
      <w:r w:rsidR="008E0068">
        <w:t>)</w:t>
      </w:r>
      <w:r w:rsidR="0018208D">
        <w:t>(</w:t>
      </w:r>
      <w:proofErr w:type="gramEnd"/>
      <w:r w:rsidR="0018208D">
        <w:t>the Water Act)</w:t>
      </w:r>
      <w:r w:rsidR="00F86659">
        <w:t xml:space="preserve"> </w:t>
      </w:r>
      <w:r w:rsidR="00630340">
        <w:t xml:space="preserve">that enables </w:t>
      </w:r>
      <w:r w:rsidR="002557C9" w:rsidRPr="002557C9">
        <w:t>the Commonwealth</w:t>
      </w:r>
      <w:r w:rsidR="002557C9">
        <w:t xml:space="preserve"> Government</w:t>
      </w:r>
      <w:r w:rsidR="002557C9" w:rsidRPr="002557C9">
        <w:t>, in conjunction with Basin States, to manage the Basin water resources in the national interest</w:t>
      </w:r>
      <w:r w:rsidR="00630340">
        <w:t>.</w:t>
      </w:r>
    </w:p>
    <w:p w14:paraId="53977D77" w14:textId="391C729E" w:rsidR="00F372E1" w:rsidRDefault="009B4E1D" w:rsidP="00884362">
      <w:r>
        <w:t xml:space="preserve">The integrity of the national framework depends on its </w:t>
      </w:r>
      <w:r w:rsidR="00564D31">
        <w:t>implementation in way</w:t>
      </w:r>
      <w:r w:rsidR="001B3820">
        <w:t>s</w:t>
      </w:r>
      <w:r w:rsidR="00564D31">
        <w:t xml:space="preserve"> that </w:t>
      </w:r>
      <w:r w:rsidR="001B3820">
        <w:t xml:space="preserve">are </w:t>
      </w:r>
      <w:r w:rsidR="0004543B">
        <w:t xml:space="preserve">compliant with </w:t>
      </w:r>
      <w:r w:rsidR="00212714">
        <w:t xml:space="preserve">relevant </w:t>
      </w:r>
      <w:r w:rsidR="0004543B">
        <w:t xml:space="preserve">laws and </w:t>
      </w:r>
      <w:r w:rsidR="006213FE">
        <w:t xml:space="preserve">that </w:t>
      </w:r>
      <w:r w:rsidR="0004543B">
        <w:t xml:space="preserve">deliver the </w:t>
      </w:r>
      <w:r w:rsidR="00212714">
        <w:t xml:space="preserve">intended outcomes for Basin communities and those dependent on </w:t>
      </w:r>
      <w:r w:rsidR="00A74E61">
        <w:t>Basin water resources for their livelihoods. As such, t</w:t>
      </w:r>
      <w:r w:rsidR="00F372E1">
        <w:t xml:space="preserve">he </w:t>
      </w:r>
      <w:r w:rsidR="00E903E2">
        <w:t xml:space="preserve">independent </w:t>
      </w:r>
      <w:r w:rsidR="00E57D54">
        <w:t>Inspector–General</w:t>
      </w:r>
      <w:r w:rsidR="00F372E1">
        <w:t xml:space="preserve"> of Water Compliance was established to</w:t>
      </w:r>
      <w:r w:rsidR="00A74E61">
        <w:t xml:space="preserve"> enforce compliance with the national laws and </w:t>
      </w:r>
      <w:r w:rsidR="00DD1BDE">
        <w:t xml:space="preserve">to hold Commonwealth and Basin State governments to account in their </w:t>
      </w:r>
      <w:r w:rsidR="006551FF">
        <w:t>management of Basin water resources</w:t>
      </w:r>
      <w:r w:rsidR="00F57186">
        <w:t>.</w:t>
      </w:r>
    </w:p>
    <w:p w14:paraId="62762FF3" w14:textId="2EFF80F7" w:rsidR="00FA7349" w:rsidRDefault="00F57186" w:rsidP="00884362">
      <w:r>
        <w:t>In this context, t</w:t>
      </w:r>
      <w:r w:rsidR="005E1034">
        <w:t xml:space="preserve">he </w:t>
      </w:r>
      <w:r w:rsidR="00693F17">
        <w:t xml:space="preserve">independent </w:t>
      </w:r>
      <w:r w:rsidR="005E1034">
        <w:t xml:space="preserve">Inspector–General </w:t>
      </w:r>
      <w:r>
        <w:t>broadly has the roles of</w:t>
      </w:r>
      <w:r w:rsidR="00FA7349">
        <w:t>:</w:t>
      </w:r>
    </w:p>
    <w:p w14:paraId="1056B4B8" w14:textId="563C8F8F" w:rsidR="00693F17" w:rsidRDefault="00693F17" w:rsidP="00FA7349">
      <w:pPr>
        <w:pStyle w:val="ListBullet"/>
      </w:pPr>
      <w:r>
        <w:t>Monitoring and overseeing</w:t>
      </w:r>
      <w:r w:rsidR="000539FD">
        <w:t xml:space="preserve"> the </w:t>
      </w:r>
      <w:r w:rsidR="002F1D03">
        <w:t xml:space="preserve">performance of functions and </w:t>
      </w:r>
      <w:r w:rsidR="000539FD">
        <w:t>exercise of powers by agencies of the Com</w:t>
      </w:r>
      <w:r w:rsidR="002F1D03">
        <w:t>m</w:t>
      </w:r>
      <w:r w:rsidR="000539FD">
        <w:t>onwealth</w:t>
      </w:r>
    </w:p>
    <w:p w14:paraId="0BAA7F00" w14:textId="1FD03309" w:rsidR="00FA7349" w:rsidRDefault="00FA7349" w:rsidP="00FA7349">
      <w:pPr>
        <w:pStyle w:val="ListBullet"/>
      </w:pPr>
      <w:r>
        <w:t>M</w:t>
      </w:r>
      <w:r w:rsidR="00F704A1">
        <w:t xml:space="preserve">onitoring and overseeing relevant </w:t>
      </w:r>
      <w:r w:rsidR="00FF0C48">
        <w:t xml:space="preserve">Commonwealth, </w:t>
      </w:r>
      <w:r w:rsidR="00D70F66">
        <w:t xml:space="preserve">and </w:t>
      </w:r>
      <w:r w:rsidR="006B6F98">
        <w:t xml:space="preserve">Basin </w:t>
      </w:r>
      <w:r w:rsidR="00FF0C48">
        <w:t xml:space="preserve">state and territory </w:t>
      </w:r>
      <w:r w:rsidR="00F704A1">
        <w:t xml:space="preserve">government agencies’ </w:t>
      </w:r>
      <w:r w:rsidR="00462B97">
        <w:t xml:space="preserve">performance in the </w:t>
      </w:r>
      <w:r w:rsidR="00F704A1">
        <w:t>management of Basin water resources</w:t>
      </w:r>
      <w:r>
        <w:t xml:space="preserve"> </w:t>
      </w:r>
    </w:p>
    <w:p w14:paraId="5D6B9F5E" w14:textId="4EC9E3E6" w:rsidR="00F57186" w:rsidRDefault="00FA7349" w:rsidP="00FA7349">
      <w:pPr>
        <w:pStyle w:val="ListBullet"/>
      </w:pPr>
      <w:r>
        <w:t xml:space="preserve">Enforcing compliance with Commonwealth laws </w:t>
      </w:r>
      <w:r w:rsidR="0019583B">
        <w:t>that regulate the management of Basin water resources</w:t>
      </w:r>
      <w:r w:rsidR="00201714">
        <w:t xml:space="preserve"> </w:t>
      </w:r>
      <w:r w:rsidR="00201714" w:rsidRPr="00EA5139">
        <w:t xml:space="preserve">and </w:t>
      </w:r>
      <w:r w:rsidR="00215CCE">
        <w:t xml:space="preserve">the </w:t>
      </w:r>
      <w:r w:rsidR="00201714" w:rsidRPr="00EA5139">
        <w:t>provision of water markets information</w:t>
      </w:r>
    </w:p>
    <w:p w14:paraId="755F2F56" w14:textId="4AC2099D" w:rsidR="00B87FF4" w:rsidRDefault="00F57186" w:rsidP="003346DE">
      <w:pPr>
        <w:pStyle w:val="ListBullet"/>
      </w:pPr>
      <w:r>
        <w:t xml:space="preserve">Engaging with the Australian </w:t>
      </w:r>
      <w:r w:rsidR="00B05CAF">
        <w:t xml:space="preserve">community </w:t>
      </w:r>
      <w:r>
        <w:t>on the management of Basin water resources</w:t>
      </w:r>
      <w:r w:rsidR="0019583B">
        <w:t>.</w:t>
      </w:r>
    </w:p>
    <w:p w14:paraId="064D4371" w14:textId="77777777" w:rsidR="00C203A0" w:rsidRPr="00C203A0" w:rsidRDefault="00C203A0" w:rsidP="00C203A0">
      <w:pPr>
        <w:pStyle w:val="ListBullet"/>
        <w:numPr>
          <w:ilvl w:val="0"/>
          <w:numId w:val="0"/>
        </w:numPr>
        <w:ind w:left="360" w:hanging="360"/>
        <w:rPr>
          <w:rStyle w:val="IntenseReference"/>
          <w:b w:val="0"/>
          <w:bCs w:val="0"/>
          <w:smallCaps w:val="0"/>
          <w:color w:val="auto"/>
          <w:spacing w:val="0"/>
        </w:rPr>
      </w:pPr>
    </w:p>
    <w:p w14:paraId="66D45093" w14:textId="057F07E9" w:rsidR="003346DE" w:rsidRPr="00492E5A" w:rsidRDefault="003346DE" w:rsidP="003346DE">
      <w:pPr>
        <w:rPr>
          <w:rStyle w:val="IntenseReference"/>
        </w:rPr>
      </w:pPr>
      <w:r w:rsidRPr="00492E5A">
        <w:rPr>
          <w:rStyle w:val="IntenseReference"/>
        </w:rPr>
        <w:t xml:space="preserve">Framework for developing </w:t>
      </w:r>
      <w:r>
        <w:rPr>
          <w:rStyle w:val="IntenseReference"/>
        </w:rPr>
        <w:t xml:space="preserve">this </w:t>
      </w:r>
      <w:r w:rsidRPr="00492E5A">
        <w:rPr>
          <w:rStyle w:val="IntenseReference"/>
        </w:rPr>
        <w:t>policy</w:t>
      </w:r>
    </w:p>
    <w:p w14:paraId="7A23FBCE" w14:textId="77777777" w:rsidR="003346DE" w:rsidRPr="00C94C7E" w:rsidRDefault="003346DE" w:rsidP="003346DE">
      <w:pPr>
        <w:rPr>
          <w:rStyle w:val="IntenseEmphasis"/>
        </w:rPr>
      </w:pPr>
      <w:r>
        <w:rPr>
          <w:rStyle w:val="IntenseEmphasis"/>
        </w:rPr>
        <w:t>Inspector–General’s r</w:t>
      </w:r>
      <w:r w:rsidRPr="00C94C7E">
        <w:rPr>
          <w:rStyle w:val="IntenseEmphasis"/>
        </w:rPr>
        <w:t xml:space="preserve">ole within </w:t>
      </w:r>
      <w:r>
        <w:rPr>
          <w:rStyle w:val="IntenseEmphasis"/>
        </w:rPr>
        <w:t xml:space="preserve">a </w:t>
      </w:r>
      <w:r w:rsidRPr="00C94C7E">
        <w:rPr>
          <w:rStyle w:val="IntenseEmphasis"/>
        </w:rPr>
        <w:t>broader institutional context</w:t>
      </w:r>
    </w:p>
    <w:p w14:paraId="517FF6F6" w14:textId="77777777" w:rsidR="003346DE" w:rsidRDefault="003346DE" w:rsidP="003346DE">
      <w:r>
        <w:t>The Inspector–General is responsible for administering Commonwealth law relating to the Basin and, consequently:</w:t>
      </w:r>
    </w:p>
    <w:p w14:paraId="35320F37" w14:textId="77777777" w:rsidR="003346DE" w:rsidRPr="00602EB5" w:rsidRDefault="003346DE" w:rsidP="003346DE">
      <w:pPr>
        <w:pStyle w:val="ListBullet"/>
      </w:pPr>
      <w:r w:rsidRPr="00602EB5">
        <w:t>Adopts a Basin–wide and national interest focus</w:t>
      </w:r>
    </w:p>
    <w:p w14:paraId="5C7E6E45" w14:textId="77777777" w:rsidR="003346DE" w:rsidRPr="00602EB5" w:rsidRDefault="003346DE" w:rsidP="003346DE">
      <w:pPr>
        <w:pStyle w:val="ListBullet"/>
      </w:pPr>
      <w:r w:rsidRPr="00602EB5">
        <w:t xml:space="preserve">Treats all </w:t>
      </w:r>
      <w:r>
        <w:t>jurisdictions</w:t>
      </w:r>
      <w:r w:rsidRPr="00602EB5">
        <w:t xml:space="preserve"> </w:t>
      </w:r>
      <w:r>
        <w:t>and Commonwealth agencies equitably and without fear or favour</w:t>
      </w:r>
    </w:p>
    <w:p w14:paraId="79593D3B" w14:textId="77777777" w:rsidR="003346DE" w:rsidRPr="00602EB5" w:rsidRDefault="003346DE" w:rsidP="003346DE">
      <w:pPr>
        <w:pStyle w:val="ListBullet"/>
      </w:pPr>
      <w:r w:rsidRPr="00602EB5">
        <w:t xml:space="preserve">Regulates consistently across all geographic regions of the Basin </w:t>
      </w:r>
    </w:p>
    <w:p w14:paraId="6F8EFD69" w14:textId="77777777" w:rsidR="003346DE" w:rsidRPr="00602EB5" w:rsidRDefault="003346DE" w:rsidP="003346DE">
      <w:pPr>
        <w:pStyle w:val="ListBullet"/>
      </w:pPr>
      <w:r w:rsidRPr="00602EB5">
        <w:t xml:space="preserve">Considers long term water extraction trends </w:t>
      </w:r>
    </w:p>
    <w:p w14:paraId="5B9CA472" w14:textId="77777777" w:rsidR="003346DE" w:rsidRDefault="003346DE" w:rsidP="003346DE">
      <w:pPr>
        <w:pStyle w:val="ListBullet"/>
      </w:pPr>
      <w:r>
        <w:t>Works together</w:t>
      </w:r>
      <w:r w:rsidRPr="00602EB5">
        <w:t xml:space="preserve"> with other relevant agencies, to</w:t>
      </w:r>
      <w:r>
        <w:t xml:space="preserve"> </w:t>
      </w:r>
      <w:r w:rsidRPr="00602EB5">
        <w:t>collectively manage Basin water resources in the national interest</w:t>
      </w:r>
      <w:r>
        <w:t>.</w:t>
      </w:r>
    </w:p>
    <w:p w14:paraId="235D9AA2" w14:textId="77777777" w:rsidR="003346DE" w:rsidRDefault="003346DE" w:rsidP="003346DE">
      <w:pPr>
        <w:rPr>
          <w:rStyle w:val="IntenseEmphasis"/>
        </w:rPr>
      </w:pPr>
      <w:r>
        <w:rPr>
          <w:rStyle w:val="IntenseEmphasis"/>
        </w:rPr>
        <w:t>Inspector–General’s legislative framework</w:t>
      </w:r>
    </w:p>
    <w:p w14:paraId="5901FDEF" w14:textId="77777777" w:rsidR="003346DE" w:rsidRDefault="003346DE" w:rsidP="003346DE">
      <w:r>
        <w:t xml:space="preserve">The Inspector–General interprets legislation in the way that best delivers the objectives of the Water Act and </w:t>
      </w:r>
      <w:r w:rsidRPr="00602EB5">
        <w:t>Basin</w:t>
      </w:r>
      <w:r>
        <w:rPr>
          <w:i/>
          <w:iCs/>
        </w:rPr>
        <w:t xml:space="preserve"> </w:t>
      </w:r>
      <w:r>
        <w:t xml:space="preserve">Plan. </w:t>
      </w:r>
      <w:r w:rsidRPr="008A2170">
        <w:t>The Inspector–General’s principal focus</w:t>
      </w:r>
      <w:r>
        <w:t xml:space="preserve"> is </w:t>
      </w:r>
      <w:r w:rsidRPr="008A2170">
        <w:t>on ensuring that all the enabled legislation operates and is complied with in a way that delivers the intended outcome</w:t>
      </w:r>
      <w:r>
        <w:t>(s)</w:t>
      </w:r>
      <w:r w:rsidRPr="008A2170">
        <w:t xml:space="preserve"> from the </w:t>
      </w:r>
      <w:r>
        <w:t xml:space="preserve">Water </w:t>
      </w:r>
      <w:r w:rsidRPr="008A2170">
        <w:t>Act.</w:t>
      </w:r>
    </w:p>
    <w:p w14:paraId="53C130D8" w14:textId="77777777" w:rsidR="00C203A0" w:rsidRDefault="00C203A0" w:rsidP="003346DE"/>
    <w:p w14:paraId="5D96374C" w14:textId="699F5DC8" w:rsidR="003346DE" w:rsidRDefault="005A2741" w:rsidP="005A2741">
      <w:pPr>
        <w:pStyle w:val="FigureHeading"/>
      </w:pPr>
      <w:r>
        <w:lastRenderedPageBreak/>
        <w:t>Figure 1: Murray-Darling Basin</w:t>
      </w:r>
    </w:p>
    <w:p w14:paraId="43A1A2A9" w14:textId="27DC9C24" w:rsidR="00E722A4" w:rsidRDefault="009D2663" w:rsidP="00884362">
      <w:r w:rsidRPr="009D2663">
        <w:rPr>
          <w:noProof/>
        </w:rPr>
        <w:drawing>
          <wp:inline distT="0" distB="0" distL="0" distR="0" wp14:anchorId="555EE213" wp14:editId="1B49380A">
            <wp:extent cx="6091200" cy="8532000"/>
            <wp:effectExtent l="0" t="0" r="5080" b="2540"/>
            <wp:docPr id="2088061780" name="Picture 2088061780" descr="Map of Murray-Darling Basin in south ea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61780" name="Picture 1" descr="Map of Murray-Darling Basin in south eastern Australia"/>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6091200" cy="8532000"/>
                    </a:xfrm>
                    <a:prstGeom prst="rect">
                      <a:avLst/>
                    </a:prstGeom>
                  </pic:spPr>
                </pic:pic>
              </a:graphicData>
            </a:graphic>
          </wp:inline>
        </w:drawing>
      </w:r>
    </w:p>
    <w:p w14:paraId="6EF5C26F" w14:textId="083CB48D" w:rsidR="00A2128A" w:rsidRDefault="00A2128A" w:rsidP="00A2128A">
      <w:r>
        <w:lastRenderedPageBreak/>
        <w:t>In performing the above roles, the Inspector–General is primarily responsible for:</w:t>
      </w:r>
    </w:p>
    <w:p w14:paraId="65310286" w14:textId="0C6520E4" w:rsidR="00A2128A" w:rsidRDefault="009B4122" w:rsidP="00A2128A">
      <w:pPr>
        <w:pStyle w:val="ListBullet"/>
      </w:pPr>
      <w:r>
        <w:t xml:space="preserve">Assessment </w:t>
      </w:r>
      <w:r w:rsidR="00A2128A">
        <w:t>of compliance with</w:t>
      </w:r>
      <w:r w:rsidR="00737409">
        <w:t>,</w:t>
      </w:r>
      <w:r w:rsidR="00A2128A">
        <w:t xml:space="preserve"> </w:t>
      </w:r>
      <w:r w:rsidR="00737409">
        <w:t>and action</w:t>
      </w:r>
      <w:r w:rsidR="00E16983">
        <w:t xml:space="preserve"> plan</w:t>
      </w:r>
      <w:r w:rsidR="00737409">
        <w:t xml:space="preserve">s to </w:t>
      </w:r>
      <w:r w:rsidR="00E87551">
        <w:t>remedy</w:t>
      </w:r>
      <w:r w:rsidR="00E87551" w:rsidDel="00E87551">
        <w:t xml:space="preserve"> </w:t>
      </w:r>
      <w:r w:rsidR="00E87551">
        <w:t>non-</w:t>
      </w:r>
      <w:r w:rsidR="00737409">
        <w:t xml:space="preserve">compliance with, </w:t>
      </w:r>
      <w:r w:rsidR="00A2128A">
        <w:t>long</w:t>
      </w:r>
      <w:r w:rsidR="00F5717B">
        <w:t>–</w:t>
      </w:r>
      <w:r w:rsidR="00A2128A">
        <w:t xml:space="preserve">term water extraction limits (known as sustainable diversion limits) in Basin catchments </w:t>
      </w:r>
    </w:p>
    <w:p w14:paraId="243AC598" w14:textId="787FC8A3" w:rsidR="00A2128A" w:rsidRDefault="009B4122" w:rsidP="00A2128A">
      <w:pPr>
        <w:pStyle w:val="ListBullet"/>
      </w:pPr>
      <w:r>
        <w:t>Compliance with</w:t>
      </w:r>
      <w:r w:rsidR="00A2128A">
        <w:t xml:space="preserve"> water resource plans that enable the integrated management of Basin water resources by Commonwealth and Basin State governments</w:t>
      </w:r>
    </w:p>
    <w:p w14:paraId="7DBB15CE" w14:textId="7FD4D3E7" w:rsidR="00A2128A" w:rsidRDefault="00E122D3" w:rsidP="00A2128A">
      <w:pPr>
        <w:pStyle w:val="ListBullet"/>
      </w:pPr>
      <w:r>
        <w:t>Enforcement of</w:t>
      </w:r>
      <w:r w:rsidR="00555F2E">
        <w:t xml:space="preserve"> the</w:t>
      </w:r>
      <w:r w:rsidR="00A2128A">
        <w:t xml:space="preserve"> </w:t>
      </w:r>
      <w:r w:rsidR="00A2128A" w:rsidRPr="00AB7A75">
        <w:rPr>
          <w:i/>
          <w:iCs/>
        </w:rPr>
        <w:t>Basin Plan 2012</w:t>
      </w:r>
      <w:r w:rsidR="00A2128A">
        <w:t xml:space="preserve"> (Basin Plan) water trading rules </w:t>
      </w:r>
      <w:r w:rsidR="006E7C92" w:rsidRPr="00EA5139">
        <w:t xml:space="preserve">and </w:t>
      </w:r>
      <w:r w:rsidR="00215CCE">
        <w:t xml:space="preserve">the </w:t>
      </w:r>
      <w:r w:rsidR="006E7C92" w:rsidRPr="00EA5139">
        <w:t>Commonwealth water market information requirements</w:t>
      </w:r>
      <w:r w:rsidR="000044FC">
        <w:t xml:space="preserve"> in the Water Act</w:t>
      </w:r>
    </w:p>
    <w:p w14:paraId="0D408BE1" w14:textId="77777777" w:rsidR="00A2128A" w:rsidRDefault="00A2128A" w:rsidP="00A2128A">
      <w:pPr>
        <w:pStyle w:val="ListBullet"/>
      </w:pPr>
      <w:r>
        <w:t>Assurance around the enforcement of water laws with respect to the theft of Basin water resources</w:t>
      </w:r>
    </w:p>
    <w:p w14:paraId="0042FCF3" w14:textId="77777777" w:rsidR="00A2128A" w:rsidRDefault="00A2128A" w:rsidP="00A2128A">
      <w:pPr>
        <w:pStyle w:val="ListBullet"/>
      </w:pPr>
      <w:r>
        <w:t>Oversight of the implementation of commitments in intergovernmental agreements that support the effective operation of the Water Act and delivery of the Basin Plan</w:t>
      </w:r>
    </w:p>
    <w:p w14:paraId="5EA0D480" w14:textId="1A40F7EE" w:rsidR="00421253" w:rsidRDefault="00A2128A" w:rsidP="00A2128A">
      <w:pPr>
        <w:pStyle w:val="ListBullet"/>
      </w:pPr>
      <w:r>
        <w:t xml:space="preserve">Providing </w:t>
      </w:r>
      <w:r w:rsidR="004E5001">
        <w:t xml:space="preserve">accountability for </w:t>
      </w:r>
      <w:r>
        <w:t xml:space="preserve">the effectiveness of Commonwealth and Basin States’ </w:t>
      </w:r>
      <w:r w:rsidR="004E5001">
        <w:t xml:space="preserve">performance of their obligations </w:t>
      </w:r>
      <w:r w:rsidR="00136523">
        <w:t xml:space="preserve">under </w:t>
      </w:r>
      <w:r>
        <w:t>Part 2 of the Water Act, relating to the management of Basin water resources</w:t>
      </w:r>
    </w:p>
    <w:p w14:paraId="1307ED27" w14:textId="363DB97D" w:rsidR="00160E79" w:rsidRDefault="002008BB" w:rsidP="00A2128A">
      <w:pPr>
        <w:pStyle w:val="ListBullet"/>
      </w:pPr>
      <w:r>
        <w:t xml:space="preserve">Scrutinising </w:t>
      </w:r>
      <w:r w:rsidR="004A15C2">
        <w:t xml:space="preserve">and providing accountability around </w:t>
      </w:r>
      <w:r w:rsidR="00160E79">
        <w:t xml:space="preserve">relevant </w:t>
      </w:r>
      <w:r w:rsidR="0064145E">
        <w:t>Commonwealth agenc</w:t>
      </w:r>
      <w:r w:rsidR="001E5A2E">
        <w:t>y</w:t>
      </w:r>
      <w:r w:rsidR="00160E79">
        <w:t xml:space="preserve"> decisions </w:t>
      </w:r>
      <w:r w:rsidR="00845FAC">
        <w:t xml:space="preserve">made </w:t>
      </w:r>
      <w:r w:rsidR="00160E79">
        <w:t xml:space="preserve">in </w:t>
      </w:r>
      <w:r w:rsidR="001E5A2E">
        <w:t xml:space="preserve">performing </w:t>
      </w:r>
      <w:r w:rsidR="00160E79">
        <w:t xml:space="preserve">their functions </w:t>
      </w:r>
      <w:r w:rsidR="001E5A2E">
        <w:t xml:space="preserve">or exercising </w:t>
      </w:r>
      <w:r w:rsidR="00160E79">
        <w:t xml:space="preserve">powers </w:t>
      </w:r>
      <w:r w:rsidR="00845FAC">
        <w:t>under Part 2 of the Water Act</w:t>
      </w:r>
    </w:p>
    <w:p w14:paraId="24EEB153" w14:textId="5B614A51" w:rsidR="00A2128A" w:rsidRDefault="00595AC7" w:rsidP="00A2128A">
      <w:pPr>
        <w:pStyle w:val="ListBullet"/>
      </w:pPr>
      <w:r>
        <w:t xml:space="preserve">Engaging with Australian communities </w:t>
      </w:r>
      <w:r w:rsidR="004F73D9">
        <w:t>around</w:t>
      </w:r>
      <w:r>
        <w:t xml:space="preserve"> the management of Basin water resources</w:t>
      </w:r>
      <w:r w:rsidR="00A2128A">
        <w:t>.</w:t>
      </w:r>
    </w:p>
    <w:p w14:paraId="741575B9" w14:textId="77777777" w:rsidR="00A2128A" w:rsidRDefault="00A2128A" w:rsidP="00A2128A">
      <w:r>
        <w:t xml:space="preserve">The Inspector–General is also responsible for enforcing Part 2A of the Water Act, relating to critical human water needs. In accordance with this Part of the Water Act, the Basin Plan sets out </w:t>
      </w:r>
      <w:r w:rsidRPr="007721E4">
        <w:t xml:space="preserve">the </w:t>
      </w:r>
      <w:r>
        <w:t xml:space="preserve">triggers for and processes to follow during </w:t>
      </w:r>
      <w:r w:rsidRPr="007721E4">
        <w:t>times of low</w:t>
      </w:r>
      <w:r>
        <w:t xml:space="preserve"> </w:t>
      </w:r>
      <w:r w:rsidRPr="007721E4">
        <w:t>water availability.</w:t>
      </w:r>
    </w:p>
    <w:p w14:paraId="765227C0" w14:textId="77777777" w:rsidR="00A2128A" w:rsidRDefault="00A2128A" w:rsidP="00A2128A">
      <w:r>
        <w:t xml:space="preserve">This </w:t>
      </w:r>
      <w:r>
        <w:rPr>
          <w:i/>
          <w:iCs/>
        </w:rPr>
        <w:t>Regulatory Policy</w:t>
      </w:r>
      <w:r>
        <w:t xml:space="preserve"> sets out the Inspector–General’s approach to performing these roles and responsibilities. This document has been developed following consideration of feedback on the </w:t>
      </w:r>
      <w:r w:rsidRPr="00DD7833">
        <w:rPr>
          <w:i/>
          <w:iCs/>
        </w:rPr>
        <w:t>Regulatory Policy Discussion Paper</w:t>
      </w:r>
      <w:r>
        <w:t xml:space="preserve"> published by the Inspector–General on </w:t>
      </w:r>
      <w:r w:rsidRPr="00702C00">
        <w:t>31 March 2023</w:t>
      </w:r>
      <w:r>
        <w:t>.</w:t>
      </w:r>
      <w:r>
        <w:rPr>
          <w:rStyle w:val="EndnoteReference"/>
        </w:rPr>
        <w:endnoteReference w:id="2"/>
      </w:r>
    </w:p>
    <w:p w14:paraId="56F372E4" w14:textId="77777777" w:rsidR="004C2A61" w:rsidRDefault="004C2A61" w:rsidP="008B3C9E">
      <w:pPr>
        <w:pStyle w:val="Heading2"/>
      </w:pPr>
      <w:bookmarkStart w:id="6" w:name="_Toc137125803"/>
      <w:bookmarkStart w:id="7" w:name="_Toc139551370"/>
      <w:bookmarkStart w:id="8" w:name="_Toc161834732"/>
      <w:r>
        <w:t>Role as an integrity agency</w:t>
      </w:r>
      <w:bookmarkEnd w:id="6"/>
      <w:bookmarkEnd w:id="7"/>
      <w:bookmarkEnd w:id="8"/>
    </w:p>
    <w:p w14:paraId="548B7230" w14:textId="558F6227" w:rsidR="004C2A61" w:rsidRDefault="004C2A61" w:rsidP="004C2A61">
      <w:r>
        <w:t>The Inspector–General is a Commonwealth integrity agency</w:t>
      </w:r>
      <w:r w:rsidR="001A3771">
        <w:rPr>
          <w:rStyle w:val="EndnoteReference"/>
        </w:rPr>
        <w:endnoteReference w:id="3"/>
      </w:r>
      <w:r>
        <w:t xml:space="preserve"> and therefore operates within the </w:t>
      </w:r>
      <w:r w:rsidRPr="001B5C04">
        <w:t>Government</w:t>
      </w:r>
      <w:r>
        <w:t>’s</w:t>
      </w:r>
      <w:r w:rsidRPr="001B5C04">
        <w:t xml:space="preserve"> multi</w:t>
      </w:r>
      <w:r>
        <w:t>–</w:t>
      </w:r>
      <w:r w:rsidRPr="001B5C04">
        <w:t>agency approach to promote integrity, transparency and accountability and to prevent corruption, fraud and misconduct.</w:t>
      </w:r>
      <w:r>
        <w:t xml:space="preserve"> Relevantly, this means the Inspector–General applies the legislative framework they administer in a way that holds relevant agencies and other decision–makers to account. In practice, the Inspector–General </w:t>
      </w:r>
      <w:r w:rsidR="00123520">
        <w:t xml:space="preserve">provides </w:t>
      </w:r>
      <w:r>
        <w:t>the following:</w:t>
      </w:r>
    </w:p>
    <w:p w14:paraId="1277CEA6" w14:textId="7B3E438D" w:rsidR="002F463E" w:rsidRDefault="002F463E" w:rsidP="002F463E">
      <w:pPr>
        <w:pStyle w:val="ListBullet"/>
        <w:tabs>
          <w:tab w:val="num" w:pos="360"/>
        </w:tabs>
      </w:pPr>
      <w:r>
        <w:t xml:space="preserve">Integrity—the Inspector–General provides accountability for rigour in </w:t>
      </w:r>
      <w:r w:rsidR="003E569B">
        <w:t>decision making and</w:t>
      </w:r>
      <w:r>
        <w:t xml:space="preserve"> management of Basin water resources under the Water Act </w:t>
      </w:r>
    </w:p>
    <w:p w14:paraId="193F7C24" w14:textId="2810637C" w:rsidR="002F463E" w:rsidRDefault="002F463E" w:rsidP="002F463E">
      <w:pPr>
        <w:pStyle w:val="ListBullet"/>
        <w:tabs>
          <w:tab w:val="num" w:pos="360"/>
        </w:tabs>
      </w:pPr>
      <w:r>
        <w:t>Enforce</w:t>
      </w:r>
      <w:r w:rsidR="00EE5EB5">
        <w:t>ment</w:t>
      </w:r>
      <w:r>
        <w:t>—the Inspector–General ensures laws are complied with so that Basin water resources are being managed in the national interest.</w:t>
      </w:r>
    </w:p>
    <w:p w14:paraId="682FD780" w14:textId="01296D4B" w:rsidR="00354738" w:rsidRDefault="00354738" w:rsidP="00354738">
      <w:pPr>
        <w:pStyle w:val="ListBullet"/>
        <w:tabs>
          <w:tab w:val="num" w:pos="360"/>
        </w:tabs>
      </w:pPr>
      <w:r>
        <w:t xml:space="preserve">Assurance—the Inspector–General provides transparency around the management of Basin water resources in a way that is </w:t>
      </w:r>
      <w:r w:rsidR="0071502C">
        <w:t>appropriate</w:t>
      </w:r>
      <w:r>
        <w:t xml:space="preserve"> and equitable</w:t>
      </w:r>
    </w:p>
    <w:p w14:paraId="04A881B8" w14:textId="12153C66" w:rsidR="004C2A61" w:rsidRDefault="004C2A61" w:rsidP="004C2A61">
      <w:pPr>
        <w:pStyle w:val="ListBullet"/>
        <w:tabs>
          <w:tab w:val="num" w:pos="360"/>
        </w:tabs>
      </w:pPr>
      <w:r>
        <w:t xml:space="preserve">Influence—the Inspector–General builds and maintains trusted relationships with government </w:t>
      </w:r>
      <w:r w:rsidR="00354738">
        <w:t>agencies</w:t>
      </w:r>
      <w:r>
        <w:t>, water users and the Australian public</w:t>
      </w:r>
    </w:p>
    <w:p w14:paraId="414FB678" w14:textId="55169694" w:rsidR="004C2A61" w:rsidRDefault="004C2A61" w:rsidP="004C2A61">
      <w:pPr>
        <w:pStyle w:val="ListBullet"/>
        <w:tabs>
          <w:tab w:val="num" w:pos="360"/>
        </w:tabs>
      </w:pPr>
      <w:r>
        <w:t>Improve</w:t>
      </w:r>
      <w:r w:rsidR="00303FC3">
        <w:t>ment</w:t>
      </w:r>
      <w:r>
        <w:t xml:space="preserve">—the Inspector–General drives and supports innovation and </w:t>
      </w:r>
      <w:r w:rsidR="00936837">
        <w:t xml:space="preserve">continuous </w:t>
      </w:r>
      <w:r>
        <w:t>improvement in the inclusive management of Basin water resources in the national interest</w:t>
      </w:r>
    </w:p>
    <w:p w14:paraId="13020E35" w14:textId="77777777" w:rsidR="004C2A61" w:rsidRDefault="004C2A61" w:rsidP="004C2A61">
      <w:r>
        <w:t>See below for further detail.</w:t>
      </w:r>
    </w:p>
    <w:p w14:paraId="364D8602" w14:textId="77777777" w:rsidR="003B4F76" w:rsidRDefault="003B4F76" w:rsidP="003B4F76">
      <w:pPr>
        <w:pStyle w:val="Heading3"/>
      </w:pPr>
      <w:r>
        <w:lastRenderedPageBreak/>
        <w:t>Integrity</w:t>
      </w:r>
    </w:p>
    <w:p w14:paraId="4368E15B" w14:textId="14AE6BC3" w:rsidR="0050342F" w:rsidRDefault="0050342F" w:rsidP="00E125AE">
      <w:pPr>
        <w:pStyle w:val="Heading5"/>
      </w:pPr>
      <w:r>
        <w:t>What</w:t>
      </w:r>
      <w:r w:rsidR="007C2F71">
        <w:t xml:space="preserve"> it is</w:t>
      </w:r>
    </w:p>
    <w:p w14:paraId="70503876" w14:textId="77777777" w:rsidR="00E137B1" w:rsidRDefault="00FD0465" w:rsidP="003B4F76">
      <w:r>
        <w:t xml:space="preserve">Integrity refers to the </w:t>
      </w:r>
      <w:r w:rsidR="00283B86">
        <w:t>integrity of the regulatory frameworks</w:t>
      </w:r>
      <w:r w:rsidR="002354D2">
        <w:t>;</w:t>
      </w:r>
      <w:r w:rsidR="009D641C">
        <w:t xml:space="preserve"> that is, are they doing what they were designed to do</w:t>
      </w:r>
      <w:r w:rsidR="004852DD">
        <w:t xml:space="preserve"> and, if not</w:t>
      </w:r>
      <w:r w:rsidR="00DB5B37">
        <w:t xml:space="preserve">, </w:t>
      </w:r>
      <w:r w:rsidR="001C07D9">
        <w:t>why not</w:t>
      </w:r>
      <w:r w:rsidR="00541B09">
        <w:t xml:space="preserve">, and then taking steps to address </w:t>
      </w:r>
      <w:r w:rsidR="00F80962">
        <w:t xml:space="preserve">the </w:t>
      </w:r>
      <w:r w:rsidR="004C579E">
        <w:t xml:space="preserve">underlying </w:t>
      </w:r>
      <w:r w:rsidR="00F80962">
        <w:t>causes</w:t>
      </w:r>
      <w:r w:rsidR="004C579E">
        <w:t>. Integrity also refers to integrity in the performance of regulatory functions</w:t>
      </w:r>
      <w:r w:rsidR="002354D2">
        <w:t>;</w:t>
      </w:r>
      <w:r w:rsidR="004C579E">
        <w:t xml:space="preserve"> </w:t>
      </w:r>
      <w:r w:rsidR="002354D2">
        <w:t>that is, are they being performed without fear and favour.</w:t>
      </w:r>
      <w:r w:rsidR="00F80962">
        <w:t xml:space="preserve"> </w:t>
      </w:r>
    </w:p>
    <w:p w14:paraId="571ADCA8" w14:textId="7A8061DF" w:rsidR="003B4F76" w:rsidRDefault="003B4F76" w:rsidP="003B4F76">
      <w:r>
        <w:t xml:space="preserve">The integrity of regulatory </w:t>
      </w:r>
      <w:r w:rsidR="00E137B1">
        <w:t>frameworks and</w:t>
      </w:r>
      <w:r>
        <w:t xml:space="preserve"> functions is a matter of public interest. Regulators have significant powers to grant benefits to, or impose restrictions or penalties on, their regulated entities. </w:t>
      </w:r>
    </w:p>
    <w:p w14:paraId="1047836D" w14:textId="3681D005" w:rsidR="007C2F71" w:rsidRDefault="007C2F71" w:rsidP="00E125AE">
      <w:pPr>
        <w:pStyle w:val="Heading5"/>
      </w:pPr>
      <w:r>
        <w:t xml:space="preserve">How the Inspector–General </w:t>
      </w:r>
      <w:r w:rsidR="00592B94">
        <w:t>provides it</w:t>
      </w:r>
    </w:p>
    <w:p w14:paraId="7B80F093" w14:textId="154F28E3" w:rsidR="00FD0465" w:rsidRDefault="002A01FF" w:rsidP="003B4F76">
      <w:r>
        <w:t>The Inspector–General adopts a</w:t>
      </w:r>
      <w:r w:rsidR="00727C65">
        <w:t>n evidence and outcomes–based approach to regulation</w:t>
      </w:r>
      <w:r w:rsidR="00AD28F9">
        <w:t xml:space="preserve"> that focuses on the risks to the integrity of the regulatory framework</w:t>
      </w:r>
      <w:r w:rsidR="00764479">
        <w:t>.</w:t>
      </w:r>
      <w:r w:rsidR="00AD28F9">
        <w:t xml:space="preserve"> The Inspector–General also </w:t>
      </w:r>
      <w:r w:rsidR="00FE7681">
        <w:t>regulates all entities</w:t>
      </w:r>
      <w:r w:rsidR="00A06C93">
        <w:t xml:space="preserve"> without fear or favour.</w:t>
      </w:r>
    </w:p>
    <w:p w14:paraId="3C900262" w14:textId="6D8FFCA2" w:rsidR="003B4F76" w:rsidRDefault="003B4F76" w:rsidP="003B4F76">
      <w:pPr>
        <w:pStyle w:val="Heading3"/>
      </w:pPr>
      <w:r>
        <w:t>Enforce</w:t>
      </w:r>
      <w:r w:rsidR="004F3A20">
        <w:t>ment</w:t>
      </w:r>
    </w:p>
    <w:p w14:paraId="2A21206B" w14:textId="77777777" w:rsidR="00634C5B" w:rsidRDefault="00634C5B" w:rsidP="00634C5B">
      <w:pPr>
        <w:pStyle w:val="Heading5"/>
      </w:pPr>
      <w:r>
        <w:t>What it is</w:t>
      </w:r>
    </w:p>
    <w:p w14:paraId="7BB82BE9" w14:textId="33264459" w:rsidR="003B4F76" w:rsidRDefault="003B4F76" w:rsidP="003B4F76">
      <w:r>
        <w:t>The purpose of enforcement is to:</w:t>
      </w:r>
    </w:p>
    <w:p w14:paraId="63798054" w14:textId="77777777" w:rsidR="003B4F76" w:rsidRDefault="003B4F76" w:rsidP="003B4F76">
      <w:pPr>
        <w:pStyle w:val="ListBullet"/>
      </w:pPr>
      <w:r>
        <w:t>Support lawful conduct</w:t>
      </w:r>
    </w:p>
    <w:p w14:paraId="473D0BEE" w14:textId="77777777" w:rsidR="003B4F76" w:rsidRDefault="003B4F76" w:rsidP="003B4F76">
      <w:pPr>
        <w:pStyle w:val="ListBullet"/>
      </w:pPr>
      <w:r>
        <w:t xml:space="preserve">Stop unlawful conduct </w:t>
      </w:r>
    </w:p>
    <w:p w14:paraId="0BFF7524" w14:textId="77777777" w:rsidR="003B4F76" w:rsidRDefault="003B4F76" w:rsidP="003B4F76">
      <w:pPr>
        <w:pStyle w:val="ListBullet"/>
      </w:pPr>
      <w:r>
        <w:t xml:space="preserve">Deter offending conduct </w:t>
      </w:r>
    </w:p>
    <w:p w14:paraId="623DAB16" w14:textId="77777777" w:rsidR="003B4F76" w:rsidRDefault="003B4F76" w:rsidP="003B4F76">
      <w:pPr>
        <w:pStyle w:val="ListBullet"/>
      </w:pPr>
      <w:r>
        <w:t>Ensure future compliance with the law</w:t>
      </w:r>
    </w:p>
    <w:p w14:paraId="72D94FFE" w14:textId="77777777" w:rsidR="003B4F76" w:rsidRDefault="003B4F76" w:rsidP="003B4F76">
      <w:pPr>
        <w:pStyle w:val="ListBullet"/>
      </w:pPr>
      <w:r>
        <w:t>Penalise offenders, where warranted.</w:t>
      </w:r>
    </w:p>
    <w:p w14:paraId="177970FE" w14:textId="1585EBBB" w:rsidR="00BA7A9E" w:rsidRDefault="00BA7A9E" w:rsidP="003B4F76">
      <w:r>
        <w:t xml:space="preserve">The Inspector–General is responsible for monitoring, investigating and enforcing compliance with </w:t>
      </w:r>
      <w:r w:rsidR="002B573F">
        <w:t xml:space="preserve">water management </w:t>
      </w:r>
      <w:r>
        <w:t xml:space="preserve">obligations under </w:t>
      </w:r>
      <w:r w:rsidR="006D1B18">
        <w:t xml:space="preserve">Part 2 of </w:t>
      </w:r>
      <w:r>
        <w:t xml:space="preserve">the Water Act, </w:t>
      </w:r>
      <w:r w:rsidR="006D1B18">
        <w:t xml:space="preserve">the </w:t>
      </w:r>
      <w:r>
        <w:t xml:space="preserve">Basin Plan and water resource plans. </w:t>
      </w:r>
      <w:r w:rsidR="002B7636">
        <w:t xml:space="preserve">The Inspector–General is also responsible for enforcing compliance with </w:t>
      </w:r>
      <w:r w:rsidR="00821489">
        <w:t xml:space="preserve">other matters, such as </w:t>
      </w:r>
      <w:r w:rsidR="00A53F97">
        <w:t xml:space="preserve">obligations to provide information and not </w:t>
      </w:r>
      <w:r w:rsidR="00146476">
        <w:t xml:space="preserve">interfere with </w:t>
      </w:r>
      <w:r w:rsidR="00922A2E">
        <w:t>authorised officers.</w:t>
      </w:r>
    </w:p>
    <w:p w14:paraId="29887B8B" w14:textId="77777777" w:rsidR="00BA7A9E" w:rsidRDefault="00BA7A9E" w:rsidP="00BA7A9E">
      <w:pPr>
        <w:pStyle w:val="Heading5"/>
      </w:pPr>
      <w:r>
        <w:t>How the Inspector–General provides it</w:t>
      </w:r>
    </w:p>
    <w:p w14:paraId="15DEBDC9" w14:textId="25587204" w:rsidR="003B4F76" w:rsidRDefault="003B4F76" w:rsidP="003B4F76">
      <w:r>
        <w:t xml:space="preserve">The Inspector–General assesses each case on its own merits, </w:t>
      </w:r>
      <w:proofErr w:type="gramStart"/>
      <w:r>
        <w:t>taking into account</w:t>
      </w:r>
      <w:proofErr w:type="gramEnd"/>
      <w:r>
        <w:t xml:space="preserve"> all the relevant facts and circumstances of the matter.</w:t>
      </w:r>
      <w:r w:rsidR="00C875D6">
        <w:t xml:space="preserve"> The </w:t>
      </w:r>
      <w:r w:rsidR="00A92D12">
        <w:t>Inspector–General adopts a responsive regulat</w:t>
      </w:r>
      <w:r w:rsidR="00115B71">
        <w:t xml:space="preserve">ory approach </w:t>
      </w:r>
      <w:r w:rsidR="00F20292">
        <w:t xml:space="preserve">(see </w:t>
      </w:r>
      <w:r w:rsidR="00F20292" w:rsidRPr="00E125AE">
        <w:rPr>
          <w:rStyle w:val="IntenseReference"/>
        </w:rPr>
        <w:fldChar w:fldCharType="begin"/>
      </w:r>
      <w:r w:rsidR="00F20292" w:rsidRPr="00E125AE">
        <w:rPr>
          <w:rStyle w:val="IntenseReference"/>
        </w:rPr>
        <w:instrText xml:space="preserve"> REF _Ref139526064 \h </w:instrText>
      </w:r>
      <w:r w:rsidR="0003547E" w:rsidRPr="006966FD">
        <w:rPr>
          <w:rStyle w:val="IntenseReference"/>
        </w:rPr>
        <w:instrText xml:space="preserve"> </w:instrText>
      </w:r>
      <w:r w:rsidR="0003547E">
        <w:rPr>
          <w:rStyle w:val="IntenseReference"/>
        </w:rPr>
        <w:instrText xml:space="preserve">\* MERGEFORMAT </w:instrText>
      </w:r>
      <w:r w:rsidR="00F20292" w:rsidRPr="00E125AE">
        <w:rPr>
          <w:rStyle w:val="IntenseReference"/>
        </w:rPr>
      </w:r>
      <w:r w:rsidR="00F20292" w:rsidRPr="00E125AE">
        <w:rPr>
          <w:rStyle w:val="IntenseReference"/>
        </w:rPr>
        <w:fldChar w:fldCharType="separate"/>
      </w:r>
      <w:r w:rsidR="0030522E" w:rsidRPr="0030522E">
        <w:rPr>
          <w:rStyle w:val="IntenseReference"/>
        </w:rPr>
        <w:t>When the Inspector–General gets involved</w:t>
      </w:r>
      <w:r w:rsidR="00F20292" w:rsidRPr="00E125AE">
        <w:rPr>
          <w:rStyle w:val="IntenseReference"/>
        </w:rPr>
        <w:fldChar w:fldCharType="end"/>
      </w:r>
      <w:r w:rsidR="00F20292">
        <w:t xml:space="preserve"> section, below) </w:t>
      </w:r>
      <w:r w:rsidR="00115B71">
        <w:t xml:space="preserve">to enforcement, where </w:t>
      </w:r>
      <w:r w:rsidR="00861743">
        <w:t xml:space="preserve">the </w:t>
      </w:r>
      <w:r w:rsidR="00115B71">
        <w:t xml:space="preserve">tools </w:t>
      </w:r>
      <w:r w:rsidR="00861743">
        <w:t>applied can range from education through to legal action.</w:t>
      </w:r>
    </w:p>
    <w:p w14:paraId="29DC7085" w14:textId="77777777" w:rsidR="004C2A61" w:rsidRDefault="004C2A61" w:rsidP="004C2A61">
      <w:pPr>
        <w:pStyle w:val="Heading3"/>
      </w:pPr>
      <w:r>
        <w:t>Assurance</w:t>
      </w:r>
    </w:p>
    <w:p w14:paraId="3DFFE47C" w14:textId="77777777" w:rsidR="00861743" w:rsidRDefault="00861743" w:rsidP="00861743">
      <w:pPr>
        <w:pStyle w:val="Heading5"/>
      </w:pPr>
      <w:r>
        <w:t>What it is</w:t>
      </w:r>
    </w:p>
    <w:p w14:paraId="5CB58007" w14:textId="77777777" w:rsidR="001B7853" w:rsidRDefault="004C2A61" w:rsidP="004C2A61">
      <w:r>
        <w:t xml:space="preserve">Assurance is </w:t>
      </w:r>
      <w:r w:rsidRPr="00D51C06">
        <w:t xml:space="preserve">aimed at improving </w:t>
      </w:r>
      <w:r w:rsidR="00D101AA">
        <w:t xml:space="preserve">transparency and </w:t>
      </w:r>
      <w:r w:rsidRPr="00D51C06">
        <w:t>quality of</w:t>
      </w:r>
      <w:r w:rsidR="00D101AA">
        <w:t>,</w:t>
      </w:r>
      <w:r w:rsidRPr="00D51C06">
        <w:t xml:space="preserve"> </w:t>
      </w:r>
      <w:r>
        <w:t>and confidence in</w:t>
      </w:r>
      <w:r w:rsidR="00D101AA">
        <w:t>,</w:t>
      </w:r>
      <w:r>
        <w:t xml:space="preserve"> </w:t>
      </w:r>
      <w:r w:rsidRPr="00D51C06">
        <w:t xml:space="preserve">information </w:t>
      </w:r>
      <w:r>
        <w:t xml:space="preserve">available </w:t>
      </w:r>
      <w:r w:rsidRPr="00D51C06">
        <w:t xml:space="preserve">for </w:t>
      </w:r>
      <w:r>
        <w:t xml:space="preserve">relevant decision–makers and for the </w:t>
      </w:r>
      <w:proofErr w:type="gramStart"/>
      <w:r>
        <w:t>general public</w:t>
      </w:r>
      <w:proofErr w:type="gramEnd"/>
      <w:r w:rsidRPr="00D51C06">
        <w:t xml:space="preserve">. Providing </w:t>
      </w:r>
      <w:r>
        <w:t xml:space="preserve">this </w:t>
      </w:r>
      <w:r w:rsidRPr="00D51C06">
        <w:t xml:space="preserve">independent assurance </w:t>
      </w:r>
      <w:r>
        <w:t>increases certainty</w:t>
      </w:r>
      <w:r w:rsidRPr="00D51C06">
        <w:t xml:space="preserve"> that </w:t>
      </w:r>
      <w:r>
        <w:t xml:space="preserve">relevant </w:t>
      </w:r>
      <w:r w:rsidRPr="00D51C06">
        <w:t xml:space="preserve">information is </w:t>
      </w:r>
      <w:r w:rsidR="00E94DEA">
        <w:t>available</w:t>
      </w:r>
      <w:r w:rsidR="009B4B11">
        <w:t>,</w:t>
      </w:r>
      <w:r w:rsidR="00D101AA">
        <w:t xml:space="preserve"> easily accessible</w:t>
      </w:r>
      <w:r w:rsidR="00E94DEA">
        <w:t xml:space="preserve">, </w:t>
      </w:r>
      <w:r w:rsidRPr="00D51C06">
        <w:t>reliable</w:t>
      </w:r>
      <w:r>
        <w:t xml:space="preserve"> and accurate</w:t>
      </w:r>
      <w:r w:rsidRPr="00D51C06">
        <w:t>, and therefore reduces risks</w:t>
      </w:r>
      <w:r>
        <w:t xml:space="preserve"> with those decisions</w:t>
      </w:r>
      <w:r w:rsidRPr="00D51C06">
        <w:t>.</w:t>
      </w:r>
      <w:r>
        <w:t xml:space="preserve"> </w:t>
      </w:r>
    </w:p>
    <w:p w14:paraId="64A4A709" w14:textId="77777777" w:rsidR="001B7853" w:rsidRDefault="001B7853" w:rsidP="001B7853">
      <w:pPr>
        <w:pStyle w:val="Heading5"/>
      </w:pPr>
      <w:r>
        <w:t>How the Inspector–General provides it</w:t>
      </w:r>
    </w:p>
    <w:p w14:paraId="08D55744" w14:textId="692C1F31" w:rsidR="004C2A61" w:rsidRDefault="004C2A61" w:rsidP="004C2A61">
      <w:r>
        <w:t>In practice, among other things, the Inspector–General provides assurance around information related to the management of Basin water resources.</w:t>
      </w:r>
    </w:p>
    <w:p w14:paraId="2BAE24E8" w14:textId="77777777" w:rsidR="003B4F76" w:rsidRDefault="003B4F76" w:rsidP="003B4F76">
      <w:pPr>
        <w:pStyle w:val="Heading3"/>
      </w:pPr>
      <w:r>
        <w:lastRenderedPageBreak/>
        <w:t>Influence</w:t>
      </w:r>
    </w:p>
    <w:p w14:paraId="7D71B46D" w14:textId="77777777" w:rsidR="001B7853" w:rsidRDefault="001B7853" w:rsidP="001B7853">
      <w:pPr>
        <w:pStyle w:val="Heading5"/>
      </w:pPr>
      <w:r>
        <w:t>What it is</w:t>
      </w:r>
    </w:p>
    <w:p w14:paraId="5C577DD9" w14:textId="7C3C5294" w:rsidR="00C349B5" w:rsidRDefault="003B4F76" w:rsidP="003B4F76">
      <w:r>
        <w:t xml:space="preserve">The Inspector–General is not responsible for government policy or for making or amending Commonwealth or state and territory water laws (except in very limited circumstances, please refer to </w:t>
      </w:r>
      <w:r w:rsidRPr="000323D1">
        <w:rPr>
          <w:rStyle w:val="IntenseReference"/>
        </w:rPr>
        <w:fldChar w:fldCharType="begin"/>
      </w:r>
      <w:r w:rsidRPr="000323D1">
        <w:rPr>
          <w:rStyle w:val="IntenseReference"/>
        </w:rPr>
        <w:instrText xml:space="preserve"> REF _Ref127352575 \h </w:instrText>
      </w:r>
      <w:r>
        <w:rPr>
          <w:rStyle w:val="IntenseReference"/>
        </w:rPr>
        <w:instrText xml:space="preserve"> \* MERGEFORMAT </w:instrText>
      </w:r>
      <w:r w:rsidRPr="000323D1">
        <w:rPr>
          <w:rStyle w:val="IntenseReference"/>
        </w:rPr>
      </w:r>
      <w:r w:rsidRPr="000323D1">
        <w:rPr>
          <w:rStyle w:val="IntenseReference"/>
        </w:rPr>
        <w:fldChar w:fldCharType="separate"/>
      </w:r>
      <w:r w:rsidR="0030522E" w:rsidRPr="0030522E">
        <w:rPr>
          <w:rStyle w:val="IntenseReference"/>
        </w:rPr>
        <w:t>Guidelines and standards</w:t>
      </w:r>
      <w:r w:rsidRPr="000323D1">
        <w:rPr>
          <w:rStyle w:val="IntenseReference"/>
        </w:rPr>
        <w:fldChar w:fldCharType="end"/>
      </w:r>
      <w:r>
        <w:t xml:space="preserve"> section below). The Inspector–General is</w:t>
      </w:r>
      <w:r w:rsidDel="00AA4865">
        <w:t xml:space="preserve"> </w:t>
      </w:r>
      <w:r>
        <w:t xml:space="preserve">generally the regulator of </w:t>
      </w:r>
      <w:r w:rsidR="00712B9C">
        <w:t xml:space="preserve">government agencies’ </w:t>
      </w:r>
      <w:r>
        <w:t>compliance</w:t>
      </w:r>
      <w:r w:rsidR="003E39AC">
        <w:t xml:space="preserve"> with </w:t>
      </w:r>
      <w:r w:rsidR="00712B9C">
        <w:t>Commonwealth water laws and</w:t>
      </w:r>
      <w:r>
        <w:t xml:space="preserve">, in </w:t>
      </w:r>
      <w:r w:rsidR="00FD4309">
        <w:t xml:space="preserve">limited </w:t>
      </w:r>
      <w:r w:rsidR="00712B9C">
        <w:t xml:space="preserve">circumstances, </w:t>
      </w:r>
      <w:r w:rsidR="007177BC">
        <w:t xml:space="preserve">more broadly </w:t>
      </w:r>
      <w:r w:rsidR="00FD4309">
        <w:t xml:space="preserve">in </w:t>
      </w:r>
      <w:r>
        <w:t xml:space="preserve">relation to the </w:t>
      </w:r>
      <w:r w:rsidR="007177BC">
        <w:t xml:space="preserve">Commonwealth’s </w:t>
      </w:r>
      <w:r>
        <w:t xml:space="preserve">water trading rules. </w:t>
      </w:r>
    </w:p>
    <w:p w14:paraId="622E37C0" w14:textId="77777777" w:rsidR="00C349B5" w:rsidRDefault="00C349B5" w:rsidP="00C349B5">
      <w:pPr>
        <w:pStyle w:val="Heading5"/>
      </w:pPr>
      <w:r>
        <w:t>How the Inspector–General provides it</w:t>
      </w:r>
    </w:p>
    <w:p w14:paraId="52CAA17C" w14:textId="7AA5ECC9" w:rsidR="003B4F76" w:rsidRDefault="00F22155" w:rsidP="003B4F76">
      <w:r>
        <w:t>T</w:t>
      </w:r>
      <w:r w:rsidR="003B4F76">
        <w:t>o support the delivery of the objectives of the Water Act the Inspector–General engages through the sharing of truth</w:t>
      </w:r>
      <w:r w:rsidR="009B4660">
        <w:t>, facts</w:t>
      </w:r>
      <w:r w:rsidR="003B4F76">
        <w:t xml:space="preserve"> and evidence with those who determine policy, make laws and enforce water compliance.</w:t>
      </w:r>
    </w:p>
    <w:p w14:paraId="7B8180F9" w14:textId="17989A86" w:rsidR="004C2A61" w:rsidRDefault="004C2A61" w:rsidP="004C2A61">
      <w:pPr>
        <w:pStyle w:val="Heading3"/>
      </w:pPr>
      <w:r>
        <w:t>Improve</w:t>
      </w:r>
      <w:r w:rsidR="004F3A20">
        <w:t>ment</w:t>
      </w:r>
    </w:p>
    <w:p w14:paraId="582474FB" w14:textId="77777777" w:rsidR="00F22155" w:rsidRDefault="00F22155" w:rsidP="00F22155">
      <w:pPr>
        <w:pStyle w:val="Heading5"/>
      </w:pPr>
      <w:r>
        <w:t>What it is</w:t>
      </w:r>
    </w:p>
    <w:p w14:paraId="057EB57C" w14:textId="77777777" w:rsidR="00191499" w:rsidRDefault="004C2A61" w:rsidP="004C2A61">
      <w:r>
        <w:t xml:space="preserve">Developments around technology and regulatory practice have the potential to drive step–change improvements in regulatory approaches. For example, rolling out telemetry means </w:t>
      </w:r>
      <w:r w:rsidR="00025214" w:rsidRPr="00E65CD3">
        <w:t xml:space="preserve">water </w:t>
      </w:r>
      <w:r>
        <w:t xml:space="preserve">meters can be read remotely and at any time, rather than through manual readings. </w:t>
      </w:r>
    </w:p>
    <w:p w14:paraId="073562B8" w14:textId="77777777" w:rsidR="00191499" w:rsidRDefault="00191499" w:rsidP="00191499">
      <w:pPr>
        <w:pStyle w:val="Heading5"/>
      </w:pPr>
      <w:r>
        <w:t>How the Inspector–General provides it</w:t>
      </w:r>
    </w:p>
    <w:p w14:paraId="323DD648" w14:textId="2CE28CF3" w:rsidR="004C2A61" w:rsidRDefault="004C2A61" w:rsidP="004C2A61">
      <w:r>
        <w:t xml:space="preserve">The Inspector–General facilitates </w:t>
      </w:r>
      <w:r w:rsidR="00B21E75">
        <w:t xml:space="preserve">and educates on </w:t>
      </w:r>
      <w:r>
        <w:t>improvements to enable the innovative, flexible and inclusive management of Basin water resources by relevant agencies</w:t>
      </w:r>
      <w:r w:rsidR="003E5CFD">
        <w:t xml:space="preserve"> in the national interest</w:t>
      </w:r>
      <w:r>
        <w:t>.</w:t>
      </w:r>
    </w:p>
    <w:p w14:paraId="21E2E0FD" w14:textId="5405F436" w:rsidR="00E722A4" w:rsidRDefault="00271DFA" w:rsidP="00884362">
      <w:r>
        <w:t>The Inspector–General</w:t>
      </w:r>
      <w:r w:rsidR="00AE3412">
        <w:t xml:space="preserve"> </w:t>
      </w:r>
      <w:r w:rsidR="00F53047">
        <w:t xml:space="preserve">also </w:t>
      </w:r>
      <w:r>
        <w:t>drive</w:t>
      </w:r>
      <w:r w:rsidR="00AE3412">
        <w:t>s</w:t>
      </w:r>
      <w:r>
        <w:t xml:space="preserve"> a continuous improvement culture across water</w:t>
      </w:r>
      <w:r w:rsidR="000C5BC6">
        <w:t xml:space="preserve"> compliance and water management in the Basin</w:t>
      </w:r>
      <w:r w:rsidR="00181042">
        <w:t xml:space="preserve">, including through </w:t>
      </w:r>
      <w:r w:rsidR="00C70A6E">
        <w:t xml:space="preserve">opportunities </w:t>
      </w:r>
      <w:r w:rsidR="00181042">
        <w:t>such as the Regulatory Leaders Forum</w:t>
      </w:r>
      <w:r w:rsidR="000C5BC6">
        <w:t xml:space="preserve">. </w:t>
      </w:r>
      <w:r w:rsidR="0078731B">
        <w:t>T</w:t>
      </w:r>
      <w:r w:rsidR="009734EF">
        <w:t xml:space="preserve">he </w:t>
      </w:r>
      <w:r w:rsidR="00B649B0">
        <w:t xml:space="preserve">Inspector–General </w:t>
      </w:r>
      <w:r w:rsidR="0078731B">
        <w:t xml:space="preserve">also </w:t>
      </w:r>
      <w:r w:rsidR="00B649B0">
        <w:t>promotes improvements in the clear communication of reasons for decisions</w:t>
      </w:r>
      <w:r w:rsidR="00133775">
        <w:t>,</w:t>
      </w:r>
      <w:r w:rsidR="00B649B0">
        <w:t xml:space="preserve"> </w:t>
      </w:r>
      <w:r w:rsidR="002420F0">
        <w:t xml:space="preserve">and </w:t>
      </w:r>
      <w:r w:rsidR="00133775">
        <w:t>the accessibility and understanding of relevant rules and other requirements</w:t>
      </w:r>
      <w:r w:rsidR="002420F0">
        <w:t xml:space="preserve">. </w:t>
      </w:r>
    </w:p>
    <w:p w14:paraId="79E109F1" w14:textId="61B977A4" w:rsidR="00E722A4" w:rsidRDefault="00365404" w:rsidP="000D331C">
      <w:pPr>
        <w:pStyle w:val="Heading1"/>
      </w:pPr>
      <w:bookmarkStart w:id="9" w:name="_Toc137125804"/>
      <w:bookmarkStart w:id="10" w:name="_Ref139526064"/>
      <w:bookmarkStart w:id="11" w:name="_Toc139551371"/>
      <w:bookmarkStart w:id="12" w:name="_Toc161834733"/>
      <w:r>
        <w:lastRenderedPageBreak/>
        <w:t xml:space="preserve">When </w:t>
      </w:r>
      <w:r w:rsidR="00B33C4E">
        <w:t xml:space="preserve">the </w:t>
      </w:r>
      <w:r w:rsidR="00E722A4">
        <w:t>Inspector–General</w:t>
      </w:r>
      <w:r w:rsidR="00B33C4E">
        <w:t xml:space="preserve"> get</w:t>
      </w:r>
      <w:r w:rsidR="005F1758">
        <w:t>s</w:t>
      </w:r>
      <w:r w:rsidR="00B33C4E">
        <w:t xml:space="preserve"> involved</w:t>
      </w:r>
      <w:bookmarkEnd w:id="9"/>
      <w:bookmarkEnd w:id="10"/>
      <w:bookmarkEnd w:id="11"/>
      <w:bookmarkEnd w:id="12"/>
    </w:p>
    <w:p w14:paraId="666827E0" w14:textId="7AAAA915" w:rsidR="00513538" w:rsidRPr="00E65CD3" w:rsidRDefault="00513538" w:rsidP="00306F8C">
      <w:r w:rsidRPr="00E65CD3">
        <w:t xml:space="preserve">The Inspector–General prioritises where, when and how to </w:t>
      </w:r>
      <w:r w:rsidR="00814B7E" w:rsidRPr="00E65CD3">
        <w:t xml:space="preserve">use their powers in performing their regulatory </w:t>
      </w:r>
      <w:r w:rsidRPr="00E65CD3">
        <w:t xml:space="preserve">functions. The Inspector-General </w:t>
      </w:r>
      <w:r w:rsidR="00814B7E" w:rsidRPr="00E65CD3">
        <w:t xml:space="preserve">adopts an </w:t>
      </w:r>
      <w:r w:rsidRPr="00E65CD3">
        <w:t xml:space="preserve">evidence and risk-based </w:t>
      </w:r>
      <w:r w:rsidR="00814B7E" w:rsidRPr="00E65CD3">
        <w:t xml:space="preserve">approach that leads to responsive </w:t>
      </w:r>
      <w:r w:rsidRPr="00E65CD3">
        <w:t>decision</w:t>
      </w:r>
      <w:r w:rsidR="00814B7E" w:rsidRPr="00E65CD3">
        <w:t>–</w:t>
      </w:r>
      <w:r w:rsidRPr="00E65CD3">
        <w:t>making, so that they can pivot effectively in response to evolving priorities or issues.</w:t>
      </w:r>
    </w:p>
    <w:p w14:paraId="72CF9DAA" w14:textId="0D0F7605" w:rsidR="00952DC6" w:rsidRDefault="00952DC6" w:rsidP="00952DC6">
      <w:pPr>
        <w:pStyle w:val="Heading2"/>
      </w:pPr>
      <w:bookmarkStart w:id="13" w:name="_Toc137125805"/>
      <w:bookmarkStart w:id="14" w:name="_Toc139551372"/>
      <w:bookmarkStart w:id="15" w:name="_Toc161834734"/>
      <w:bookmarkStart w:id="16" w:name="_Toc130301072"/>
      <w:r>
        <w:t>Responsive regulat</w:t>
      </w:r>
      <w:r w:rsidR="006E5620">
        <w:t>i</w:t>
      </w:r>
      <w:r>
        <w:t>o</w:t>
      </w:r>
      <w:r w:rsidR="006E5620">
        <w:t>n</w:t>
      </w:r>
      <w:r>
        <w:t xml:space="preserve"> approach</w:t>
      </w:r>
      <w:bookmarkEnd w:id="13"/>
      <w:bookmarkEnd w:id="14"/>
      <w:bookmarkEnd w:id="15"/>
    </w:p>
    <w:p w14:paraId="7882358F" w14:textId="3F74EC9B" w:rsidR="00846C5F" w:rsidRDefault="00CA551D" w:rsidP="00846C5F">
      <w:r>
        <w:t>‘</w:t>
      </w:r>
      <w:r w:rsidR="00846C5F">
        <w:t>Responsive Regulation</w:t>
      </w:r>
      <w:r>
        <w:t>’</w:t>
      </w:r>
      <w:r w:rsidR="00846C5F">
        <w:t xml:space="preserve"> is an approach that was formalised in 1992 by I. Ayres and J. Braithwaite.</w:t>
      </w:r>
      <w:r w:rsidR="00021758">
        <w:rPr>
          <w:rStyle w:val="EndnoteReference"/>
        </w:rPr>
        <w:endnoteReference w:id="4"/>
      </w:r>
      <w:r w:rsidR="00846C5F">
        <w:t xml:space="preserve"> Under this approach, the most effective regulatory strategy </w:t>
      </w:r>
      <w:r w:rsidR="008C59FB">
        <w:t>is informed</w:t>
      </w:r>
      <w:r w:rsidR="006F20D5">
        <w:t xml:space="preserve"> </w:t>
      </w:r>
      <w:r w:rsidR="00786692">
        <w:t>by factors such as</w:t>
      </w:r>
      <w:r w:rsidR="00846C5F">
        <w:t xml:space="preserve"> overall behaviour</w:t>
      </w:r>
      <w:r w:rsidR="00786692">
        <w:t>s</w:t>
      </w:r>
      <w:r w:rsidR="00E75C3D">
        <w:t xml:space="preserve">, </w:t>
      </w:r>
      <w:r w:rsidR="00846C5F">
        <w:t>pattern</w:t>
      </w:r>
      <w:r w:rsidR="00E75C3D">
        <w:t>s</w:t>
      </w:r>
      <w:r w:rsidR="00846C5F">
        <w:t xml:space="preserve"> of </w:t>
      </w:r>
      <w:r w:rsidR="00E75C3D">
        <w:t>contraventions and</w:t>
      </w:r>
      <w:r w:rsidR="00846C5F">
        <w:t xml:space="preserve"> </w:t>
      </w:r>
      <w:r>
        <w:t>level of harm associated with contraventions</w:t>
      </w:r>
      <w:r w:rsidR="00846C5F">
        <w:t xml:space="preserve">, etc. </w:t>
      </w:r>
    </w:p>
    <w:p w14:paraId="4135C10F" w14:textId="24A7FC4A" w:rsidR="00406494" w:rsidRDefault="00952DC6" w:rsidP="00952DC6">
      <w:r>
        <w:t xml:space="preserve">The Inspector–General </w:t>
      </w:r>
      <w:r w:rsidR="003561B3">
        <w:t xml:space="preserve">uses evidence to inform </w:t>
      </w:r>
      <w:r w:rsidRPr="005A447A">
        <w:t>problem–centric, outcomes–focused and risk</w:t>
      </w:r>
      <w:r w:rsidR="00073A59">
        <w:t>–</w:t>
      </w:r>
      <w:r w:rsidRPr="005A447A">
        <w:t xml:space="preserve">informed </w:t>
      </w:r>
      <w:r w:rsidR="00675EA6">
        <w:t xml:space="preserve">responsive </w:t>
      </w:r>
      <w:r>
        <w:t xml:space="preserve">decision–making. </w:t>
      </w:r>
    </w:p>
    <w:p w14:paraId="4F402DAE" w14:textId="77777777" w:rsidR="003346DE" w:rsidRPr="003346DE" w:rsidRDefault="003346DE" w:rsidP="003346DE">
      <w:pPr>
        <w:rPr>
          <w:b/>
          <w:bCs/>
        </w:rPr>
      </w:pPr>
      <w:r w:rsidRPr="003346DE">
        <w:rPr>
          <w:b/>
          <w:bCs/>
        </w:rPr>
        <w:t>Problem–centric, outcomes–focused and risk–informed decision–making</w:t>
      </w:r>
    </w:p>
    <w:p w14:paraId="6C253AF5" w14:textId="77777777" w:rsidR="003346DE" w:rsidRPr="003346DE" w:rsidRDefault="003346DE" w:rsidP="003346DE">
      <w:r w:rsidRPr="003346DE">
        <w:t>The Inspector–General adopts a problem–centric, outcomes–focused and risk–informed approach in deciding which regulatory tool is most appropriate for the relevant circumstance, where:</w:t>
      </w:r>
    </w:p>
    <w:p w14:paraId="6B53C588" w14:textId="77777777" w:rsidR="003346DE" w:rsidRPr="003346DE" w:rsidRDefault="003346DE" w:rsidP="003346DE">
      <w:pPr>
        <w:numPr>
          <w:ilvl w:val="0"/>
          <w:numId w:val="8"/>
        </w:numPr>
      </w:pPr>
      <w:r w:rsidRPr="003346DE">
        <w:t xml:space="preserve">A problem–centric approach involves the identification of gaps between what is expected or ideal and what happens in practice. </w:t>
      </w:r>
    </w:p>
    <w:p w14:paraId="07CDEE6B" w14:textId="77777777" w:rsidR="003346DE" w:rsidRPr="003346DE" w:rsidRDefault="003346DE" w:rsidP="003346DE">
      <w:r w:rsidRPr="003346DE">
        <w:t>This means the Inspector–General focuses on outcomes rather than the means of delivery, allowing for regulated entities to adopt approaches relevant for their circumstances and to respond to emerging challenges.</w:t>
      </w:r>
    </w:p>
    <w:p w14:paraId="024023AA" w14:textId="77777777" w:rsidR="003346DE" w:rsidRPr="003346DE" w:rsidRDefault="003346DE" w:rsidP="003346DE">
      <w:pPr>
        <w:numPr>
          <w:ilvl w:val="0"/>
          <w:numId w:val="8"/>
        </w:numPr>
      </w:pPr>
      <w:r w:rsidRPr="003346DE">
        <w:t xml:space="preserve">A risk–informed approach uses an assessment of the likelihood and magnitude of adverse consequences to prioritise regulatory efforts and determine a proportionate response(s). </w:t>
      </w:r>
    </w:p>
    <w:p w14:paraId="71A4EB59" w14:textId="77777777" w:rsidR="003346DE" w:rsidRPr="003346DE" w:rsidRDefault="003346DE" w:rsidP="003346DE">
      <w:r w:rsidRPr="003346DE">
        <w:t>The Inspector–General adopts a risk–informed approach that considers the harms in the context of whether the outcomes intended from the Water Act are being delivered. These harms could include economic, social, cultural or environmental harms, or a combination of these.</w:t>
      </w:r>
    </w:p>
    <w:p w14:paraId="087EDD73" w14:textId="08ED066D" w:rsidR="00FA1E0E" w:rsidRDefault="009F1E38" w:rsidP="00FA1E0E">
      <w:r>
        <w:br/>
      </w:r>
      <w:r w:rsidR="00FA1E0E">
        <w:t xml:space="preserve">This responsive model is </w:t>
      </w:r>
      <w:r w:rsidR="0019047E">
        <w:t xml:space="preserve">adaptive </w:t>
      </w:r>
      <w:r w:rsidR="00FA1E0E">
        <w:t xml:space="preserve">and allows versatility in managing adverse regulatory outcomes based on the identification of the best remedy for the </w:t>
      </w:r>
      <w:proofErr w:type="gramStart"/>
      <w:r w:rsidR="00FA1E0E">
        <w:t>particular situation</w:t>
      </w:r>
      <w:proofErr w:type="gramEnd"/>
      <w:r w:rsidR="00FA1E0E">
        <w:t>, allowing the Inspector–General to:</w:t>
      </w:r>
    </w:p>
    <w:p w14:paraId="06022D64" w14:textId="53815A20" w:rsidR="00FA1E0E" w:rsidRDefault="00FA1E0E" w:rsidP="00FA1E0E">
      <w:pPr>
        <w:pStyle w:val="ListBullet"/>
        <w:ind w:left="369" w:hanging="369"/>
      </w:pPr>
      <w:r>
        <w:t>Respond in a way that is proportionate to the risk</w:t>
      </w:r>
    </w:p>
    <w:p w14:paraId="1470498E" w14:textId="78A9E323" w:rsidR="00FA1E0E" w:rsidRDefault="00FA1E0E" w:rsidP="00FA1E0E">
      <w:pPr>
        <w:pStyle w:val="ListBullet"/>
        <w:ind w:left="369" w:hanging="369"/>
      </w:pPr>
      <w:r>
        <w:t>Respond in a way that best addresses the problem and/ or delivers the intended outcome</w:t>
      </w:r>
    </w:p>
    <w:p w14:paraId="6A2236E0" w14:textId="53F9BDE1" w:rsidR="00952DC6" w:rsidRDefault="00952DC6" w:rsidP="00952DC6">
      <w:pPr>
        <w:pStyle w:val="ListBullet"/>
        <w:ind w:left="369" w:hanging="369"/>
      </w:pPr>
      <w:r>
        <w:t>Escalate regulatory action</w:t>
      </w:r>
    </w:p>
    <w:p w14:paraId="3DA01115" w14:textId="5D5B09A4" w:rsidR="00952DC6" w:rsidRDefault="00952DC6" w:rsidP="00952DC6">
      <w:pPr>
        <w:pStyle w:val="ListBullet"/>
        <w:ind w:left="369" w:hanging="369"/>
      </w:pPr>
      <w:r>
        <w:t>De–escalate regulatory action</w:t>
      </w:r>
    </w:p>
    <w:p w14:paraId="40BC2713" w14:textId="275DDAAC" w:rsidR="00952DC6" w:rsidRDefault="00952DC6" w:rsidP="00952DC6">
      <w:pPr>
        <w:pStyle w:val="ListBullet"/>
        <w:ind w:left="369" w:hanging="369"/>
      </w:pPr>
      <w:r>
        <w:t>Minimise costs associated with a response.</w:t>
      </w:r>
    </w:p>
    <w:p w14:paraId="0D33D295" w14:textId="7021A6F9" w:rsidR="00952DC6" w:rsidRDefault="00952DC6" w:rsidP="00952DC6">
      <w:r>
        <w:t xml:space="preserve">Figure </w:t>
      </w:r>
      <w:r w:rsidR="009F1E38">
        <w:t xml:space="preserve">2 </w:t>
      </w:r>
      <w:r>
        <w:t xml:space="preserve">sets out the Inspector–General’s approach to regulation. </w:t>
      </w:r>
    </w:p>
    <w:p w14:paraId="182246F8" w14:textId="34241AB6" w:rsidR="00952DC6" w:rsidRDefault="00353472" w:rsidP="00ED2024">
      <w:pPr>
        <w:pStyle w:val="FigureHeading"/>
        <w:keepNext/>
      </w:pPr>
      <w:r>
        <w:lastRenderedPageBreak/>
        <w:t xml:space="preserve">Figure </w:t>
      </w:r>
      <w:r>
        <w:fldChar w:fldCharType="begin"/>
      </w:r>
      <w:r>
        <w:instrText xml:space="preserve"> SEQ Figure \* ARABIC </w:instrText>
      </w:r>
      <w:r>
        <w:fldChar w:fldCharType="separate"/>
      </w:r>
      <w:r>
        <w:rPr>
          <w:noProof/>
        </w:rPr>
        <w:t>2</w:t>
      </w:r>
      <w:r>
        <w:fldChar w:fldCharType="end"/>
      </w:r>
      <w:r>
        <w:t xml:space="preserve">. </w:t>
      </w:r>
      <w:r w:rsidR="00952DC6">
        <w:t xml:space="preserve">Responsive </w:t>
      </w:r>
      <w:r w:rsidR="006F6AC3">
        <w:t xml:space="preserve">approach to </w:t>
      </w:r>
      <w:r w:rsidR="00952DC6">
        <w:t xml:space="preserve">regulation </w:t>
      </w:r>
      <w:r w:rsidR="00C91FF9">
        <w:t xml:space="preserve">– escalation </w:t>
      </w:r>
      <w:r w:rsidR="00952DC6">
        <w:t>pyramid</w:t>
      </w:r>
    </w:p>
    <w:p w14:paraId="76094B57" w14:textId="6A43D58D" w:rsidR="00952DC6" w:rsidRDefault="009B0D9E" w:rsidP="00952DC6">
      <w:r>
        <w:rPr>
          <w:noProof/>
        </w:rPr>
        <w:drawing>
          <wp:inline distT="0" distB="0" distL="0" distR="0" wp14:anchorId="1E34B3FA" wp14:editId="56733AAC">
            <wp:extent cx="6238800" cy="3247200"/>
            <wp:effectExtent l="0" t="0" r="0" b="0"/>
            <wp:docPr id="88" name="Picture 88" descr="Pyramid showing responsive approach from monitoring outcomes to identifying problems through examination activities and on to identifying risks and addressing through support or education and then intervening through deter, correct or actively pursue. Where the level of harm correlates with the type of activity and the effort involved in tha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yramid showing responsive approach from monitoring outcomes to identifying problems through examination activities and on to identifying risks and addressing through support or education and then intervening through deter, correct or actively pursue. Where the level of harm correlates with the type of activity and the effort involved in that activi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8800" cy="3247200"/>
                    </a:xfrm>
                    <a:prstGeom prst="rect">
                      <a:avLst/>
                    </a:prstGeom>
                    <a:noFill/>
                  </pic:spPr>
                </pic:pic>
              </a:graphicData>
            </a:graphic>
          </wp:inline>
        </w:drawing>
      </w:r>
    </w:p>
    <w:p w14:paraId="5D9C5219" w14:textId="388CF108" w:rsidR="00952DC6" w:rsidRDefault="00FB529D" w:rsidP="00952DC6">
      <w:r>
        <w:br/>
      </w:r>
      <w:r w:rsidR="00952DC6">
        <w:t>Under this approach, the type of regulatory action taken by the Inspector–General</w:t>
      </w:r>
      <w:r w:rsidR="0013241B">
        <w:t xml:space="preserve"> escalates</w:t>
      </w:r>
      <w:r w:rsidR="00952DC6">
        <w:t xml:space="preserve"> </w:t>
      </w:r>
      <w:r w:rsidR="003F2460">
        <w:t>in response to greater risks</w:t>
      </w:r>
      <w:r w:rsidR="00BE1107">
        <w:t xml:space="preserve">. The </w:t>
      </w:r>
      <w:r w:rsidR="00836191">
        <w:t xml:space="preserve">escalation </w:t>
      </w:r>
      <w:r w:rsidR="007442BD">
        <w:t xml:space="preserve">level will </w:t>
      </w:r>
      <w:r w:rsidR="008700B4">
        <w:t xml:space="preserve">therefore </w:t>
      </w:r>
      <w:r w:rsidR="007442BD">
        <w:t xml:space="preserve">be informed by </w:t>
      </w:r>
      <w:r w:rsidR="00BE1107">
        <w:t xml:space="preserve">the </w:t>
      </w:r>
      <w:r w:rsidR="00F46462">
        <w:t xml:space="preserve">level of harm and the </w:t>
      </w:r>
      <w:r w:rsidR="006743E8">
        <w:t xml:space="preserve">proportionate </w:t>
      </w:r>
      <w:r w:rsidR="006D6FF3">
        <w:t xml:space="preserve">effort required for </w:t>
      </w:r>
      <w:r w:rsidR="006743E8">
        <w:t xml:space="preserve">the type of intervention. </w:t>
      </w:r>
      <w:r w:rsidR="00C32EF6">
        <w:t xml:space="preserve">High level descriptions of relevant </w:t>
      </w:r>
      <w:r w:rsidR="003A5109">
        <w:t xml:space="preserve">harms and types of interventions are set out further </w:t>
      </w:r>
      <w:r w:rsidR="00DD6677">
        <w:t xml:space="preserve">in the </w:t>
      </w:r>
      <w:r w:rsidR="00B97ED0" w:rsidRPr="00C5292A">
        <w:rPr>
          <w:rStyle w:val="SubtleReference"/>
          <w:color w:val="3D7A92" w:themeColor="background1" w:themeShade="80"/>
        </w:rPr>
        <w:fldChar w:fldCharType="begin"/>
      </w:r>
      <w:r w:rsidR="00B97ED0" w:rsidRPr="00C5292A">
        <w:rPr>
          <w:rStyle w:val="SubtleReference"/>
          <w:color w:val="3D7A92" w:themeColor="background1" w:themeShade="80"/>
        </w:rPr>
        <w:instrText xml:space="preserve"> REF _Ref137027396 \h </w:instrText>
      </w:r>
      <w:r w:rsidR="00AE7C82" w:rsidRPr="00C5292A">
        <w:rPr>
          <w:rStyle w:val="SubtleReference"/>
          <w:color w:val="3D7A92" w:themeColor="background1" w:themeShade="80"/>
        </w:rPr>
        <w:instrText xml:space="preserve"> \* MERGEFORMAT </w:instrText>
      </w:r>
      <w:r w:rsidR="00B97ED0" w:rsidRPr="00C5292A">
        <w:rPr>
          <w:rStyle w:val="SubtleReference"/>
          <w:color w:val="3D7A92" w:themeColor="background1" w:themeShade="80"/>
        </w:rPr>
      </w:r>
      <w:r w:rsidR="00B97ED0" w:rsidRPr="00C5292A">
        <w:rPr>
          <w:rStyle w:val="SubtleReference"/>
          <w:color w:val="3D7A92" w:themeColor="background1" w:themeShade="80"/>
        </w:rPr>
        <w:fldChar w:fldCharType="separate"/>
      </w:r>
      <w:r w:rsidR="0030522E" w:rsidRPr="00C5292A">
        <w:rPr>
          <w:rStyle w:val="SubtleReference"/>
          <w:color w:val="3D7A92" w:themeColor="background1" w:themeShade="80"/>
        </w:rPr>
        <w:t>Principles–based approach</w:t>
      </w:r>
      <w:r w:rsidR="00B97ED0" w:rsidRPr="00C5292A">
        <w:rPr>
          <w:rStyle w:val="SubtleReference"/>
          <w:color w:val="3D7A92" w:themeColor="background1" w:themeShade="80"/>
        </w:rPr>
        <w:fldChar w:fldCharType="end"/>
      </w:r>
      <w:r w:rsidR="00B97ED0">
        <w:t xml:space="preserve"> and </w:t>
      </w:r>
      <w:r w:rsidR="00AE7C82" w:rsidRPr="00C5292A">
        <w:rPr>
          <w:rStyle w:val="SubtleReference"/>
          <w:color w:val="3D7A92" w:themeColor="background1" w:themeShade="80"/>
        </w:rPr>
        <w:fldChar w:fldCharType="begin"/>
      </w:r>
      <w:r w:rsidR="00AE7C82" w:rsidRPr="00C5292A">
        <w:rPr>
          <w:rStyle w:val="SubtleReference"/>
          <w:color w:val="3D7A92" w:themeColor="background1" w:themeShade="80"/>
        </w:rPr>
        <w:instrText xml:space="preserve"> REF _Ref126854943 \h  \* MERGEFORMAT </w:instrText>
      </w:r>
      <w:r w:rsidR="00AE7C82" w:rsidRPr="00C5292A">
        <w:rPr>
          <w:rStyle w:val="SubtleReference"/>
          <w:color w:val="3D7A92" w:themeColor="background1" w:themeShade="80"/>
        </w:rPr>
      </w:r>
      <w:r w:rsidR="00AE7C82" w:rsidRPr="00C5292A">
        <w:rPr>
          <w:rStyle w:val="SubtleReference"/>
          <w:color w:val="3D7A92" w:themeColor="background1" w:themeShade="80"/>
        </w:rPr>
        <w:fldChar w:fldCharType="separate"/>
      </w:r>
      <w:r w:rsidR="0030522E" w:rsidRPr="00C5292A">
        <w:rPr>
          <w:rStyle w:val="SubtleReference"/>
          <w:color w:val="3D7A92" w:themeColor="background1" w:themeShade="80"/>
        </w:rPr>
        <w:t>Regulatory tools</w:t>
      </w:r>
      <w:r w:rsidR="00AE7C82" w:rsidRPr="00C5292A">
        <w:rPr>
          <w:rStyle w:val="SubtleReference"/>
          <w:color w:val="3D7A92" w:themeColor="background1" w:themeShade="80"/>
        </w:rPr>
        <w:fldChar w:fldCharType="end"/>
      </w:r>
      <w:r w:rsidR="00B97ED0">
        <w:t xml:space="preserve"> sections below.</w:t>
      </w:r>
      <w:r w:rsidR="00E9582E">
        <w:t xml:space="preserve"> In practice, the harms being mitigated through Inspector-General’s actions may include detrimental ecological, social, economic and/ or cultural outcomes.</w:t>
      </w:r>
    </w:p>
    <w:p w14:paraId="39B4927A" w14:textId="0523DF28" w:rsidR="00C2722F" w:rsidRDefault="00C2722F" w:rsidP="00952DC6">
      <w:r>
        <w:t>In line with the above approach, the Inspector-General recognises that most regulated entities strive to follow the law and discharge their responsibilities appropriately. The Inspector–General also recognises, with respect to government agencies, the long history of Basin governments’ commitment to the integrated, sustainable and adaptive management of Basin water resources under a national framework established by the Water Act, Basin Plan and water resource plans.</w:t>
      </w:r>
    </w:p>
    <w:p w14:paraId="494756B0" w14:textId="77777777" w:rsidR="00E722A4" w:rsidRDefault="00E722A4" w:rsidP="000D331C">
      <w:pPr>
        <w:pStyle w:val="Heading2"/>
      </w:pPr>
      <w:bookmarkStart w:id="17" w:name="_Toc137125806"/>
      <w:bookmarkStart w:id="18" w:name="_Toc139551373"/>
      <w:bookmarkStart w:id="19" w:name="_Toc161834735"/>
      <w:r>
        <w:t>Targeted priorities</w:t>
      </w:r>
      <w:bookmarkEnd w:id="16"/>
      <w:bookmarkEnd w:id="17"/>
      <w:bookmarkEnd w:id="18"/>
      <w:bookmarkEnd w:id="19"/>
    </w:p>
    <w:p w14:paraId="50D58CC1" w14:textId="033CD046" w:rsidR="00E722A4" w:rsidRDefault="0053795A" w:rsidP="00E722A4">
      <w:r w:rsidRPr="0053795A">
        <w:t xml:space="preserve">As a relatively small agency with clear vision, purpose, and legislated remit, </w:t>
      </w:r>
      <w:r w:rsidR="006E17F9">
        <w:t>t</w:t>
      </w:r>
      <w:r w:rsidR="00E722A4">
        <w:t xml:space="preserve">he Inspector–General periodically releases information on </w:t>
      </w:r>
      <w:r w:rsidR="00226999">
        <w:t xml:space="preserve">key </w:t>
      </w:r>
      <w:r w:rsidR="00E722A4">
        <w:t>priorities</w:t>
      </w:r>
      <w:r w:rsidR="00226999">
        <w:t xml:space="preserve"> for targeted action</w:t>
      </w:r>
      <w:r w:rsidR="00E722A4">
        <w:t xml:space="preserve">. </w:t>
      </w:r>
      <w:r w:rsidR="00CE788B" w:rsidRPr="00CE788B">
        <w:t>D</w:t>
      </w:r>
      <w:r w:rsidR="00E722A4" w:rsidRPr="00CE788B">
        <w:t>etail</w:t>
      </w:r>
      <w:r w:rsidR="00CE788B" w:rsidRPr="00CE788B">
        <w:t>s</w:t>
      </w:r>
      <w:r w:rsidR="00E722A4" w:rsidRPr="00CE788B">
        <w:t xml:space="preserve"> on</w:t>
      </w:r>
      <w:r w:rsidR="00CE788B">
        <w:t xml:space="preserve"> </w:t>
      </w:r>
      <w:r w:rsidR="00550877">
        <w:t>medium to long term priorities</w:t>
      </w:r>
      <w:r w:rsidR="00E722A4" w:rsidRPr="00CE788B">
        <w:t xml:space="preserve"> can be found in the </w:t>
      </w:r>
      <w:r w:rsidR="00E57D54">
        <w:t>Inspector–General</w:t>
      </w:r>
      <w:r w:rsidR="00E722A4" w:rsidRPr="00CE788B">
        <w:t>’s Strategic Plan, while details on the Inspector–General’s an</w:t>
      </w:r>
      <w:r w:rsidR="00E722A4">
        <w:t>nual priorities are set out in annual work plans published on the Inspector–General’s website.</w:t>
      </w:r>
      <w:r w:rsidR="00E722A4">
        <w:rPr>
          <w:rStyle w:val="EndnoteReference"/>
        </w:rPr>
        <w:endnoteReference w:id="5"/>
      </w:r>
    </w:p>
    <w:p w14:paraId="2B85BAC1" w14:textId="6E50A8DE" w:rsidR="00E722A4" w:rsidRDefault="00923313" w:rsidP="000D331C">
      <w:pPr>
        <w:pStyle w:val="Heading2"/>
      </w:pPr>
      <w:bookmarkStart w:id="20" w:name="_Toc130301073"/>
      <w:bookmarkStart w:id="21" w:name="_Toc137125807"/>
      <w:bookmarkStart w:id="22" w:name="_Toc139551374"/>
      <w:bookmarkStart w:id="23" w:name="_Toc161834736"/>
      <w:r>
        <w:t xml:space="preserve">Ongoing </w:t>
      </w:r>
      <w:r w:rsidR="005F1758">
        <w:t xml:space="preserve">regulatory </w:t>
      </w:r>
      <w:bookmarkEnd w:id="20"/>
      <w:r>
        <w:t>focus</w:t>
      </w:r>
      <w:bookmarkEnd w:id="21"/>
      <w:bookmarkEnd w:id="22"/>
      <w:bookmarkEnd w:id="23"/>
      <w:r>
        <w:t xml:space="preserve"> </w:t>
      </w:r>
    </w:p>
    <w:p w14:paraId="7F29AF6B" w14:textId="689C54BF" w:rsidR="00A24153" w:rsidRPr="00E65CD3" w:rsidRDefault="00E722A4" w:rsidP="00A24153">
      <w:r w:rsidRPr="007161C4">
        <w:t xml:space="preserve">When deciding </w:t>
      </w:r>
      <w:r w:rsidR="000534B8">
        <w:t>whether</w:t>
      </w:r>
      <w:r w:rsidRPr="007161C4">
        <w:t xml:space="preserve"> to pursue a matter, the </w:t>
      </w:r>
      <w:r>
        <w:t xml:space="preserve">Inspector–General </w:t>
      </w:r>
      <w:r w:rsidRPr="007161C4">
        <w:t>prioritise</w:t>
      </w:r>
      <w:r w:rsidR="000534B8">
        <w:t>s</w:t>
      </w:r>
      <w:r w:rsidRPr="007161C4">
        <w:t xml:space="preserve"> those which fall within </w:t>
      </w:r>
      <w:r>
        <w:t xml:space="preserve">the above </w:t>
      </w:r>
      <w:r w:rsidR="00BA30E6">
        <w:t xml:space="preserve">targeted </w:t>
      </w:r>
      <w:r w:rsidRPr="007161C4">
        <w:t xml:space="preserve">priority areas. </w:t>
      </w:r>
      <w:r w:rsidR="00A24153" w:rsidRPr="00E65CD3">
        <w:t xml:space="preserve">The Inspector–General also applies the following principles </w:t>
      </w:r>
      <w:r w:rsidR="00A31B6B" w:rsidRPr="00E65CD3">
        <w:t xml:space="preserve">in deciding </w:t>
      </w:r>
      <w:r w:rsidR="007E12AE" w:rsidRPr="00E65CD3">
        <w:t>when, where and how to act</w:t>
      </w:r>
      <w:r w:rsidR="00A24153" w:rsidRPr="00E65CD3">
        <w:t>.</w:t>
      </w:r>
    </w:p>
    <w:p w14:paraId="445A5481" w14:textId="7FA69CA6" w:rsidR="00E722A4" w:rsidRDefault="00EA2EBF" w:rsidP="00C70A6E">
      <w:pPr>
        <w:pStyle w:val="FigureHeading"/>
        <w:keepNext/>
      </w:pPr>
      <w:r>
        <w:lastRenderedPageBreak/>
        <w:t xml:space="preserve">Figure </w:t>
      </w:r>
      <w:r>
        <w:fldChar w:fldCharType="begin"/>
      </w:r>
      <w:r>
        <w:instrText xml:space="preserve"> SEQ Figure \* ARABIC </w:instrText>
      </w:r>
      <w:r>
        <w:fldChar w:fldCharType="separate"/>
      </w:r>
      <w:r>
        <w:rPr>
          <w:noProof/>
        </w:rPr>
        <w:t>3</w:t>
      </w:r>
      <w:r>
        <w:fldChar w:fldCharType="end"/>
      </w:r>
      <w:r>
        <w:t xml:space="preserve">. </w:t>
      </w:r>
      <w:r w:rsidR="00A24153">
        <w:t>Principles for Inspector–General actions</w:t>
      </w:r>
    </w:p>
    <w:p w14:paraId="3A36E9F8" w14:textId="27F8AF2D" w:rsidR="007C6F39" w:rsidRDefault="008C7108" w:rsidP="00C70A6E">
      <w:r>
        <w:rPr>
          <w:noProof/>
        </w:rPr>
        <w:drawing>
          <wp:inline distT="0" distB="0" distL="0" distR="0" wp14:anchorId="4DA1A508" wp14:editId="1E2BA85D">
            <wp:extent cx="6022800" cy="5457600"/>
            <wp:effectExtent l="0" t="0" r="0" b="0"/>
            <wp:docPr id="1093242748" name="Picture 1093242748" descr="Sets out the 6 regulatory principles triggering action - systemic factors, conduct undermining the implementation or effectiveness of Basin water management, conduct affecting others' access to or management of Basin water resources, conduct affecting the transparency of information around trades and transfers, conduct affecting the quantity or quality of Basin water resources, and conduct affecting confidence in and quality of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42748" name="Picture 1093242748" descr="Sets out the 6 regulatory principles triggering action - systemic factors, conduct undermining the implementation or effectiveness of Basin water management, conduct affecting others' access to or management of Basin water resources, conduct affecting the transparency of information around trades and transfers, conduct affecting the quantity or quality of Basin water resources, and conduct affecting confidence in and quality of information."/>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22800" cy="5457600"/>
                    </a:xfrm>
                    <a:prstGeom prst="rect">
                      <a:avLst/>
                    </a:prstGeom>
                    <a:noFill/>
                  </pic:spPr>
                </pic:pic>
              </a:graphicData>
            </a:graphic>
          </wp:inline>
        </w:drawing>
      </w:r>
    </w:p>
    <w:p w14:paraId="518A0580" w14:textId="2F15194F" w:rsidR="00F22E90" w:rsidRPr="007161C4" w:rsidRDefault="00252972" w:rsidP="00C70A6E">
      <w:r>
        <w:br/>
      </w:r>
      <w:r w:rsidR="007A7077">
        <w:t>The following table sets out how these principles are applied in relation to the Inspector–General’s specific areas of responsibility</w:t>
      </w:r>
      <w:r w:rsidR="003B75F1">
        <w:t xml:space="preserve"> and, relevantly, how these may be triggers for regulatory action.</w:t>
      </w:r>
    </w:p>
    <w:p w14:paraId="7195D4A6" w14:textId="76241684" w:rsidR="00A309AE" w:rsidRDefault="000C3C92" w:rsidP="00625D0B">
      <w:pPr>
        <w:pStyle w:val="TableHeading"/>
      </w:pPr>
      <w:r>
        <w:t xml:space="preserve">Table </w:t>
      </w:r>
      <w:r>
        <w:fldChar w:fldCharType="begin"/>
      </w:r>
      <w:r>
        <w:instrText>SEQ Table \* ARABIC</w:instrText>
      </w:r>
      <w:r>
        <w:fldChar w:fldCharType="separate"/>
      </w:r>
      <w:r w:rsidR="0030522E">
        <w:rPr>
          <w:noProof/>
        </w:rPr>
        <w:t>1</w:t>
      </w:r>
      <w:r>
        <w:fldChar w:fldCharType="end"/>
      </w:r>
      <w:r>
        <w:t>.</w:t>
      </w:r>
      <w:r w:rsidR="00625D0B">
        <w:t xml:space="preserve"> </w:t>
      </w:r>
      <w:r w:rsidR="00F22792">
        <w:t>S</w:t>
      </w:r>
      <w:r w:rsidR="002126B7">
        <w:t>pecific areas of responsibility</w:t>
      </w:r>
      <w:r w:rsidR="00F22792">
        <w:t xml:space="preserve"> – triggers for action</w:t>
      </w:r>
    </w:p>
    <w:tbl>
      <w:tblPr>
        <w:tblStyle w:val="TableGridLight"/>
        <w:tblW w:w="0" w:type="auto"/>
        <w:tblLook w:val="04A0" w:firstRow="1" w:lastRow="0" w:firstColumn="1" w:lastColumn="0" w:noHBand="0" w:noVBand="1"/>
      </w:tblPr>
      <w:tblGrid>
        <w:gridCol w:w="1978"/>
        <w:gridCol w:w="7660"/>
      </w:tblGrid>
      <w:tr w:rsidR="00D51B99" w14:paraId="7A971463" w14:textId="77777777" w:rsidTr="00940B91">
        <w:trPr>
          <w:cnfStyle w:val="100000000000" w:firstRow="1" w:lastRow="0" w:firstColumn="0" w:lastColumn="0" w:oddVBand="0" w:evenVBand="0" w:oddHBand="0" w:evenHBand="0" w:firstRowFirstColumn="0" w:firstRowLastColumn="0" w:lastRowFirstColumn="0" w:lastRowLastColumn="0"/>
          <w:tblHeader/>
        </w:trPr>
        <w:tc>
          <w:tcPr>
            <w:tcW w:w="1978" w:type="dxa"/>
          </w:tcPr>
          <w:p w14:paraId="09D54F01" w14:textId="1E2D2AF1" w:rsidR="00D51B99" w:rsidRPr="00940B91" w:rsidRDefault="008303E6" w:rsidP="00D51B99">
            <w:pPr>
              <w:pStyle w:val="TableHeader"/>
              <w:rPr>
                <w:sz w:val="19"/>
                <w:szCs w:val="19"/>
              </w:rPr>
            </w:pPr>
            <w:r w:rsidRPr="00940B91">
              <w:rPr>
                <w:sz w:val="19"/>
                <w:szCs w:val="19"/>
              </w:rPr>
              <w:t>Responsibility</w:t>
            </w:r>
          </w:p>
        </w:tc>
        <w:tc>
          <w:tcPr>
            <w:tcW w:w="7660" w:type="dxa"/>
          </w:tcPr>
          <w:p w14:paraId="5744845F" w14:textId="477124F7" w:rsidR="00D51B99" w:rsidRPr="00940B91" w:rsidRDefault="00D51B99" w:rsidP="00D51B99">
            <w:pPr>
              <w:pStyle w:val="TableHeader"/>
              <w:rPr>
                <w:sz w:val="19"/>
                <w:szCs w:val="19"/>
              </w:rPr>
            </w:pPr>
            <w:r w:rsidRPr="00940B91">
              <w:rPr>
                <w:sz w:val="19"/>
                <w:szCs w:val="19"/>
              </w:rPr>
              <w:t>Triggers</w:t>
            </w:r>
          </w:p>
        </w:tc>
      </w:tr>
      <w:tr w:rsidR="00D51B99" w14:paraId="3556BA88" w14:textId="77777777" w:rsidTr="00940B91">
        <w:tc>
          <w:tcPr>
            <w:tcW w:w="1978" w:type="dxa"/>
          </w:tcPr>
          <w:p w14:paraId="10F61F0A" w14:textId="6F5F94F0" w:rsidR="00D51B99" w:rsidRPr="00940B91" w:rsidRDefault="008303E6" w:rsidP="00D51B99">
            <w:pPr>
              <w:pStyle w:val="TableText"/>
              <w:rPr>
                <w:sz w:val="19"/>
                <w:szCs w:val="19"/>
              </w:rPr>
            </w:pPr>
            <w:r w:rsidRPr="00940B91">
              <w:rPr>
                <w:sz w:val="19"/>
                <w:szCs w:val="19"/>
              </w:rPr>
              <w:t>Sustainable diversion limit compliance</w:t>
            </w:r>
          </w:p>
        </w:tc>
        <w:tc>
          <w:tcPr>
            <w:tcW w:w="7660" w:type="dxa"/>
          </w:tcPr>
          <w:p w14:paraId="6CFC06D9" w14:textId="77E32CCC" w:rsidR="00C2013D" w:rsidRPr="00940B91" w:rsidRDefault="00281F19" w:rsidP="00D51B99">
            <w:pPr>
              <w:pStyle w:val="TableText"/>
              <w:rPr>
                <w:sz w:val="19"/>
                <w:szCs w:val="19"/>
              </w:rPr>
            </w:pPr>
            <w:r w:rsidRPr="00940B91">
              <w:rPr>
                <w:sz w:val="19"/>
                <w:szCs w:val="19"/>
              </w:rPr>
              <w:t xml:space="preserve">Level of extraction </w:t>
            </w:r>
            <w:r w:rsidR="005A1517">
              <w:rPr>
                <w:sz w:val="19"/>
                <w:szCs w:val="19"/>
              </w:rPr>
              <w:t xml:space="preserve">is in </w:t>
            </w:r>
            <w:r w:rsidR="00D36238">
              <w:rPr>
                <w:sz w:val="19"/>
                <w:szCs w:val="19"/>
              </w:rPr>
              <w:t>exceedance</w:t>
            </w:r>
            <w:r w:rsidR="005A1517">
              <w:rPr>
                <w:sz w:val="19"/>
                <w:szCs w:val="19"/>
              </w:rPr>
              <w:t xml:space="preserve"> </w:t>
            </w:r>
            <w:r w:rsidR="00D36238">
              <w:rPr>
                <w:sz w:val="19"/>
                <w:szCs w:val="19"/>
              </w:rPr>
              <w:t xml:space="preserve">of the </w:t>
            </w:r>
            <w:r w:rsidR="00E17E81" w:rsidRPr="00940B91">
              <w:rPr>
                <w:sz w:val="19"/>
                <w:szCs w:val="19"/>
              </w:rPr>
              <w:t xml:space="preserve">sustainable diversion limit </w:t>
            </w:r>
          </w:p>
          <w:p w14:paraId="738B7F02" w14:textId="2F312773" w:rsidR="009E59BE" w:rsidRDefault="00973721" w:rsidP="00D51B99">
            <w:pPr>
              <w:pStyle w:val="TableText"/>
              <w:rPr>
                <w:sz w:val="19"/>
                <w:szCs w:val="19"/>
              </w:rPr>
            </w:pPr>
            <w:r>
              <w:rPr>
                <w:sz w:val="19"/>
                <w:szCs w:val="19"/>
              </w:rPr>
              <w:t xml:space="preserve">The Inspector-General not being satisfied </w:t>
            </w:r>
            <w:r w:rsidR="0075458D" w:rsidRPr="00940B91">
              <w:rPr>
                <w:sz w:val="19"/>
                <w:szCs w:val="19"/>
              </w:rPr>
              <w:t xml:space="preserve">of </w:t>
            </w:r>
            <w:r w:rsidR="001638D1">
              <w:rPr>
                <w:sz w:val="19"/>
                <w:szCs w:val="19"/>
              </w:rPr>
              <w:t xml:space="preserve">there being an </w:t>
            </w:r>
            <w:r w:rsidR="0075458D" w:rsidRPr="00940B91">
              <w:rPr>
                <w:sz w:val="19"/>
                <w:szCs w:val="19"/>
              </w:rPr>
              <w:t>acceptable reasonable excuse</w:t>
            </w:r>
            <w:r w:rsidR="00D36238">
              <w:rPr>
                <w:sz w:val="19"/>
                <w:szCs w:val="19"/>
              </w:rPr>
              <w:t xml:space="preserve"> for </w:t>
            </w:r>
            <w:r w:rsidR="00821402">
              <w:rPr>
                <w:sz w:val="19"/>
                <w:szCs w:val="19"/>
              </w:rPr>
              <w:t xml:space="preserve">non-compliance with </w:t>
            </w:r>
            <w:r w:rsidR="008A23D8">
              <w:rPr>
                <w:sz w:val="19"/>
                <w:szCs w:val="19"/>
              </w:rPr>
              <w:t>a long-term annual diversion limit</w:t>
            </w:r>
          </w:p>
          <w:p w14:paraId="1DFB245B" w14:textId="0A3A3634" w:rsidR="001638D1" w:rsidRPr="00940B91" w:rsidRDefault="001638D1" w:rsidP="00D51B99">
            <w:pPr>
              <w:pStyle w:val="TableText"/>
              <w:rPr>
                <w:sz w:val="19"/>
                <w:szCs w:val="19"/>
              </w:rPr>
            </w:pPr>
            <w:r>
              <w:rPr>
                <w:sz w:val="19"/>
                <w:szCs w:val="19"/>
              </w:rPr>
              <w:t>No claim for reasonable excuse is provided</w:t>
            </w:r>
            <w:r w:rsidR="003C1CA7">
              <w:rPr>
                <w:sz w:val="19"/>
                <w:szCs w:val="19"/>
              </w:rPr>
              <w:t xml:space="preserve"> for non-compliance with a long-term annual diversion limit</w:t>
            </w:r>
          </w:p>
          <w:p w14:paraId="7D0BE387" w14:textId="2E4F89AF" w:rsidR="004939AE" w:rsidRPr="00940B91" w:rsidRDefault="0050757D" w:rsidP="00D51B99">
            <w:pPr>
              <w:pStyle w:val="TableText"/>
              <w:rPr>
                <w:sz w:val="19"/>
                <w:szCs w:val="19"/>
              </w:rPr>
            </w:pPr>
            <w:r w:rsidRPr="00940B91">
              <w:rPr>
                <w:sz w:val="19"/>
                <w:szCs w:val="19"/>
              </w:rPr>
              <w:t>Water resource plan has not been fully implemented or complied with</w:t>
            </w:r>
          </w:p>
          <w:p w14:paraId="229EFCCA" w14:textId="3D4F68BD" w:rsidR="00D51B99" w:rsidRPr="00940B91" w:rsidRDefault="0016221D" w:rsidP="00D51B99">
            <w:pPr>
              <w:pStyle w:val="TableText"/>
              <w:rPr>
                <w:sz w:val="19"/>
                <w:szCs w:val="19"/>
              </w:rPr>
            </w:pPr>
            <w:r w:rsidRPr="00940B91">
              <w:rPr>
                <w:sz w:val="19"/>
                <w:szCs w:val="19"/>
              </w:rPr>
              <w:t xml:space="preserve">Potential major impacts from </w:t>
            </w:r>
            <w:r w:rsidRPr="00A131CC">
              <w:rPr>
                <w:sz w:val="19"/>
                <w:szCs w:val="19"/>
              </w:rPr>
              <w:t>excess</w:t>
            </w:r>
            <w:r w:rsidR="008A23D8" w:rsidRPr="00A131CC">
              <w:rPr>
                <w:sz w:val="19"/>
                <w:szCs w:val="19"/>
              </w:rPr>
              <w:t xml:space="preserve"> </w:t>
            </w:r>
            <w:r w:rsidR="008A23D8">
              <w:rPr>
                <w:sz w:val="19"/>
                <w:szCs w:val="19"/>
              </w:rPr>
              <w:t>above a long-term annual diversion limit</w:t>
            </w:r>
          </w:p>
          <w:p w14:paraId="05589FC3" w14:textId="0BC32C8A" w:rsidR="00811D48" w:rsidRDefault="00490041" w:rsidP="00C72F96">
            <w:pPr>
              <w:pStyle w:val="TableText"/>
              <w:rPr>
                <w:sz w:val="19"/>
                <w:szCs w:val="19"/>
              </w:rPr>
            </w:pPr>
            <w:r>
              <w:rPr>
                <w:sz w:val="19"/>
                <w:szCs w:val="19"/>
              </w:rPr>
              <w:lastRenderedPageBreak/>
              <w:t xml:space="preserve">Not having an action plan </w:t>
            </w:r>
            <w:r w:rsidR="005920BA">
              <w:rPr>
                <w:sz w:val="19"/>
                <w:szCs w:val="19"/>
              </w:rPr>
              <w:t>or l</w:t>
            </w:r>
            <w:r w:rsidR="000349B0" w:rsidRPr="00940B91">
              <w:rPr>
                <w:sz w:val="19"/>
                <w:szCs w:val="19"/>
              </w:rPr>
              <w:t xml:space="preserve">ack </w:t>
            </w:r>
            <w:r w:rsidR="0015631A" w:rsidRPr="00940B91">
              <w:rPr>
                <w:sz w:val="19"/>
                <w:szCs w:val="19"/>
              </w:rPr>
              <w:t xml:space="preserve">of adequate </w:t>
            </w:r>
            <w:r w:rsidR="00775744" w:rsidRPr="00940B91">
              <w:rPr>
                <w:sz w:val="19"/>
                <w:szCs w:val="19"/>
              </w:rPr>
              <w:t>action</w:t>
            </w:r>
            <w:r w:rsidR="00F0444F" w:rsidRPr="00940B91">
              <w:rPr>
                <w:sz w:val="19"/>
                <w:szCs w:val="19"/>
              </w:rPr>
              <w:t>(</w:t>
            </w:r>
            <w:r w:rsidR="0015631A" w:rsidRPr="00940B91">
              <w:rPr>
                <w:sz w:val="19"/>
                <w:szCs w:val="19"/>
              </w:rPr>
              <w:t>s</w:t>
            </w:r>
            <w:r w:rsidR="00F0444F" w:rsidRPr="00940B91">
              <w:rPr>
                <w:sz w:val="19"/>
                <w:szCs w:val="19"/>
              </w:rPr>
              <w:t>)</w:t>
            </w:r>
            <w:r w:rsidR="000349B0" w:rsidRPr="00940B91">
              <w:rPr>
                <w:sz w:val="19"/>
                <w:szCs w:val="19"/>
              </w:rPr>
              <w:t xml:space="preserve"> to address </w:t>
            </w:r>
            <w:r w:rsidR="000349B0" w:rsidRPr="00A131CC">
              <w:rPr>
                <w:sz w:val="19"/>
                <w:szCs w:val="19"/>
              </w:rPr>
              <w:t>excess</w:t>
            </w:r>
            <w:r w:rsidR="008A23D8">
              <w:rPr>
                <w:sz w:val="19"/>
                <w:szCs w:val="19"/>
              </w:rPr>
              <w:t xml:space="preserve"> above a long-term annual diversion limit</w:t>
            </w:r>
          </w:p>
          <w:p w14:paraId="14024CCD" w14:textId="1AF415B4" w:rsidR="00D3080B" w:rsidRDefault="00D3080B" w:rsidP="00C72F96">
            <w:pPr>
              <w:pStyle w:val="TableText"/>
              <w:rPr>
                <w:sz w:val="19"/>
                <w:szCs w:val="19"/>
              </w:rPr>
            </w:pPr>
            <w:r>
              <w:rPr>
                <w:sz w:val="19"/>
                <w:szCs w:val="19"/>
              </w:rPr>
              <w:t>Not reporting on progress of an action plan</w:t>
            </w:r>
          </w:p>
          <w:p w14:paraId="4D118CE3" w14:textId="6565800A" w:rsidR="00D3080B" w:rsidRPr="00940B91" w:rsidRDefault="008274C8" w:rsidP="00D3080B">
            <w:pPr>
              <w:pStyle w:val="TableText"/>
              <w:rPr>
                <w:sz w:val="19"/>
                <w:szCs w:val="19"/>
              </w:rPr>
            </w:pPr>
            <w:r>
              <w:rPr>
                <w:sz w:val="19"/>
                <w:szCs w:val="19"/>
              </w:rPr>
              <w:t>Not having regard to relevant guidelines in preparing or reporting on action plans</w:t>
            </w:r>
            <w:r w:rsidR="00D3080B">
              <w:rPr>
                <w:sz w:val="19"/>
                <w:szCs w:val="19"/>
              </w:rPr>
              <w:t xml:space="preserve"> </w:t>
            </w:r>
          </w:p>
        </w:tc>
      </w:tr>
      <w:tr w:rsidR="00D51B99" w14:paraId="629ABFBB" w14:textId="77777777" w:rsidTr="00940B91">
        <w:tc>
          <w:tcPr>
            <w:tcW w:w="1978" w:type="dxa"/>
          </w:tcPr>
          <w:p w14:paraId="5B3EB39E" w14:textId="0D8707B3" w:rsidR="00D51B99" w:rsidRPr="00940B91" w:rsidRDefault="006C057A" w:rsidP="00D51B99">
            <w:pPr>
              <w:pStyle w:val="TableText"/>
              <w:rPr>
                <w:sz w:val="19"/>
                <w:szCs w:val="19"/>
              </w:rPr>
            </w:pPr>
            <w:r w:rsidRPr="00940B91">
              <w:rPr>
                <w:sz w:val="19"/>
                <w:szCs w:val="19"/>
              </w:rPr>
              <w:lastRenderedPageBreak/>
              <w:t>Water resource plan compliance</w:t>
            </w:r>
          </w:p>
        </w:tc>
        <w:tc>
          <w:tcPr>
            <w:tcW w:w="7660" w:type="dxa"/>
          </w:tcPr>
          <w:p w14:paraId="295F4DD5" w14:textId="4934D2CA" w:rsidR="00D23E72" w:rsidRPr="00940B91" w:rsidRDefault="009B22CC" w:rsidP="00D51B99">
            <w:pPr>
              <w:pStyle w:val="TableText"/>
              <w:rPr>
                <w:sz w:val="19"/>
                <w:szCs w:val="19"/>
              </w:rPr>
            </w:pPr>
            <w:r w:rsidRPr="00940B91">
              <w:rPr>
                <w:sz w:val="19"/>
                <w:szCs w:val="19"/>
              </w:rPr>
              <w:t xml:space="preserve">Contravention of </w:t>
            </w:r>
            <w:r w:rsidR="008D31E5" w:rsidRPr="00940B91">
              <w:rPr>
                <w:sz w:val="19"/>
                <w:szCs w:val="19"/>
              </w:rPr>
              <w:t xml:space="preserve">restrictive obligations set out in water resource plans (e.g., </w:t>
            </w:r>
            <w:r w:rsidR="00F979A0" w:rsidRPr="00940B91">
              <w:rPr>
                <w:sz w:val="19"/>
                <w:szCs w:val="19"/>
              </w:rPr>
              <w:t xml:space="preserve">complying with </w:t>
            </w:r>
            <w:r w:rsidR="00C000CF" w:rsidRPr="00940B91">
              <w:rPr>
                <w:sz w:val="19"/>
                <w:szCs w:val="19"/>
              </w:rPr>
              <w:t xml:space="preserve">licence </w:t>
            </w:r>
            <w:r w:rsidR="00E71201" w:rsidRPr="00940B91">
              <w:rPr>
                <w:sz w:val="19"/>
                <w:szCs w:val="19"/>
              </w:rPr>
              <w:t>conditions</w:t>
            </w:r>
            <w:r w:rsidR="00F979A0" w:rsidRPr="00940B91">
              <w:rPr>
                <w:sz w:val="19"/>
                <w:szCs w:val="19"/>
              </w:rPr>
              <w:t xml:space="preserve">, </w:t>
            </w:r>
            <w:r w:rsidR="007355EA" w:rsidRPr="00940B91">
              <w:rPr>
                <w:sz w:val="19"/>
                <w:szCs w:val="19"/>
              </w:rPr>
              <w:t xml:space="preserve">maintaining sustainable diversion limits, </w:t>
            </w:r>
            <w:r w:rsidR="00F421D9" w:rsidRPr="00940B91">
              <w:rPr>
                <w:sz w:val="19"/>
                <w:szCs w:val="19"/>
              </w:rPr>
              <w:t>no net reduction in planned environmental water, etc.)</w:t>
            </w:r>
          </w:p>
          <w:p w14:paraId="0751F498" w14:textId="0E331E67" w:rsidR="006165A9" w:rsidRPr="00940B91" w:rsidRDefault="006165A9" w:rsidP="007A3513">
            <w:pPr>
              <w:pStyle w:val="TableText"/>
              <w:rPr>
                <w:sz w:val="19"/>
                <w:szCs w:val="19"/>
              </w:rPr>
            </w:pPr>
            <w:r w:rsidRPr="00940B91">
              <w:rPr>
                <w:sz w:val="19"/>
                <w:szCs w:val="19"/>
              </w:rPr>
              <w:t>Contraventions</w:t>
            </w:r>
            <w:r w:rsidR="00D23E72" w:rsidRPr="00940B91">
              <w:rPr>
                <w:sz w:val="19"/>
                <w:szCs w:val="19"/>
              </w:rPr>
              <w:t xml:space="preserve"> of </w:t>
            </w:r>
            <w:r w:rsidR="00F421D9" w:rsidRPr="00940B91">
              <w:rPr>
                <w:sz w:val="19"/>
                <w:szCs w:val="19"/>
              </w:rPr>
              <w:t xml:space="preserve">operational requirements in </w:t>
            </w:r>
            <w:r w:rsidR="00D23E72" w:rsidRPr="00940B91">
              <w:rPr>
                <w:sz w:val="19"/>
                <w:szCs w:val="19"/>
              </w:rPr>
              <w:t xml:space="preserve">water resource </w:t>
            </w:r>
            <w:r w:rsidR="00D23E72" w:rsidRPr="00E65CD3">
              <w:rPr>
                <w:sz w:val="19"/>
                <w:szCs w:val="19"/>
              </w:rPr>
              <w:t>plan</w:t>
            </w:r>
            <w:r w:rsidR="002D328A">
              <w:rPr>
                <w:sz w:val="19"/>
                <w:szCs w:val="19"/>
              </w:rPr>
              <w:t>s</w:t>
            </w:r>
            <w:r w:rsidR="007A3513" w:rsidRPr="00940B91">
              <w:rPr>
                <w:sz w:val="19"/>
                <w:szCs w:val="19"/>
              </w:rPr>
              <w:t xml:space="preserve"> (e.g., register of held environmental water, implementing water quality management plans, </w:t>
            </w:r>
            <w:r w:rsidR="0007252A" w:rsidRPr="00940B91">
              <w:rPr>
                <w:sz w:val="19"/>
                <w:szCs w:val="19"/>
              </w:rPr>
              <w:t xml:space="preserve">implementing environmental watering plans, addressing risks to the water resources, </w:t>
            </w:r>
            <w:r w:rsidR="007A3513" w:rsidRPr="00940B91">
              <w:rPr>
                <w:sz w:val="19"/>
                <w:szCs w:val="19"/>
              </w:rPr>
              <w:t>etc.)</w:t>
            </w:r>
          </w:p>
          <w:p w14:paraId="153DEC41" w14:textId="6063F0EC" w:rsidR="007A3513" w:rsidRPr="00940B91" w:rsidRDefault="007A3513" w:rsidP="008A7C5B">
            <w:pPr>
              <w:pStyle w:val="TableText"/>
              <w:rPr>
                <w:sz w:val="19"/>
                <w:szCs w:val="19"/>
              </w:rPr>
            </w:pPr>
            <w:r w:rsidRPr="00940B91">
              <w:rPr>
                <w:sz w:val="19"/>
                <w:szCs w:val="19"/>
              </w:rPr>
              <w:t xml:space="preserve">Contraventions of </w:t>
            </w:r>
            <w:r w:rsidR="008A7C5B" w:rsidRPr="00940B91">
              <w:rPr>
                <w:sz w:val="19"/>
                <w:szCs w:val="19"/>
              </w:rPr>
              <w:t xml:space="preserve">triggered management obligations </w:t>
            </w:r>
            <w:r w:rsidR="00F03F4E">
              <w:rPr>
                <w:sz w:val="19"/>
                <w:szCs w:val="19"/>
              </w:rPr>
              <w:t xml:space="preserve">in water resource plans </w:t>
            </w:r>
            <w:r w:rsidR="008A7C5B" w:rsidRPr="00940B91">
              <w:rPr>
                <w:sz w:val="19"/>
                <w:szCs w:val="19"/>
              </w:rPr>
              <w:t xml:space="preserve">(e.g., measures to preserve critical human water needs, </w:t>
            </w:r>
            <w:r w:rsidR="000D3DB3" w:rsidRPr="00940B91">
              <w:rPr>
                <w:sz w:val="19"/>
                <w:szCs w:val="19"/>
              </w:rPr>
              <w:t xml:space="preserve">planning for extreme events, protection of Indigenous values and Indigenous uses, </w:t>
            </w:r>
            <w:r w:rsidR="008A7C5B" w:rsidRPr="00940B91">
              <w:rPr>
                <w:sz w:val="19"/>
                <w:szCs w:val="19"/>
              </w:rPr>
              <w:t>etc.)</w:t>
            </w:r>
          </w:p>
          <w:p w14:paraId="0F7DA7CB" w14:textId="709F9837" w:rsidR="00D23E72" w:rsidRPr="00940B91" w:rsidRDefault="00801FBE" w:rsidP="00D51B99">
            <w:pPr>
              <w:pStyle w:val="TableText"/>
              <w:rPr>
                <w:sz w:val="19"/>
                <w:szCs w:val="19"/>
              </w:rPr>
            </w:pPr>
            <w:r w:rsidRPr="00940B91">
              <w:rPr>
                <w:sz w:val="19"/>
                <w:szCs w:val="19"/>
              </w:rPr>
              <w:t xml:space="preserve">Outcomes inconsistent with the </w:t>
            </w:r>
            <w:r w:rsidR="00BF609B" w:rsidRPr="00940B91">
              <w:rPr>
                <w:sz w:val="19"/>
                <w:szCs w:val="19"/>
              </w:rPr>
              <w:t xml:space="preserve">intention for </w:t>
            </w:r>
            <w:r w:rsidRPr="00940B91">
              <w:rPr>
                <w:sz w:val="19"/>
                <w:szCs w:val="19"/>
              </w:rPr>
              <w:t xml:space="preserve">water resource plans </w:t>
            </w:r>
            <w:r w:rsidR="00BF609B" w:rsidRPr="00940B91">
              <w:rPr>
                <w:sz w:val="19"/>
                <w:szCs w:val="19"/>
              </w:rPr>
              <w:t>to give effect to the Basin Plan</w:t>
            </w:r>
          </w:p>
        </w:tc>
      </w:tr>
      <w:tr w:rsidR="00D51B99" w14:paraId="3C6EDA54" w14:textId="77777777" w:rsidTr="00940B91">
        <w:tc>
          <w:tcPr>
            <w:tcW w:w="1978" w:type="dxa"/>
          </w:tcPr>
          <w:p w14:paraId="65BA507C" w14:textId="27CE971F" w:rsidR="00D51B99" w:rsidRPr="00940B91" w:rsidRDefault="006C057A" w:rsidP="00D51B99">
            <w:pPr>
              <w:pStyle w:val="TableText"/>
              <w:rPr>
                <w:sz w:val="19"/>
                <w:szCs w:val="19"/>
              </w:rPr>
            </w:pPr>
            <w:r w:rsidRPr="00940B91">
              <w:rPr>
                <w:sz w:val="19"/>
                <w:szCs w:val="19"/>
              </w:rPr>
              <w:t>Water trading rules</w:t>
            </w:r>
          </w:p>
        </w:tc>
        <w:tc>
          <w:tcPr>
            <w:tcW w:w="7660" w:type="dxa"/>
          </w:tcPr>
          <w:p w14:paraId="7BBEE39B" w14:textId="77777777" w:rsidR="00D51B99" w:rsidRPr="00940B91" w:rsidRDefault="009D3732" w:rsidP="00D51B99">
            <w:pPr>
              <w:pStyle w:val="TableText"/>
              <w:rPr>
                <w:sz w:val="19"/>
                <w:szCs w:val="19"/>
              </w:rPr>
            </w:pPr>
            <w:r w:rsidRPr="00940B91">
              <w:rPr>
                <w:sz w:val="19"/>
                <w:szCs w:val="19"/>
              </w:rPr>
              <w:t>Restrictions are placed on trades</w:t>
            </w:r>
            <w:r w:rsidR="002F51CE" w:rsidRPr="00940B91">
              <w:rPr>
                <w:sz w:val="19"/>
                <w:szCs w:val="19"/>
              </w:rPr>
              <w:t xml:space="preserve"> inconsistently with the Basin Plan</w:t>
            </w:r>
          </w:p>
          <w:p w14:paraId="459C5E3F" w14:textId="77777777" w:rsidR="00D91977" w:rsidRPr="00940B91" w:rsidRDefault="005F5CEB" w:rsidP="00D51B99">
            <w:pPr>
              <w:pStyle w:val="TableText"/>
              <w:rPr>
                <w:sz w:val="19"/>
                <w:szCs w:val="19"/>
              </w:rPr>
            </w:pPr>
            <w:r w:rsidRPr="00940B91">
              <w:rPr>
                <w:sz w:val="19"/>
                <w:szCs w:val="19"/>
              </w:rPr>
              <w:t>Information is not provided about water delivery rights and irrigations rights</w:t>
            </w:r>
          </w:p>
          <w:p w14:paraId="27FD7CF5" w14:textId="77777777" w:rsidR="005F5CEB" w:rsidRPr="00940B91" w:rsidRDefault="00F43C3B" w:rsidP="00D51B99">
            <w:pPr>
              <w:pStyle w:val="TableText"/>
              <w:rPr>
                <w:sz w:val="19"/>
                <w:szCs w:val="19"/>
              </w:rPr>
            </w:pPr>
            <w:r w:rsidRPr="00940B91">
              <w:rPr>
                <w:sz w:val="19"/>
                <w:szCs w:val="19"/>
              </w:rPr>
              <w:t>Trade approval authorities do not disclose interests in a trade</w:t>
            </w:r>
          </w:p>
          <w:p w14:paraId="37AE7FF0" w14:textId="16C18E49" w:rsidR="0086264A" w:rsidRPr="00940B91" w:rsidRDefault="002F416A" w:rsidP="00CB1158">
            <w:pPr>
              <w:pStyle w:val="TableText"/>
              <w:rPr>
                <w:sz w:val="19"/>
                <w:szCs w:val="19"/>
              </w:rPr>
            </w:pPr>
            <w:r w:rsidRPr="00940B91">
              <w:rPr>
                <w:sz w:val="19"/>
                <w:szCs w:val="19"/>
              </w:rPr>
              <w:t xml:space="preserve">Information about water access rights is not </w:t>
            </w:r>
            <w:r w:rsidR="00EB58EC" w:rsidRPr="00940B91">
              <w:rPr>
                <w:sz w:val="19"/>
                <w:szCs w:val="19"/>
              </w:rPr>
              <w:t>provided</w:t>
            </w:r>
            <w:r w:rsidR="00B45864" w:rsidRPr="00940B91">
              <w:rPr>
                <w:sz w:val="19"/>
                <w:szCs w:val="19"/>
              </w:rPr>
              <w:t>,</w:t>
            </w:r>
            <w:r w:rsidR="00EB58EC" w:rsidRPr="00940B91">
              <w:rPr>
                <w:sz w:val="19"/>
                <w:szCs w:val="19"/>
              </w:rPr>
              <w:t xml:space="preserve"> is inadequate</w:t>
            </w:r>
            <w:r w:rsidR="00B45864" w:rsidRPr="00940B91">
              <w:rPr>
                <w:sz w:val="19"/>
                <w:szCs w:val="19"/>
              </w:rPr>
              <w:t xml:space="preserve"> or is not managed in accordance with the Basin Plan</w:t>
            </w:r>
          </w:p>
        </w:tc>
      </w:tr>
      <w:tr w:rsidR="00CB1158" w:rsidRPr="004F73D9" w14:paraId="779E9A05" w14:textId="77777777" w:rsidTr="00940B91">
        <w:tc>
          <w:tcPr>
            <w:tcW w:w="1978" w:type="dxa"/>
          </w:tcPr>
          <w:p w14:paraId="4F16FF93" w14:textId="04D2D96F" w:rsidR="00CB1158" w:rsidRPr="004F73D9" w:rsidRDefault="00CB1158" w:rsidP="00D51B99">
            <w:pPr>
              <w:pStyle w:val="TableText"/>
              <w:rPr>
                <w:sz w:val="19"/>
                <w:szCs w:val="19"/>
              </w:rPr>
            </w:pPr>
            <w:r w:rsidRPr="004F73D9">
              <w:rPr>
                <w:sz w:val="19"/>
                <w:szCs w:val="19"/>
              </w:rPr>
              <w:t>Water market information</w:t>
            </w:r>
          </w:p>
        </w:tc>
        <w:tc>
          <w:tcPr>
            <w:tcW w:w="7660" w:type="dxa"/>
          </w:tcPr>
          <w:p w14:paraId="4107E3C2" w14:textId="05F5BCB5" w:rsidR="00D96DC8" w:rsidRPr="004F73D9" w:rsidRDefault="00124A5D" w:rsidP="00D51B99">
            <w:pPr>
              <w:pStyle w:val="TableText"/>
              <w:rPr>
                <w:sz w:val="19"/>
                <w:szCs w:val="19"/>
              </w:rPr>
            </w:pPr>
            <w:r w:rsidRPr="004F73D9">
              <w:rPr>
                <w:sz w:val="19"/>
                <w:szCs w:val="19"/>
              </w:rPr>
              <w:t>Failure to provide information to the Bureau of Meteorology when directed by the Director of the Bureau</w:t>
            </w:r>
          </w:p>
          <w:p w14:paraId="2656D9D5" w14:textId="46B55416" w:rsidR="007C2A67" w:rsidRDefault="00E73D7A" w:rsidP="00094DD3">
            <w:pPr>
              <w:pStyle w:val="TableText"/>
              <w:rPr>
                <w:sz w:val="19"/>
                <w:szCs w:val="19"/>
              </w:rPr>
            </w:pPr>
            <w:r>
              <w:rPr>
                <w:sz w:val="19"/>
                <w:szCs w:val="19"/>
              </w:rPr>
              <w:t>Failure to report information required on a water trade application form comprehensively and accurately</w:t>
            </w:r>
          </w:p>
          <w:p w14:paraId="40577E8C" w14:textId="23C5F2DF" w:rsidR="00062CD8" w:rsidRPr="004F73D9" w:rsidRDefault="00E73D7A" w:rsidP="00094DD3">
            <w:pPr>
              <w:pStyle w:val="TableText"/>
              <w:rPr>
                <w:sz w:val="19"/>
                <w:szCs w:val="19"/>
              </w:rPr>
            </w:pPr>
            <w:r>
              <w:rPr>
                <w:sz w:val="19"/>
                <w:szCs w:val="19"/>
              </w:rPr>
              <w:t xml:space="preserve">Failure to </w:t>
            </w:r>
            <w:r w:rsidR="00DF5977">
              <w:rPr>
                <w:sz w:val="19"/>
                <w:szCs w:val="19"/>
              </w:rPr>
              <w:t xml:space="preserve">keep </w:t>
            </w:r>
            <w:r w:rsidR="00AE7ABE">
              <w:rPr>
                <w:sz w:val="19"/>
                <w:szCs w:val="19"/>
              </w:rPr>
              <w:t xml:space="preserve">records </w:t>
            </w:r>
            <w:r w:rsidR="006F5763">
              <w:rPr>
                <w:sz w:val="19"/>
                <w:szCs w:val="19"/>
              </w:rPr>
              <w:t xml:space="preserve">for five years </w:t>
            </w:r>
            <w:r w:rsidR="00AE7ABE">
              <w:rPr>
                <w:sz w:val="19"/>
                <w:szCs w:val="19"/>
              </w:rPr>
              <w:t xml:space="preserve">to </w:t>
            </w:r>
            <w:r w:rsidR="007D44C2">
              <w:rPr>
                <w:sz w:val="19"/>
                <w:szCs w:val="19"/>
              </w:rPr>
              <w:t>support the reason for trade and price</w:t>
            </w:r>
          </w:p>
        </w:tc>
      </w:tr>
      <w:tr w:rsidR="00D51B99" w14:paraId="3D830230" w14:textId="77777777" w:rsidTr="00940B91">
        <w:tc>
          <w:tcPr>
            <w:tcW w:w="1978" w:type="dxa"/>
          </w:tcPr>
          <w:p w14:paraId="03BA8E94" w14:textId="1F635B45" w:rsidR="00D51B99" w:rsidRPr="00940B91" w:rsidRDefault="006A2A2C" w:rsidP="00D51B99">
            <w:pPr>
              <w:pStyle w:val="TableText"/>
              <w:rPr>
                <w:sz w:val="19"/>
                <w:szCs w:val="19"/>
              </w:rPr>
            </w:pPr>
            <w:r w:rsidRPr="00940B91">
              <w:rPr>
                <w:sz w:val="19"/>
                <w:szCs w:val="19"/>
              </w:rPr>
              <w:t>Water theft</w:t>
            </w:r>
          </w:p>
        </w:tc>
        <w:tc>
          <w:tcPr>
            <w:tcW w:w="7660" w:type="dxa"/>
          </w:tcPr>
          <w:p w14:paraId="425935B5" w14:textId="536D5E4D" w:rsidR="00D51B99" w:rsidRPr="00940B91" w:rsidRDefault="00421231" w:rsidP="00D51B99">
            <w:pPr>
              <w:pStyle w:val="TableText"/>
              <w:rPr>
                <w:sz w:val="19"/>
                <w:szCs w:val="19"/>
              </w:rPr>
            </w:pPr>
            <w:r w:rsidRPr="00940B91">
              <w:rPr>
                <w:sz w:val="19"/>
                <w:szCs w:val="19"/>
              </w:rPr>
              <w:t>S</w:t>
            </w:r>
            <w:r w:rsidR="009670F9" w:rsidRPr="00940B91">
              <w:rPr>
                <w:sz w:val="19"/>
                <w:szCs w:val="19"/>
              </w:rPr>
              <w:t xml:space="preserve">ystemic failure in enforcement of </w:t>
            </w:r>
            <w:r w:rsidRPr="00940B91">
              <w:rPr>
                <w:sz w:val="19"/>
                <w:szCs w:val="19"/>
              </w:rPr>
              <w:t xml:space="preserve">individual </w:t>
            </w:r>
            <w:r w:rsidR="009670F9" w:rsidRPr="00940B91">
              <w:rPr>
                <w:sz w:val="19"/>
                <w:szCs w:val="19"/>
              </w:rPr>
              <w:t>water</w:t>
            </w:r>
            <w:r w:rsidR="00B3360C" w:rsidRPr="00940B91">
              <w:rPr>
                <w:sz w:val="19"/>
                <w:szCs w:val="19"/>
              </w:rPr>
              <w:t xml:space="preserve"> </w:t>
            </w:r>
            <w:proofErr w:type="gramStart"/>
            <w:r w:rsidR="00B3360C" w:rsidRPr="00940B91">
              <w:rPr>
                <w:sz w:val="19"/>
                <w:szCs w:val="19"/>
              </w:rPr>
              <w:t>take</w:t>
            </w:r>
            <w:proofErr w:type="gramEnd"/>
            <w:r w:rsidR="009670F9" w:rsidRPr="00940B91">
              <w:rPr>
                <w:sz w:val="19"/>
                <w:szCs w:val="19"/>
              </w:rPr>
              <w:t xml:space="preserve"> laws</w:t>
            </w:r>
            <w:r w:rsidR="00B3360C" w:rsidRPr="00940B91">
              <w:rPr>
                <w:sz w:val="19"/>
                <w:szCs w:val="19"/>
              </w:rPr>
              <w:t xml:space="preserve"> by a Basin state or territory</w:t>
            </w:r>
          </w:p>
          <w:p w14:paraId="3A0A76F6" w14:textId="03C43E24" w:rsidR="009670F9" w:rsidRPr="00940B91" w:rsidRDefault="00105DC2" w:rsidP="00D51B99">
            <w:pPr>
              <w:pStyle w:val="TableText"/>
              <w:rPr>
                <w:sz w:val="19"/>
                <w:szCs w:val="19"/>
              </w:rPr>
            </w:pPr>
            <w:r w:rsidRPr="00940B91">
              <w:rPr>
                <w:sz w:val="19"/>
                <w:szCs w:val="19"/>
              </w:rPr>
              <w:t xml:space="preserve">Delivery issues around </w:t>
            </w:r>
            <w:r w:rsidR="00B3360C" w:rsidRPr="00940B91">
              <w:rPr>
                <w:sz w:val="19"/>
                <w:szCs w:val="19"/>
              </w:rPr>
              <w:t xml:space="preserve">relevant </w:t>
            </w:r>
            <w:r w:rsidR="009670F9" w:rsidRPr="00940B91">
              <w:rPr>
                <w:sz w:val="19"/>
                <w:szCs w:val="19"/>
              </w:rPr>
              <w:t xml:space="preserve">commitments in </w:t>
            </w:r>
            <w:r w:rsidR="00EF61A6" w:rsidRPr="00940B91">
              <w:rPr>
                <w:i/>
                <w:iCs/>
                <w:sz w:val="19"/>
                <w:szCs w:val="19"/>
              </w:rPr>
              <w:t>Murray</w:t>
            </w:r>
            <w:r w:rsidR="00F5717B" w:rsidRPr="00940B91">
              <w:rPr>
                <w:i/>
                <w:iCs/>
                <w:sz w:val="19"/>
                <w:szCs w:val="19"/>
              </w:rPr>
              <w:t>–</w:t>
            </w:r>
            <w:r w:rsidR="00EF61A6" w:rsidRPr="00940B91">
              <w:rPr>
                <w:i/>
                <w:iCs/>
                <w:sz w:val="19"/>
                <w:szCs w:val="19"/>
              </w:rPr>
              <w:t>Darling Basin Compliance Compact 2018</w:t>
            </w:r>
            <w:r w:rsidR="00831850" w:rsidRPr="00940B91">
              <w:rPr>
                <w:i/>
                <w:iCs/>
                <w:sz w:val="19"/>
                <w:szCs w:val="19"/>
              </w:rPr>
              <w:t xml:space="preserve"> </w:t>
            </w:r>
            <w:r w:rsidR="00831850" w:rsidRPr="00940B91">
              <w:rPr>
                <w:sz w:val="19"/>
                <w:szCs w:val="19"/>
              </w:rPr>
              <w:t>or other relevant intergovernmental agreement</w:t>
            </w:r>
          </w:p>
          <w:p w14:paraId="06B14B27" w14:textId="3764D32D" w:rsidR="00EC5E3C" w:rsidRPr="00940B91" w:rsidRDefault="00ED4B6E" w:rsidP="00D51B99">
            <w:pPr>
              <w:pStyle w:val="TableText"/>
              <w:rPr>
                <w:sz w:val="19"/>
                <w:szCs w:val="19"/>
              </w:rPr>
            </w:pPr>
            <w:r w:rsidRPr="00940B91">
              <w:rPr>
                <w:sz w:val="19"/>
                <w:szCs w:val="19"/>
              </w:rPr>
              <w:t xml:space="preserve">Information is not </w:t>
            </w:r>
            <w:r w:rsidR="00950CBD" w:rsidRPr="00940B91">
              <w:rPr>
                <w:sz w:val="19"/>
                <w:szCs w:val="19"/>
              </w:rPr>
              <w:t>provide</w:t>
            </w:r>
            <w:r w:rsidRPr="00940B91">
              <w:rPr>
                <w:sz w:val="19"/>
                <w:szCs w:val="19"/>
              </w:rPr>
              <w:t>d</w:t>
            </w:r>
            <w:r w:rsidR="00950CBD" w:rsidRPr="00940B91">
              <w:rPr>
                <w:sz w:val="19"/>
                <w:szCs w:val="19"/>
              </w:rPr>
              <w:t xml:space="preserve"> </w:t>
            </w:r>
            <w:r w:rsidRPr="00940B91">
              <w:rPr>
                <w:sz w:val="19"/>
                <w:szCs w:val="19"/>
              </w:rPr>
              <w:t xml:space="preserve">to </w:t>
            </w:r>
            <w:r w:rsidR="00950CBD" w:rsidRPr="00940B91">
              <w:rPr>
                <w:sz w:val="19"/>
                <w:szCs w:val="19"/>
              </w:rPr>
              <w:t>the Inspector-General to monitor relevant performance</w:t>
            </w:r>
          </w:p>
          <w:p w14:paraId="26FC70E0" w14:textId="284BF881" w:rsidR="00DD0238" w:rsidRPr="00940B91" w:rsidRDefault="00A24A33" w:rsidP="00D51B99">
            <w:pPr>
              <w:pStyle w:val="TableText"/>
              <w:rPr>
                <w:sz w:val="19"/>
                <w:szCs w:val="19"/>
              </w:rPr>
            </w:pPr>
            <w:r w:rsidRPr="00940B91">
              <w:rPr>
                <w:sz w:val="19"/>
                <w:szCs w:val="19"/>
              </w:rPr>
              <w:t>Where water t</w:t>
            </w:r>
            <w:r w:rsidR="00DD0238" w:rsidRPr="00940B91">
              <w:rPr>
                <w:sz w:val="19"/>
                <w:szCs w:val="19"/>
              </w:rPr>
              <w:t>heft affects the management of Basin water resources in other jurisdictions</w:t>
            </w:r>
            <w:r w:rsidRPr="00940B91">
              <w:rPr>
                <w:sz w:val="19"/>
                <w:szCs w:val="19"/>
              </w:rPr>
              <w:t xml:space="preserve"> and/ or </w:t>
            </w:r>
            <w:proofErr w:type="gramStart"/>
            <w:r w:rsidR="00657D45" w:rsidRPr="00940B91">
              <w:rPr>
                <w:sz w:val="19"/>
                <w:szCs w:val="19"/>
              </w:rPr>
              <w:t>w</w:t>
            </w:r>
            <w:r w:rsidR="00DD0238" w:rsidRPr="00940B91">
              <w:rPr>
                <w:sz w:val="19"/>
                <w:szCs w:val="19"/>
              </w:rPr>
              <w:t>here</w:t>
            </w:r>
            <w:proofErr w:type="gramEnd"/>
            <w:r w:rsidR="00DD0238" w:rsidRPr="00940B91">
              <w:rPr>
                <w:sz w:val="19"/>
                <w:szCs w:val="19"/>
              </w:rPr>
              <w:t xml:space="preserve"> requested by relevant Basin State(s)</w:t>
            </w:r>
          </w:p>
        </w:tc>
      </w:tr>
      <w:tr w:rsidR="00D51B99" w14:paraId="2BC417F4" w14:textId="77777777" w:rsidTr="00940B91">
        <w:tc>
          <w:tcPr>
            <w:tcW w:w="1978" w:type="dxa"/>
          </w:tcPr>
          <w:p w14:paraId="65F7C9D8" w14:textId="0B8878A2" w:rsidR="00D51B99" w:rsidRPr="00940B91" w:rsidRDefault="006A2A2C" w:rsidP="00D51B99">
            <w:pPr>
              <w:pStyle w:val="TableText"/>
              <w:rPr>
                <w:sz w:val="19"/>
                <w:szCs w:val="19"/>
              </w:rPr>
            </w:pPr>
            <w:r w:rsidRPr="00940B91">
              <w:rPr>
                <w:sz w:val="19"/>
                <w:szCs w:val="19"/>
              </w:rPr>
              <w:t>Commitments in intergovernmental agreements</w:t>
            </w:r>
          </w:p>
        </w:tc>
        <w:tc>
          <w:tcPr>
            <w:tcW w:w="7660" w:type="dxa"/>
          </w:tcPr>
          <w:p w14:paraId="1EE4F88B" w14:textId="42104C54" w:rsidR="00D51B99" w:rsidRPr="00940B91" w:rsidRDefault="002B5922" w:rsidP="00D51B99">
            <w:pPr>
              <w:pStyle w:val="TableText"/>
              <w:rPr>
                <w:sz w:val="19"/>
                <w:szCs w:val="19"/>
              </w:rPr>
            </w:pPr>
            <w:r w:rsidRPr="00940B91">
              <w:rPr>
                <w:sz w:val="19"/>
                <w:szCs w:val="19"/>
              </w:rPr>
              <w:t xml:space="preserve">Challenges in the </w:t>
            </w:r>
            <w:r w:rsidR="007620DF" w:rsidRPr="00940B91">
              <w:rPr>
                <w:sz w:val="19"/>
                <w:szCs w:val="19"/>
              </w:rPr>
              <w:t>implement</w:t>
            </w:r>
            <w:r w:rsidRPr="00940B91">
              <w:rPr>
                <w:sz w:val="19"/>
                <w:szCs w:val="19"/>
              </w:rPr>
              <w:t>ation of</w:t>
            </w:r>
            <w:r w:rsidR="007620DF" w:rsidRPr="00940B91">
              <w:rPr>
                <w:sz w:val="19"/>
                <w:szCs w:val="19"/>
              </w:rPr>
              <w:t xml:space="preserve"> commitments set out in intergovernmental agreements</w:t>
            </w:r>
          </w:p>
          <w:p w14:paraId="27362AAA" w14:textId="398778B1" w:rsidR="007620DF" w:rsidRPr="00940B91" w:rsidRDefault="00A826F8" w:rsidP="00D51B99">
            <w:pPr>
              <w:pStyle w:val="TableText"/>
              <w:rPr>
                <w:sz w:val="19"/>
                <w:szCs w:val="19"/>
              </w:rPr>
            </w:pPr>
            <w:r w:rsidRPr="00940B91">
              <w:rPr>
                <w:sz w:val="19"/>
                <w:szCs w:val="19"/>
              </w:rPr>
              <w:t xml:space="preserve">Risks </w:t>
            </w:r>
            <w:r w:rsidR="007620DF" w:rsidRPr="00940B91">
              <w:rPr>
                <w:sz w:val="19"/>
                <w:szCs w:val="19"/>
              </w:rPr>
              <w:t xml:space="preserve">to </w:t>
            </w:r>
            <w:r w:rsidR="00ED4B6E" w:rsidRPr="00940B91">
              <w:rPr>
                <w:sz w:val="19"/>
                <w:szCs w:val="19"/>
              </w:rPr>
              <w:t xml:space="preserve">giving </w:t>
            </w:r>
            <w:r w:rsidR="007620DF" w:rsidRPr="00940B91">
              <w:rPr>
                <w:sz w:val="19"/>
                <w:szCs w:val="19"/>
              </w:rPr>
              <w:t xml:space="preserve">effect to </w:t>
            </w:r>
            <w:r w:rsidR="002F21A0" w:rsidRPr="00940B91">
              <w:rPr>
                <w:sz w:val="19"/>
                <w:szCs w:val="19"/>
              </w:rPr>
              <w:t>intent of intergovernmental agreements</w:t>
            </w:r>
          </w:p>
          <w:p w14:paraId="5E81E547" w14:textId="71E79094" w:rsidR="000D5DC7" w:rsidRPr="00940B91" w:rsidRDefault="00B35C95" w:rsidP="00D51B99">
            <w:pPr>
              <w:pStyle w:val="TableText"/>
              <w:rPr>
                <w:sz w:val="19"/>
                <w:szCs w:val="19"/>
              </w:rPr>
            </w:pPr>
            <w:r w:rsidRPr="00940B91">
              <w:rPr>
                <w:sz w:val="19"/>
                <w:szCs w:val="19"/>
              </w:rPr>
              <w:t>Lack of progress that would be likely to materially compromise the implementation of relevant commitments</w:t>
            </w:r>
            <w:r w:rsidR="00DB601D" w:rsidRPr="00940B91">
              <w:rPr>
                <w:sz w:val="19"/>
                <w:szCs w:val="19"/>
              </w:rPr>
              <w:t xml:space="preserve"> </w:t>
            </w:r>
            <w:r w:rsidR="00665AD6" w:rsidRPr="00940B91">
              <w:rPr>
                <w:sz w:val="19"/>
                <w:szCs w:val="19"/>
              </w:rPr>
              <w:t>within the agreed timeframes</w:t>
            </w:r>
          </w:p>
          <w:p w14:paraId="713BB36C" w14:textId="1D2DE257" w:rsidR="006B7201" w:rsidRPr="00940B91" w:rsidRDefault="006A5D52" w:rsidP="006B7201">
            <w:pPr>
              <w:pStyle w:val="TableText"/>
              <w:rPr>
                <w:sz w:val="19"/>
                <w:szCs w:val="19"/>
              </w:rPr>
            </w:pPr>
            <w:r w:rsidRPr="00940B91">
              <w:rPr>
                <w:sz w:val="19"/>
                <w:szCs w:val="19"/>
              </w:rPr>
              <w:t xml:space="preserve">Information on implementation of commitments is not provided to </w:t>
            </w:r>
            <w:r w:rsidR="006B7201" w:rsidRPr="00940B91">
              <w:rPr>
                <w:sz w:val="19"/>
                <w:szCs w:val="19"/>
              </w:rPr>
              <w:t>the Inspector-General to monitor relevant performance</w:t>
            </w:r>
          </w:p>
          <w:p w14:paraId="6E075E93" w14:textId="0450D463" w:rsidR="00B35C95" w:rsidRPr="00940B91" w:rsidRDefault="004D7D55" w:rsidP="00D51B99">
            <w:pPr>
              <w:pStyle w:val="TableText"/>
              <w:rPr>
                <w:sz w:val="19"/>
                <w:szCs w:val="19"/>
              </w:rPr>
            </w:pPr>
            <w:r w:rsidRPr="00940B91">
              <w:rPr>
                <w:sz w:val="19"/>
                <w:szCs w:val="19"/>
              </w:rPr>
              <w:t xml:space="preserve">Lack of robust </w:t>
            </w:r>
            <w:r w:rsidR="00452778" w:rsidRPr="00940B91">
              <w:rPr>
                <w:sz w:val="19"/>
                <w:szCs w:val="19"/>
              </w:rPr>
              <w:t xml:space="preserve">records </w:t>
            </w:r>
            <w:r w:rsidR="004B2165" w:rsidRPr="00940B91">
              <w:rPr>
                <w:sz w:val="19"/>
                <w:szCs w:val="19"/>
              </w:rPr>
              <w:t xml:space="preserve">of decisions underpinned by </w:t>
            </w:r>
            <w:r w:rsidR="004166DE" w:rsidRPr="00940B91">
              <w:rPr>
                <w:sz w:val="19"/>
                <w:szCs w:val="19"/>
              </w:rPr>
              <w:t xml:space="preserve">Commonwealth </w:t>
            </w:r>
            <w:r w:rsidR="004B2165" w:rsidRPr="00940B91">
              <w:rPr>
                <w:sz w:val="19"/>
                <w:szCs w:val="19"/>
              </w:rPr>
              <w:t>funding</w:t>
            </w:r>
          </w:p>
        </w:tc>
      </w:tr>
      <w:tr w:rsidR="005D006A" w14:paraId="33726EBF" w14:textId="77777777" w:rsidTr="005D006A">
        <w:tc>
          <w:tcPr>
            <w:tcW w:w="1978" w:type="dxa"/>
          </w:tcPr>
          <w:p w14:paraId="0705DA66" w14:textId="77777777" w:rsidR="005D006A" w:rsidRPr="001D4CB3" w:rsidRDefault="005D006A" w:rsidP="00F60038">
            <w:pPr>
              <w:pStyle w:val="TableText"/>
              <w:keepNext/>
              <w:rPr>
                <w:sz w:val="19"/>
                <w:szCs w:val="19"/>
              </w:rPr>
            </w:pPr>
            <w:r w:rsidRPr="001D4CB3">
              <w:rPr>
                <w:sz w:val="19"/>
                <w:szCs w:val="19"/>
              </w:rPr>
              <w:lastRenderedPageBreak/>
              <w:t>Commonwealth agency decisions</w:t>
            </w:r>
          </w:p>
        </w:tc>
        <w:tc>
          <w:tcPr>
            <w:tcW w:w="7660" w:type="dxa"/>
          </w:tcPr>
          <w:p w14:paraId="069820AC" w14:textId="77777777" w:rsidR="005D006A" w:rsidRPr="001D4CB3" w:rsidRDefault="005D006A" w:rsidP="00F60038">
            <w:pPr>
              <w:pStyle w:val="TableText"/>
              <w:keepNext/>
              <w:rPr>
                <w:sz w:val="19"/>
                <w:szCs w:val="19"/>
              </w:rPr>
            </w:pPr>
            <w:r w:rsidRPr="001D4CB3">
              <w:rPr>
                <w:sz w:val="19"/>
                <w:szCs w:val="19"/>
              </w:rPr>
              <w:t>Significant risks to delivering the intended outcomes of the national framework</w:t>
            </w:r>
          </w:p>
          <w:p w14:paraId="152A2102" w14:textId="77777777" w:rsidR="005D006A" w:rsidRPr="001D4CB3" w:rsidRDefault="005D006A" w:rsidP="00F60038">
            <w:pPr>
              <w:pStyle w:val="TableText"/>
              <w:keepNext/>
              <w:rPr>
                <w:sz w:val="19"/>
                <w:szCs w:val="19"/>
              </w:rPr>
            </w:pPr>
            <w:r w:rsidRPr="001D4CB3">
              <w:rPr>
                <w:sz w:val="19"/>
                <w:szCs w:val="19"/>
              </w:rPr>
              <w:t>Exercising powers in a way that detrimentally affects the effectiveness of the national framework</w:t>
            </w:r>
          </w:p>
          <w:p w14:paraId="0C40F7E3" w14:textId="77777777" w:rsidR="005D006A" w:rsidRPr="001D4CB3" w:rsidRDefault="005D006A" w:rsidP="00F60038">
            <w:pPr>
              <w:pStyle w:val="TableText"/>
              <w:keepNext/>
              <w:rPr>
                <w:sz w:val="19"/>
                <w:szCs w:val="19"/>
              </w:rPr>
            </w:pPr>
            <w:r w:rsidRPr="001D4CB3">
              <w:rPr>
                <w:sz w:val="19"/>
                <w:szCs w:val="19"/>
              </w:rPr>
              <w:t>Lack of robustness in the information provided on decision–making</w:t>
            </w:r>
          </w:p>
        </w:tc>
      </w:tr>
      <w:tr w:rsidR="005D006A" w14:paraId="2873FFCA" w14:textId="77777777" w:rsidTr="005D006A">
        <w:tc>
          <w:tcPr>
            <w:tcW w:w="1978" w:type="dxa"/>
          </w:tcPr>
          <w:p w14:paraId="480F6077" w14:textId="77777777" w:rsidR="005D006A" w:rsidRPr="001D4CB3" w:rsidRDefault="005D006A">
            <w:pPr>
              <w:pStyle w:val="TableText"/>
              <w:rPr>
                <w:sz w:val="19"/>
                <w:szCs w:val="19"/>
              </w:rPr>
            </w:pPr>
            <w:r w:rsidRPr="001D4CB3">
              <w:rPr>
                <w:sz w:val="19"/>
                <w:szCs w:val="19"/>
              </w:rPr>
              <w:t xml:space="preserve">Engaging with Australian communities </w:t>
            </w:r>
          </w:p>
        </w:tc>
        <w:tc>
          <w:tcPr>
            <w:tcW w:w="7660" w:type="dxa"/>
          </w:tcPr>
          <w:p w14:paraId="10F48F39" w14:textId="6C86E7E6" w:rsidR="005D006A" w:rsidRPr="001D4CB3" w:rsidRDefault="005D006A">
            <w:pPr>
              <w:pStyle w:val="TableText"/>
              <w:rPr>
                <w:sz w:val="19"/>
                <w:szCs w:val="19"/>
              </w:rPr>
            </w:pPr>
            <w:r w:rsidRPr="001D4CB3">
              <w:rPr>
                <w:sz w:val="19"/>
                <w:szCs w:val="19"/>
              </w:rPr>
              <w:t>Lack of</w:t>
            </w:r>
            <w:r w:rsidR="006A3800">
              <w:rPr>
                <w:sz w:val="19"/>
                <w:szCs w:val="19"/>
              </w:rPr>
              <w:t xml:space="preserve"> cohesive</w:t>
            </w:r>
            <w:r w:rsidR="00F94189">
              <w:rPr>
                <w:sz w:val="19"/>
                <w:szCs w:val="19"/>
              </w:rPr>
              <w:t xml:space="preserve"> and accurate</w:t>
            </w:r>
            <w:r w:rsidRPr="001D4CB3">
              <w:rPr>
                <w:sz w:val="19"/>
                <w:szCs w:val="19"/>
              </w:rPr>
              <w:t xml:space="preserve"> information on the outcomes from the management of Basin water resources under the national frameworks</w:t>
            </w:r>
          </w:p>
          <w:p w14:paraId="112736F5" w14:textId="18E1CB34" w:rsidR="005D006A" w:rsidRPr="001D4CB3" w:rsidRDefault="005D006A">
            <w:pPr>
              <w:pStyle w:val="TableText"/>
              <w:rPr>
                <w:sz w:val="19"/>
                <w:szCs w:val="19"/>
              </w:rPr>
            </w:pPr>
            <w:r w:rsidRPr="001D4CB3">
              <w:rPr>
                <w:sz w:val="19"/>
                <w:szCs w:val="19"/>
              </w:rPr>
              <w:t xml:space="preserve">Lack of access to Basin-wide information on the outcomes from the management of Basin water resources under the national frameworks </w:t>
            </w:r>
          </w:p>
        </w:tc>
      </w:tr>
      <w:tr w:rsidR="00D51B99" w14:paraId="72CA80CE" w14:textId="77777777" w:rsidTr="00940B91">
        <w:tc>
          <w:tcPr>
            <w:tcW w:w="1978" w:type="dxa"/>
          </w:tcPr>
          <w:p w14:paraId="1CD7AA82" w14:textId="4D0A7B01" w:rsidR="00D51B99" w:rsidRPr="00940B91" w:rsidRDefault="00F3260B" w:rsidP="00D51B99">
            <w:pPr>
              <w:pStyle w:val="TableText"/>
              <w:rPr>
                <w:sz w:val="19"/>
                <w:szCs w:val="19"/>
              </w:rPr>
            </w:pPr>
            <w:r w:rsidRPr="00940B91">
              <w:rPr>
                <w:sz w:val="19"/>
                <w:szCs w:val="19"/>
              </w:rPr>
              <w:t>Compliance with Part 2 of Water Act (management of Basin water resources)</w:t>
            </w:r>
          </w:p>
        </w:tc>
        <w:tc>
          <w:tcPr>
            <w:tcW w:w="7660" w:type="dxa"/>
          </w:tcPr>
          <w:p w14:paraId="626206B7" w14:textId="3447F618" w:rsidR="00D51B99" w:rsidRPr="00940B91" w:rsidRDefault="00AC1EFD" w:rsidP="00D51B99">
            <w:pPr>
              <w:pStyle w:val="TableText"/>
              <w:rPr>
                <w:sz w:val="19"/>
                <w:szCs w:val="19"/>
              </w:rPr>
            </w:pPr>
            <w:r w:rsidRPr="00940B91">
              <w:rPr>
                <w:sz w:val="19"/>
                <w:szCs w:val="19"/>
              </w:rPr>
              <w:t xml:space="preserve">Significant risks to delivering the </w:t>
            </w:r>
            <w:r w:rsidR="002E32B4" w:rsidRPr="00940B91">
              <w:rPr>
                <w:sz w:val="19"/>
                <w:szCs w:val="19"/>
              </w:rPr>
              <w:t>intended outcomes of the national framework</w:t>
            </w:r>
          </w:p>
          <w:p w14:paraId="18B8B8AF" w14:textId="65DBFCE1" w:rsidR="00F51980" w:rsidRPr="00940B91" w:rsidRDefault="009C5DA3" w:rsidP="00D51B99">
            <w:pPr>
              <w:pStyle w:val="TableText"/>
              <w:rPr>
                <w:sz w:val="19"/>
                <w:szCs w:val="19"/>
              </w:rPr>
            </w:pPr>
            <w:r w:rsidRPr="00940B91">
              <w:rPr>
                <w:sz w:val="19"/>
                <w:szCs w:val="19"/>
              </w:rPr>
              <w:t xml:space="preserve">Performing </w:t>
            </w:r>
            <w:r w:rsidR="00FF0BAB" w:rsidRPr="00940B91">
              <w:rPr>
                <w:sz w:val="19"/>
                <w:szCs w:val="19"/>
              </w:rPr>
              <w:t xml:space="preserve">obligations </w:t>
            </w:r>
            <w:r w:rsidR="00B72997" w:rsidRPr="00940B91">
              <w:rPr>
                <w:sz w:val="19"/>
                <w:szCs w:val="19"/>
              </w:rPr>
              <w:t xml:space="preserve">in a way that </w:t>
            </w:r>
            <w:r w:rsidR="00FF0BAB" w:rsidRPr="00940B91">
              <w:rPr>
                <w:sz w:val="19"/>
                <w:szCs w:val="19"/>
              </w:rPr>
              <w:t>detrimentally affects the effectiveness of management of Basin water resources</w:t>
            </w:r>
          </w:p>
          <w:p w14:paraId="18B4FFEA" w14:textId="79BDC701" w:rsidR="00FF0BAB" w:rsidRPr="00940B91" w:rsidRDefault="00B47C47" w:rsidP="00D51B99">
            <w:pPr>
              <w:pStyle w:val="TableText"/>
              <w:rPr>
                <w:sz w:val="19"/>
                <w:szCs w:val="19"/>
              </w:rPr>
            </w:pPr>
            <w:r w:rsidRPr="00940B91">
              <w:rPr>
                <w:sz w:val="19"/>
                <w:szCs w:val="19"/>
              </w:rPr>
              <w:t xml:space="preserve">Lack of confidence </w:t>
            </w:r>
            <w:r w:rsidR="00B72997" w:rsidRPr="00940B91">
              <w:rPr>
                <w:sz w:val="19"/>
                <w:szCs w:val="19"/>
              </w:rPr>
              <w:t xml:space="preserve">in and assurance around </w:t>
            </w:r>
            <w:r w:rsidR="00582B6E" w:rsidRPr="00940B91">
              <w:rPr>
                <w:sz w:val="19"/>
                <w:szCs w:val="19"/>
              </w:rPr>
              <w:t>the quality of information</w:t>
            </w:r>
            <w:r w:rsidR="00B72997" w:rsidRPr="00940B91">
              <w:rPr>
                <w:sz w:val="19"/>
                <w:szCs w:val="19"/>
              </w:rPr>
              <w:t xml:space="preserve"> provided on the management of Basin water resources</w:t>
            </w:r>
          </w:p>
        </w:tc>
      </w:tr>
      <w:tr w:rsidR="00F3260B" w:rsidRPr="00D674E5" w14:paraId="24C6A1B5" w14:textId="77777777" w:rsidTr="00940B91">
        <w:tc>
          <w:tcPr>
            <w:tcW w:w="1978" w:type="dxa"/>
          </w:tcPr>
          <w:p w14:paraId="3EECBAD8" w14:textId="3EDD992B" w:rsidR="00F3260B" w:rsidRPr="00940B91" w:rsidRDefault="00F3260B" w:rsidP="00D674E5">
            <w:pPr>
              <w:pStyle w:val="TableText"/>
              <w:rPr>
                <w:sz w:val="19"/>
                <w:szCs w:val="19"/>
              </w:rPr>
            </w:pPr>
            <w:r w:rsidRPr="00940B91">
              <w:rPr>
                <w:sz w:val="19"/>
                <w:szCs w:val="19"/>
              </w:rPr>
              <w:t>Compliance with Part 2A of Water Act (critical human water needs)</w:t>
            </w:r>
          </w:p>
        </w:tc>
        <w:tc>
          <w:tcPr>
            <w:tcW w:w="7660" w:type="dxa"/>
          </w:tcPr>
          <w:p w14:paraId="1E493903" w14:textId="77777777" w:rsidR="00F3260B" w:rsidRPr="00940B91" w:rsidRDefault="00521602" w:rsidP="00D674E5">
            <w:pPr>
              <w:pStyle w:val="TableText"/>
              <w:rPr>
                <w:sz w:val="19"/>
                <w:szCs w:val="19"/>
              </w:rPr>
            </w:pPr>
            <w:r w:rsidRPr="00940B91">
              <w:rPr>
                <w:sz w:val="19"/>
                <w:szCs w:val="19"/>
              </w:rPr>
              <w:t>Not meeting the minimum amount of water required to meet critical human water needs in Basin States, except Queensland</w:t>
            </w:r>
          </w:p>
          <w:p w14:paraId="737A6961" w14:textId="77777777" w:rsidR="00521602" w:rsidRPr="00940B91" w:rsidRDefault="00521602" w:rsidP="00D674E5">
            <w:pPr>
              <w:pStyle w:val="TableText"/>
              <w:rPr>
                <w:sz w:val="19"/>
                <w:szCs w:val="19"/>
              </w:rPr>
            </w:pPr>
            <w:r w:rsidRPr="00940B91">
              <w:rPr>
                <w:sz w:val="19"/>
                <w:szCs w:val="19"/>
              </w:rPr>
              <w:t>Not meeting the minimum amount of conveyance water required to deliver water for critical human water needs</w:t>
            </w:r>
          </w:p>
          <w:p w14:paraId="1AC8CF55" w14:textId="63765366" w:rsidR="002834D1" w:rsidRPr="00940B91" w:rsidRDefault="002834D1" w:rsidP="00D674E5">
            <w:pPr>
              <w:pStyle w:val="TableText"/>
              <w:rPr>
                <w:sz w:val="19"/>
                <w:szCs w:val="19"/>
              </w:rPr>
            </w:pPr>
            <w:r w:rsidRPr="00940B91">
              <w:rPr>
                <w:sz w:val="19"/>
                <w:szCs w:val="19"/>
              </w:rPr>
              <w:t>Not meeting the minimum water quality and salinity trigger points in the Basin Plan</w:t>
            </w:r>
          </w:p>
        </w:tc>
      </w:tr>
    </w:tbl>
    <w:p w14:paraId="0FB93975" w14:textId="0A4F6E54" w:rsidR="0035238B" w:rsidRDefault="00085CE1" w:rsidP="00085CE1">
      <w:r>
        <w:br/>
      </w:r>
      <w:r w:rsidR="00FF23C6">
        <w:t xml:space="preserve">The Inspector–General </w:t>
      </w:r>
      <w:r w:rsidR="00F261B2">
        <w:t xml:space="preserve">can </w:t>
      </w:r>
      <w:r w:rsidR="006F25B5">
        <w:t xml:space="preserve">conduct regulatory activities to support the performance of </w:t>
      </w:r>
      <w:r w:rsidR="00F261B2">
        <w:t xml:space="preserve">more than </w:t>
      </w:r>
      <w:r w:rsidR="00E3713A">
        <w:t xml:space="preserve">one </w:t>
      </w:r>
      <w:r w:rsidR="006F25B5">
        <w:t>function</w:t>
      </w:r>
      <w:r w:rsidR="00B021CC">
        <w:t xml:space="preserve">; that is, it may not be a single function the Inspector–General </w:t>
      </w:r>
      <w:r w:rsidR="007D1DD6">
        <w:t xml:space="preserve">performs </w:t>
      </w:r>
      <w:r w:rsidR="0042298E">
        <w:t>in relation to the above responsibilities.</w:t>
      </w:r>
      <w:r w:rsidR="006F25B5">
        <w:t xml:space="preserve"> </w:t>
      </w:r>
      <w:r w:rsidR="00142D7A">
        <w:t>Consequently, t</w:t>
      </w:r>
      <w:r w:rsidR="0035238B">
        <w:t xml:space="preserve">he </w:t>
      </w:r>
      <w:r w:rsidR="001B4D92">
        <w:t xml:space="preserve">above </w:t>
      </w:r>
      <w:r w:rsidR="0035238B">
        <w:t>trigger</w:t>
      </w:r>
      <w:r w:rsidR="00F93AE8">
        <w:t>s</w:t>
      </w:r>
      <w:r w:rsidR="0035238B">
        <w:t xml:space="preserve"> may be considered separately or together by the Inspector</w:t>
      </w:r>
      <w:r w:rsidR="00142D7A">
        <w:t>–</w:t>
      </w:r>
      <w:r w:rsidR="0035238B">
        <w:t>General</w:t>
      </w:r>
      <w:r w:rsidR="00142D7A">
        <w:t xml:space="preserve"> </w:t>
      </w:r>
      <w:r w:rsidR="00375F48">
        <w:t xml:space="preserve">and </w:t>
      </w:r>
      <w:r w:rsidR="00C11BE7">
        <w:t>for multiple reasons</w:t>
      </w:r>
      <w:r w:rsidR="00F93AE8">
        <w:t>.</w:t>
      </w:r>
    </w:p>
    <w:p w14:paraId="7608E36C" w14:textId="15D9D809" w:rsidR="00FF6ABF" w:rsidRDefault="00A46298" w:rsidP="00085CE1">
      <w:r>
        <w:t>In addition to the above</w:t>
      </w:r>
      <w:r w:rsidR="00D674E5">
        <w:t xml:space="preserve">, the Inspector–General may be directed to conduct an inquiry by the </w:t>
      </w:r>
      <w:r w:rsidR="00C56260">
        <w:t xml:space="preserve">Commonwealth Water </w:t>
      </w:r>
      <w:r w:rsidR="00D674E5">
        <w:t xml:space="preserve">Minister under the Water Act. </w:t>
      </w:r>
      <w:r w:rsidR="00C26B43">
        <w:t xml:space="preserve">The Inspector–General is required to </w:t>
      </w:r>
      <w:r w:rsidR="00C56260">
        <w:t xml:space="preserve">comply with </w:t>
      </w:r>
      <w:r w:rsidR="00905F9A">
        <w:t xml:space="preserve">such </w:t>
      </w:r>
      <w:r w:rsidR="00C56260">
        <w:t>directions</w:t>
      </w:r>
      <w:r w:rsidR="00905F9A">
        <w:t xml:space="preserve">, which will then </w:t>
      </w:r>
      <w:r w:rsidR="004166DE">
        <w:t xml:space="preserve">trigger an inquiry </w:t>
      </w:r>
      <w:r w:rsidR="00FF6ABF">
        <w:t>into:</w:t>
      </w:r>
    </w:p>
    <w:p w14:paraId="08FCEE8F" w14:textId="0C9D4B4C" w:rsidR="00995616" w:rsidRDefault="00FF6ABF" w:rsidP="00FF6ABF">
      <w:pPr>
        <w:pStyle w:val="ListBullet"/>
      </w:pPr>
      <w:r>
        <w:t xml:space="preserve">Commonwealth agencies performance of functions or exercise of powers under </w:t>
      </w:r>
      <w:r w:rsidR="00995616">
        <w:t xml:space="preserve">relevant parts </w:t>
      </w:r>
      <w:r>
        <w:t>of the Water Act</w:t>
      </w:r>
      <w:r w:rsidR="00995616">
        <w:t xml:space="preserve"> and/</w:t>
      </w:r>
      <w:r w:rsidR="00995616" w:rsidRPr="00B909B8">
        <w:t xml:space="preserve"> or</w:t>
      </w:r>
      <w:r w:rsidR="00995616" w:rsidRPr="00321015">
        <w:rPr>
          <w:i/>
          <w:iCs/>
        </w:rPr>
        <w:t xml:space="preserve"> </w:t>
      </w:r>
      <w:r w:rsidR="00995616">
        <w:rPr>
          <w:i/>
          <w:iCs/>
        </w:rPr>
        <w:t xml:space="preserve">Water Regulations </w:t>
      </w:r>
      <w:r w:rsidR="00995616" w:rsidRPr="00321015">
        <w:t xml:space="preserve">2008 </w:t>
      </w:r>
      <w:r w:rsidR="00995616">
        <w:t>(Regulations), the Basin Plan and/ or water resource plans</w:t>
      </w:r>
    </w:p>
    <w:p w14:paraId="7521AAE1" w14:textId="778CE916" w:rsidR="00085CE1" w:rsidRDefault="00995616" w:rsidP="00FF6ABF">
      <w:pPr>
        <w:pStyle w:val="ListBullet"/>
      </w:pPr>
      <w:r>
        <w:t xml:space="preserve">Basin State agencies </w:t>
      </w:r>
      <w:r w:rsidR="00B909B8">
        <w:t>performance of obligations under relevant parts of the Water Act and/ or Regulations, the Basin Plan and/ or water resource plans</w:t>
      </w:r>
      <w:r w:rsidR="00B909B8" w:rsidRPr="00995616" w:rsidDel="00D50D62">
        <w:t xml:space="preserve"> </w:t>
      </w:r>
      <w:r w:rsidR="00085CE1" w:rsidRPr="00995616">
        <w:t xml:space="preserve"> </w:t>
      </w:r>
    </w:p>
    <w:p w14:paraId="5A0463C8" w14:textId="4145387A" w:rsidR="00FF59E6" w:rsidRDefault="00FF59E6" w:rsidP="00BA1E8D">
      <w:pPr>
        <w:pStyle w:val="ListBullet"/>
      </w:pPr>
      <w:r>
        <w:t>Commonwealth and/ or Basin State agencies implementation of commitments in relevant intergovernmental agreements</w:t>
      </w:r>
      <w:r w:rsidR="00C10D98">
        <w:t>,</w:t>
      </w:r>
      <w:r w:rsidR="00BA1E8D">
        <w:t xml:space="preserve"> </w:t>
      </w:r>
      <w:r>
        <w:t>as relevant.</w:t>
      </w:r>
    </w:p>
    <w:p w14:paraId="48AE28DD" w14:textId="4100304A" w:rsidR="00FF59E6" w:rsidRDefault="00FF59E6" w:rsidP="00FF59E6"/>
    <w:p w14:paraId="21BBA758" w14:textId="31CF36FD" w:rsidR="00732920" w:rsidRDefault="007C394E" w:rsidP="00F8466D">
      <w:pPr>
        <w:pStyle w:val="Heading1"/>
      </w:pPr>
      <w:bookmarkStart w:id="24" w:name="_Ref137027396"/>
      <w:bookmarkStart w:id="25" w:name="_Toc137125808"/>
      <w:bookmarkStart w:id="26" w:name="_Toc139551375"/>
      <w:bookmarkStart w:id="27" w:name="_Toc161834737"/>
      <w:r>
        <w:lastRenderedPageBreak/>
        <w:t>Principle</w:t>
      </w:r>
      <w:r w:rsidR="00134677">
        <w:t>s–</w:t>
      </w:r>
      <w:r>
        <w:t xml:space="preserve">based </w:t>
      </w:r>
      <w:r w:rsidR="005C3503">
        <w:t>approach</w:t>
      </w:r>
      <w:bookmarkEnd w:id="24"/>
      <w:bookmarkEnd w:id="25"/>
      <w:bookmarkEnd w:id="26"/>
      <w:bookmarkEnd w:id="27"/>
    </w:p>
    <w:p w14:paraId="41C878B2" w14:textId="6478274D" w:rsidR="008F5FE3" w:rsidRDefault="00E22F2B" w:rsidP="00E22F2B">
      <w:r>
        <w:t xml:space="preserve">The Inspector–General adopts a </w:t>
      </w:r>
      <w:proofErr w:type="gramStart"/>
      <w:r w:rsidR="00080710">
        <w:t>principle</w:t>
      </w:r>
      <w:r w:rsidR="00134677">
        <w:t>s</w:t>
      </w:r>
      <w:proofErr w:type="gramEnd"/>
      <w:r w:rsidR="00134677">
        <w:t>–</w:t>
      </w:r>
      <w:r>
        <w:t>based approach to regulation</w:t>
      </w:r>
      <w:r w:rsidR="008E7490">
        <w:t xml:space="preserve"> that </w:t>
      </w:r>
      <w:r w:rsidR="00ED5B61">
        <w:t>reflects</w:t>
      </w:r>
      <w:r w:rsidR="008F5FE3">
        <w:t>:</w:t>
      </w:r>
    </w:p>
    <w:p w14:paraId="421C1944" w14:textId="252BF133" w:rsidR="00E22F2B" w:rsidRDefault="008F5FE3" w:rsidP="008F5FE3">
      <w:pPr>
        <w:pStyle w:val="ListBullet"/>
      </w:pPr>
      <w:r>
        <w:t>T</w:t>
      </w:r>
      <w:r w:rsidR="00ED5B61">
        <w:t>he</w:t>
      </w:r>
      <w:r w:rsidR="00B72D29">
        <w:t xml:space="preserve">ir role </w:t>
      </w:r>
      <w:r w:rsidR="002D27F7" w:rsidRPr="00E65CD3">
        <w:t>support</w:t>
      </w:r>
      <w:r w:rsidR="002D27F7">
        <w:t>ing</w:t>
      </w:r>
      <w:r w:rsidR="002D27F7" w:rsidRPr="00E65CD3">
        <w:t xml:space="preserve"> </w:t>
      </w:r>
      <w:r>
        <w:t xml:space="preserve">the </w:t>
      </w:r>
      <w:r w:rsidR="00F06520">
        <w:t xml:space="preserve">effective </w:t>
      </w:r>
      <w:r>
        <w:t>management of Basin water resources</w:t>
      </w:r>
      <w:r w:rsidR="00B72D29">
        <w:t xml:space="preserve"> under the Water Act</w:t>
      </w:r>
    </w:p>
    <w:p w14:paraId="1956DEE1" w14:textId="760F317A" w:rsidR="009063D9" w:rsidRDefault="008E6067" w:rsidP="008F5FE3">
      <w:pPr>
        <w:pStyle w:val="ListBullet"/>
      </w:pPr>
      <w:r>
        <w:t xml:space="preserve">Their </w:t>
      </w:r>
      <w:r w:rsidR="00E0355A">
        <w:t xml:space="preserve">regulatory </w:t>
      </w:r>
      <w:r>
        <w:t xml:space="preserve">role </w:t>
      </w:r>
      <w:r w:rsidR="00E0355A">
        <w:t xml:space="preserve">primarily </w:t>
      </w:r>
      <w:r w:rsidR="000F32CF" w:rsidRPr="00E65CD3">
        <w:t>appl</w:t>
      </w:r>
      <w:r w:rsidR="000F32CF">
        <w:t>ying</w:t>
      </w:r>
      <w:r w:rsidR="000F32CF" w:rsidRPr="00E65CD3">
        <w:t xml:space="preserve"> </w:t>
      </w:r>
      <w:r w:rsidR="00AB4C63">
        <w:t xml:space="preserve">to </w:t>
      </w:r>
      <w:r w:rsidR="00830C62">
        <w:t xml:space="preserve">relevant </w:t>
      </w:r>
      <w:r w:rsidR="00696FA2">
        <w:t>Commonwealth and Basin State agencies</w:t>
      </w:r>
      <w:r w:rsidR="009063D9">
        <w:t>.</w:t>
      </w:r>
    </w:p>
    <w:p w14:paraId="655D5A7A" w14:textId="54263401" w:rsidR="008F5FE3" w:rsidRDefault="004A4FE7" w:rsidP="00E22F2B">
      <w:r>
        <w:t xml:space="preserve">The following </w:t>
      </w:r>
      <w:r w:rsidR="007F45ED">
        <w:t xml:space="preserve">sets out the </w:t>
      </w:r>
      <w:r w:rsidR="00960930">
        <w:t xml:space="preserve">grounding </w:t>
      </w:r>
      <w:r>
        <w:t xml:space="preserve">principles </w:t>
      </w:r>
      <w:r w:rsidR="00960930">
        <w:t xml:space="preserve">behind </w:t>
      </w:r>
      <w:r w:rsidR="00F06520">
        <w:t xml:space="preserve">how the Inspector–General approaches each of these </w:t>
      </w:r>
      <w:r w:rsidR="000C5F42">
        <w:t xml:space="preserve">roles. </w:t>
      </w:r>
    </w:p>
    <w:p w14:paraId="5F578F1C" w14:textId="77777777" w:rsidR="0051657A" w:rsidRDefault="0051657A" w:rsidP="00DB1450">
      <w:pPr>
        <w:pStyle w:val="Heading2"/>
      </w:pPr>
      <w:bookmarkStart w:id="28" w:name="_Toc137125809"/>
      <w:bookmarkStart w:id="29" w:name="_Toc139551376"/>
      <w:bookmarkStart w:id="30" w:name="_Toc161834738"/>
      <w:r>
        <w:t>Principles for the management of Basin water resources</w:t>
      </w:r>
      <w:bookmarkEnd w:id="28"/>
      <w:bookmarkEnd w:id="29"/>
      <w:bookmarkEnd w:id="30"/>
    </w:p>
    <w:p w14:paraId="62F2C5D7" w14:textId="0709D117" w:rsidR="00DB1450" w:rsidRDefault="00DB1450" w:rsidP="00E22F2B">
      <w:r>
        <w:t xml:space="preserve">The </w:t>
      </w:r>
      <w:r w:rsidR="006F7F4E">
        <w:t xml:space="preserve">Inspector–General is responsible for overseeing and enforcing compliance with a </w:t>
      </w:r>
      <w:r w:rsidR="00D21AF4">
        <w:t xml:space="preserve">legislative </w:t>
      </w:r>
      <w:r w:rsidR="006F7F4E">
        <w:t>framework for the collective management of Basin water resources in the national interest.</w:t>
      </w:r>
      <w:r w:rsidR="006F354A">
        <w:t xml:space="preserve"> Those national interest principles are:</w:t>
      </w:r>
    </w:p>
    <w:p w14:paraId="1416AFDB" w14:textId="2AAAC76E" w:rsidR="006F354A" w:rsidRDefault="006F354A" w:rsidP="006F354A">
      <w:pPr>
        <w:pStyle w:val="ListBullet"/>
        <w:tabs>
          <w:tab w:val="num" w:pos="360"/>
        </w:tabs>
      </w:pPr>
      <w:r>
        <w:t>A</w:t>
      </w:r>
      <w:r w:rsidRPr="00A375A9">
        <w:t>ll authorit</w:t>
      </w:r>
      <w:r>
        <w:t>ies, whether they are Commonwealth or state governments</w:t>
      </w:r>
      <w:r w:rsidR="000F3B11">
        <w:t>,</w:t>
      </w:r>
      <w:r>
        <w:t xml:space="preserve"> or private individuals or companies,</w:t>
      </w:r>
      <w:r w:rsidRPr="00A375A9">
        <w:t xml:space="preserve"> </w:t>
      </w:r>
      <w:r>
        <w:t xml:space="preserve">are </w:t>
      </w:r>
      <w:r w:rsidRPr="00A375A9">
        <w:t xml:space="preserve">subject to, and constrained by, </w:t>
      </w:r>
      <w:r w:rsidR="00B72D29">
        <w:t xml:space="preserve">Commonwealth </w:t>
      </w:r>
      <w:r w:rsidRPr="00A375A9">
        <w:t>law</w:t>
      </w:r>
    </w:p>
    <w:p w14:paraId="4565236C" w14:textId="1EE3AA75" w:rsidR="006F354A" w:rsidRDefault="006F354A" w:rsidP="006F354A">
      <w:pPr>
        <w:pStyle w:val="ListBullet"/>
        <w:tabs>
          <w:tab w:val="num" w:pos="360"/>
        </w:tabs>
      </w:pPr>
      <w:r>
        <w:t xml:space="preserve">Water resources of the Basin are part of Australia’s natural capital, serving </w:t>
      </w:r>
      <w:proofErr w:type="gramStart"/>
      <w:r>
        <w:t>a number of</w:t>
      </w:r>
      <w:proofErr w:type="gramEnd"/>
      <w:r>
        <w:t xml:space="preserve"> important productive, environmental</w:t>
      </w:r>
      <w:r w:rsidR="005E2673">
        <w:t>,</w:t>
      </w:r>
      <w:r>
        <w:t xml:space="preserve"> social </w:t>
      </w:r>
      <w:r w:rsidR="005E2673">
        <w:t xml:space="preserve">and cultural </w:t>
      </w:r>
      <w:r>
        <w:t>objectives</w:t>
      </w:r>
    </w:p>
    <w:p w14:paraId="540CCF48" w14:textId="72A32569" w:rsidR="006F354A" w:rsidRDefault="004735EE" w:rsidP="006F354A">
      <w:pPr>
        <w:pStyle w:val="ListBullet"/>
        <w:tabs>
          <w:tab w:val="num" w:pos="360"/>
        </w:tabs>
      </w:pPr>
      <w:r>
        <w:t>Inclusive m</w:t>
      </w:r>
      <w:r w:rsidR="006F354A">
        <w:t>anagement of Basin water resources serve</w:t>
      </w:r>
      <w:r w:rsidR="00570F21">
        <w:t>s</w:t>
      </w:r>
      <w:r w:rsidR="006F354A">
        <w:t xml:space="preserve"> </w:t>
      </w:r>
      <w:r w:rsidR="00F93AE8">
        <w:t xml:space="preserve">past, </w:t>
      </w:r>
      <w:r w:rsidR="006F354A">
        <w:t>current and future generations</w:t>
      </w:r>
    </w:p>
    <w:p w14:paraId="0A78F053" w14:textId="66E85B63" w:rsidR="006F354A" w:rsidRDefault="006F354A" w:rsidP="006F354A">
      <w:pPr>
        <w:pStyle w:val="ListBullet"/>
        <w:tabs>
          <w:tab w:val="num" w:pos="360"/>
        </w:tabs>
      </w:pPr>
      <w:r>
        <w:t>W</w:t>
      </w:r>
      <w:r w:rsidRPr="0063671A">
        <w:t>ater is allocated and used to achieve socially</w:t>
      </w:r>
      <w:r w:rsidR="005E76F2">
        <w:t>, culturally</w:t>
      </w:r>
      <w:r w:rsidRPr="0063671A">
        <w:t xml:space="preserve"> and economically beneficial outcomes in a manner that is environmentally sustainable</w:t>
      </w:r>
    </w:p>
    <w:p w14:paraId="5CA85A98" w14:textId="74B194BC" w:rsidR="006F354A" w:rsidRDefault="006F354A" w:rsidP="006F354A">
      <w:pPr>
        <w:pStyle w:val="ListBullet"/>
        <w:tabs>
          <w:tab w:val="num" w:pos="360"/>
        </w:tabs>
      </w:pPr>
      <w:r>
        <w:t xml:space="preserve">Governments improve </w:t>
      </w:r>
      <w:r w:rsidRPr="00C51883">
        <w:t xml:space="preserve">certainty for investment and the environment, and the capacity of Australia’s water management regimes to deal with change responsively and </w:t>
      </w:r>
      <w:r w:rsidR="00A540CA">
        <w:t>appropriately</w:t>
      </w:r>
    </w:p>
    <w:p w14:paraId="41A86D22" w14:textId="2D08EC27" w:rsidR="006F354A" w:rsidRDefault="006F354A" w:rsidP="006F354A">
      <w:pPr>
        <w:pStyle w:val="ListBullet"/>
        <w:tabs>
          <w:tab w:val="num" w:pos="360"/>
        </w:tabs>
      </w:pPr>
      <w:r>
        <w:t xml:space="preserve">Governments </w:t>
      </w:r>
      <w:r w:rsidRPr="00CA4C66">
        <w:t>provid</w:t>
      </w:r>
      <w:r>
        <w:t>e</w:t>
      </w:r>
      <w:r w:rsidRPr="00CA4C66">
        <w:t xml:space="preserve"> transparency and accountability of </w:t>
      </w:r>
      <w:r w:rsidR="00C82377">
        <w:t xml:space="preserve">Basin </w:t>
      </w:r>
      <w:r w:rsidRPr="00CA4C66">
        <w:t xml:space="preserve">surface and groundwater management and </w:t>
      </w:r>
      <w:r w:rsidR="00A540CA">
        <w:t xml:space="preserve">its </w:t>
      </w:r>
      <w:r w:rsidRPr="00CA4C66">
        <w:t>regulation</w:t>
      </w:r>
    </w:p>
    <w:p w14:paraId="756F8B1D" w14:textId="77777777" w:rsidR="006F354A" w:rsidRDefault="006F354A" w:rsidP="006F354A">
      <w:pPr>
        <w:pStyle w:val="ListBullet"/>
      </w:pPr>
      <w:r>
        <w:t>Governments promote the conservation of nationally important wetlands.</w:t>
      </w:r>
    </w:p>
    <w:p w14:paraId="25471DBE" w14:textId="44E09224" w:rsidR="00DD6677" w:rsidRDefault="004611D0" w:rsidP="00024E1B">
      <w:pPr>
        <w:pStyle w:val="Heading3"/>
      </w:pPr>
      <w:r>
        <w:t>Translation of principles to relevant harms</w:t>
      </w:r>
    </w:p>
    <w:p w14:paraId="1CE00B10" w14:textId="7F90E997" w:rsidR="004611D0" w:rsidRDefault="004611D0" w:rsidP="004611D0">
      <w:r>
        <w:t xml:space="preserve">Relevant </w:t>
      </w:r>
      <w:r w:rsidR="003511D7">
        <w:t xml:space="preserve">harms arising from the above principles </w:t>
      </w:r>
      <w:r>
        <w:t>include:</w:t>
      </w:r>
    </w:p>
    <w:p w14:paraId="5A152194" w14:textId="77777777" w:rsidR="004611D0" w:rsidRDefault="004611D0" w:rsidP="004611D0">
      <w:pPr>
        <w:pStyle w:val="ListBullet"/>
      </w:pPr>
      <w:r>
        <w:t>Environmental impacts</w:t>
      </w:r>
    </w:p>
    <w:p w14:paraId="77B61084" w14:textId="77777777" w:rsidR="004611D0" w:rsidRDefault="004611D0" w:rsidP="004611D0">
      <w:pPr>
        <w:pStyle w:val="ListBullet"/>
      </w:pPr>
      <w:r>
        <w:t>Harm to the integrity of the regulatory framework from the conduct in isolation or in accumulation with other similar or related conduct</w:t>
      </w:r>
    </w:p>
    <w:p w14:paraId="1EA48B6C" w14:textId="77777777" w:rsidR="004611D0" w:rsidRDefault="004611D0" w:rsidP="004611D0">
      <w:pPr>
        <w:pStyle w:val="ListBullet"/>
      </w:pPr>
      <w:r>
        <w:t>Implications for third parties and the scale of associated impacts, prioritising impacts on water markets, and where there are wider socio-economic impacts</w:t>
      </w:r>
    </w:p>
    <w:p w14:paraId="29855E44" w14:textId="77777777" w:rsidR="004611D0" w:rsidRDefault="004611D0" w:rsidP="004611D0">
      <w:pPr>
        <w:pStyle w:val="ListBullet"/>
      </w:pPr>
      <w:r>
        <w:t>Harm across jurisdictions or catchments</w:t>
      </w:r>
    </w:p>
    <w:p w14:paraId="7C7E1ABC" w14:textId="77777777" w:rsidR="004611D0" w:rsidRDefault="004611D0" w:rsidP="004611D0">
      <w:pPr>
        <w:pStyle w:val="ListBullet"/>
      </w:pPr>
      <w:r>
        <w:t>Impact on other regulatory responsibilities or effectiveness of other elements of the national framework</w:t>
      </w:r>
    </w:p>
    <w:p w14:paraId="0CD49BCE" w14:textId="77777777" w:rsidR="004611D0" w:rsidRDefault="004611D0" w:rsidP="004611D0">
      <w:pPr>
        <w:pStyle w:val="ListBullet"/>
      </w:pPr>
      <w:r>
        <w:t>Harm to the effectiveness of management of Basin water resources by the relevant conduct</w:t>
      </w:r>
    </w:p>
    <w:p w14:paraId="5369EAE7" w14:textId="77777777" w:rsidR="004611D0" w:rsidRDefault="004611D0" w:rsidP="004611D0">
      <w:pPr>
        <w:pStyle w:val="ListBullet"/>
      </w:pPr>
      <w:r>
        <w:t>Harm to trust and/or confidence in the management of Basin water resources.</w:t>
      </w:r>
    </w:p>
    <w:p w14:paraId="2DD4B6DD" w14:textId="68CFBA2D" w:rsidR="0004213D" w:rsidRDefault="00AF32F5" w:rsidP="00513D48">
      <w:pPr>
        <w:pStyle w:val="Heading2"/>
      </w:pPr>
      <w:bookmarkStart w:id="31" w:name="_Toc137125810"/>
      <w:bookmarkStart w:id="32" w:name="_Toc139551377"/>
      <w:bookmarkStart w:id="33" w:name="_Toc161834739"/>
      <w:r>
        <w:lastRenderedPageBreak/>
        <w:t>Regulatory</w:t>
      </w:r>
      <w:r w:rsidR="001C591F">
        <w:t xml:space="preserve"> principles</w:t>
      </w:r>
      <w:bookmarkEnd w:id="31"/>
      <w:bookmarkEnd w:id="32"/>
      <w:bookmarkEnd w:id="33"/>
    </w:p>
    <w:p w14:paraId="0A998154" w14:textId="4E09288A" w:rsidR="005522DA" w:rsidRPr="005522DA" w:rsidRDefault="001C591F" w:rsidP="005522DA">
      <w:r>
        <w:t>In performing their</w:t>
      </w:r>
      <w:r w:rsidR="00AF32F5">
        <w:t xml:space="preserve"> regulatory</w:t>
      </w:r>
      <w:r>
        <w:t xml:space="preserve"> roles and responsibilities, t</w:t>
      </w:r>
      <w:r w:rsidR="005522DA">
        <w:t>he Inspector–General applies t</w:t>
      </w:r>
      <w:r w:rsidR="005522DA" w:rsidRPr="005522DA">
        <w:t xml:space="preserve">he </w:t>
      </w:r>
      <w:r w:rsidR="005522DA">
        <w:t xml:space="preserve">following </w:t>
      </w:r>
      <w:r w:rsidR="005522DA" w:rsidRPr="005522DA">
        <w:t>nine principles</w:t>
      </w:r>
      <w:r w:rsidR="005E76F2">
        <w:t>:</w:t>
      </w:r>
    </w:p>
    <w:p w14:paraId="3E0325B8" w14:textId="388AF381" w:rsidR="005522DA" w:rsidRPr="00F60038" w:rsidRDefault="005522DA" w:rsidP="00664E5C">
      <w:pPr>
        <w:pStyle w:val="ListNumber"/>
        <w:rPr>
          <w:rStyle w:val="IntenseEmphasis"/>
        </w:rPr>
      </w:pPr>
      <w:r w:rsidRPr="00F60038">
        <w:rPr>
          <w:rStyle w:val="IntenseEmphasis"/>
        </w:rPr>
        <w:t xml:space="preserve">Outcomes </w:t>
      </w:r>
      <w:r w:rsidR="00A540CA" w:rsidRPr="00F60038">
        <w:rPr>
          <w:rStyle w:val="IntenseEmphasis"/>
        </w:rPr>
        <w:t>based</w:t>
      </w:r>
    </w:p>
    <w:p w14:paraId="19CAD225" w14:textId="7DD28111" w:rsidR="005522DA" w:rsidRPr="005522DA" w:rsidRDefault="005522DA" w:rsidP="005522DA">
      <w:r w:rsidRPr="005522DA">
        <w:t xml:space="preserve">Regulatory actions </w:t>
      </w:r>
      <w:r w:rsidR="0052493B">
        <w:t xml:space="preserve">are </w:t>
      </w:r>
      <w:r w:rsidRPr="005522DA">
        <w:t>not ends in themselves</w:t>
      </w:r>
      <w:r w:rsidR="0052493B">
        <w:t xml:space="preserve"> but rather actions to </w:t>
      </w:r>
      <w:r w:rsidRPr="005522DA">
        <w:t xml:space="preserve">further the objectives of the </w:t>
      </w:r>
      <w:r w:rsidR="0003395D">
        <w:t xml:space="preserve">Water </w:t>
      </w:r>
      <w:r w:rsidR="003523E5">
        <w:t xml:space="preserve">Act and </w:t>
      </w:r>
      <w:r w:rsidR="0003395D">
        <w:t xml:space="preserve">Basin </w:t>
      </w:r>
      <w:r w:rsidR="003523E5">
        <w:t>Plan</w:t>
      </w:r>
      <w:r w:rsidRPr="005522DA">
        <w:t>.</w:t>
      </w:r>
      <w:r w:rsidR="003523E5">
        <w:t xml:space="preserve"> As such, the Inspector–General</w:t>
      </w:r>
      <w:r w:rsidR="00177281">
        <w:t>’s activities:</w:t>
      </w:r>
    </w:p>
    <w:p w14:paraId="55FC1B1D" w14:textId="728641BD" w:rsidR="005522DA" w:rsidRPr="005522DA" w:rsidRDefault="009B0D97" w:rsidP="005522DA">
      <w:pPr>
        <w:pStyle w:val="ListBullet"/>
      </w:pPr>
      <w:r>
        <w:t>F</w:t>
      </w:r>
      <w:r w:rsidR="005522DA" w:rsidRPr="005522DA">
        <w:t>ocus on the underlying regulatory objectives</w:t>
      </w:r>
      <w:r>
        <w:t xml:space="preserve"> to provide </w:t>
      </w:r>
      <w:r w:rsidR="00522336">
        <w:t>clarity about the long</w:t>
      </w:r>
      <w:r w:rsidR="00F5717B">
        <w:t>–</w:t>
      </w:r>
      <w:r w:rsidR="00522336">
        <w:t xml:space="preserve">term outcomes </w:t>
      </w:r>
      <w:r w:rsidR="00A826F6">
        <w:t xml:space="preserve">intended </w:t>
      </w:r>
      <w:r w:rsidR="00522336">
        <w:t>to be delivered through regulation</w:t>
      </w:r>
    </w:p>
    <w:p w14:paraId="43A908CB" w14:textId="33277CA9" w:rsidR="005522DA" w:rsidRPr="005522DA" w:rsidRDefault="005522DA" w:rsidP="005522DA">
      <w:pPr>
        <w:pStyle w:val="ListBullet"/>
      </w:pPr>
      <w:r>
        <w:t>R</w:t>
      </w:r>
      <w:r w:rsidRPr="005522DA">
        <w:t>epresent the course that is likely to achieve these objectives in the most effective and efficient manner</w:t>
      </w:r>
    </w:p>
    <w:p w14:paraId="46C324BE" w14:textId="23831E89" w:rsidR="005522DA" w:rsidRPr="005522DA" w:rsidRDefault="00866BFD" w:rsidP="005522DA">
      <w:pPr>
        <w:pStyle w:val="ListBullet"/>
      </w:pPr>
      <w:r>
        <w:t xml:space="preserve">Are </w:t>
      </w:r>
      <w:r w:rsidR="005522DA" w:rsidRPr="005522DA">
        <w:t>integrated and aligned, that is, they work towards common purposes and objectives</w:t>
      </w:r>
    </w:p>
    <w:p w14:paraId="4765746D" w14:textId="6DCE0C37" w:rsidR="005522DA" w:rsidRPr="005522DA" w:rsidRDefault="00866BFD" w:rsidP="005522DA">
      <w:pPr>
        <w:pStyle w:val="ListBullet"/>
      </w:pPr>
      <w:r>
        <w:t xml:space="preserve">Are </w:t>
      </w:r>
      <w:r w:rsidR="005522DA" w:rsidRPr="005522DA">
        <w:t xml:space="preserve">flexible and innovative, achieving the best regulatory outcome in the </w:t>
      </w:r>
      <w:proofErr w:type="gramStart"/>
      <w:r w:rsidR="005522DA" w:rsidRPr="005522DA">
        <w:t>particular circumstances</w:t>
      </w:r>
      <w:proofErr w:type="gramEnd"/>
      <w:r w:rsidR="005522DA" w:rsidRPr="005522DA">
        <w:t xml:space="preserve"> of each case.</w:t>
      </w:r>
    </w:p>
    <w:p w14:paraId="617152F2" w14:textId="77499C6E" w:rsidR="00FD3F4C" w:rsidRDefault="00FD3F4C" w:rsidP="005522DA">
      <w:r>
        <w:t>The Inspector</w:t>
      </w:r>
      <w:r w:rsidR="00F72DDB">
        <w:t>–</w:t>
      </w:r>
      <w:r>
        <w:t>General recognises the important practical role that inputs, outputs and activities play in delivering outcomes.</w:t>
      </w:r>
      <w:r w:rsidR="00C44341">
        <w:t xml:space="preserve"> As such, </w:t>
      </w:r>
      <w:r w:rsidR="001B6902">
        <w:t xml:space="preserve">the Inspector–General tracks inputs, outputs and activities, including their effectiveness, as part of understanding drivers of outcomes in </w:t>
      </w:r>
      <w:r w:rsidR="00DA25C3">
        <w:t>the management of Basin water resources.</w:t>
      </w:r>
    </w:p>
    <w:p w14:paraId="1A30468D" w14:textId="261CC035" w:rsidR="005522DA" w:rsidRPr="005522DA" w:rsidRDefault="00866BFD" w:rsidP="005522DA">
      <w:r>
        <w:t xml:space="preserve">The Inspector–General is </w:t>
      </w:r>
      <w:r w:rsidR="005522DA" w:rsidRPr="005522DA">
        <w:t xml:space="preserve">guided by evidence </w:t>
      </w:r>
      <w:r w:rsidR="001D7141">
        <w:t xml:space="preserve">from </w:t>
      </w:r>
      <w:r w:rsidR="001D05BD">
        <w:t xml:space="preserve">the above listed outcomes </w:t>
      </w:r>
      <w:r w:rsidR="00443A71">
        <w:t xml:space="preserve">as the basis for </w:t>
      </w:r>
      <w:r w:rsidR="00DA25C3">
        <w:t>under</w:t>
      </w:r>
      <w:r w:rsidR="00443A71">
        <w:t>taking</w:t>
      </w:r>
      <w:r w:rsidR="00DA25C3">
        <w:t>,</w:t>
      </w:r>
      <w:r w:rsidR="00443A71">
        <w:t xml:space="preserve"> and </w:t>
      </w:r>
      <w:r w:rsidR="005522DA" w:rsidRPr="005522DA">
        <w:t>review</w:t>
      </w:r>
      <w:r w:rsidR="00443A71">
        <w:t>ing</w:t>
      </w:r>
      <w:r w:rsidR="005522DA" w:rsidRPr="005522DA">
        <w:t xml:space="preserve"> the effectiveness of</w:t>
      </w:r>
      <w:r w:rsidR="00DA25C3">
        <w:t>,</w:t>
      </w:r>
      <w:r w:rsidR="005522DA" w:rsidRPr="005522DA">
        <w:t xml:space="preserve"> </w:t>
      </w:r>
      <w:r>
        <w:t xml:space="preserve">their </w:t>
      </w:r>
      <w:r w:rsidR="005522DA" w:rsidRPr="005522DA">
        <w:t>regulatory actions.</w:t>
      </w:r>
    </w:p>
    <w:p w14:paraId="490F579A" w14:textId="093B31BD" w:rsidR="005522DA" w:rsidRPr="00F60038" w:rsidRDefault="005522DA" w:rsidP="00664E5C">
      <w:pPr>
        <w:pStyle w:val="ListNumber"/>
        <w:rPr>
          <w:rStyle w:val="IntenseEmphasis"/>
        </w:rPr>
      </w:pPr>
      <w:r w:rsidRPr="00F60038">
        <w:rPr>
          <w:rStyle w:val="IntenseEmphasis"/>
        </w:rPr>
        <w:t>Proportionality and efficiency</w:t>
      </w:r>
    </w:p>
    <w:p w14:paraId="78FBAD93" w14:textId="77777777" w:rsidR="00E85CC0" w:rsidRDefault="005522DA" w:rsidP="005522DA">
      <w:r w:rsidRPr="005522DA">
        <w:t xml:space="preserve">The </w:t>
      </w:r>
      <w:r w:rsidR="002B307F">
        <w:t xml:space="preserve">activities used to administer </w:t>
      </w:r>
      <w:r w:rsidRPr="005522DA">
        <w:t>regulation should be proportionate to the problem or issue it is seeking to address. Proportionality involves ensuring that regulatory measures do not ‘overreach’ or extend beyond achieving an identified objective or</w:t>
      </w:r>
      <w:r>
        <w:t xml:space="preserve"> </w:t>
      </w:r>
      <w:r w:rsidRPr="005522DA">
        <w:t xml:space="preserve">addressing a specific problem. </w:t>
      </w:r>
    </w:p>
    <w:p w14:paraId="2549C9AC" w14:textId="4B0F3219" w:rsidR="005522DA" w:rsidRPr="005522DA" w:rsidRDefault="005522DA" w:rsidP="005522DA">
      <w:r w:rsidRPr="005522DA">
        <w:t xml:space="preserve">The scope and nature of regulatory measures should match the benefits that may be achieved, by improving </w:t>
      </w:r>
      <w:r w:rsidR="0099259F">
        <w:t>the management of Basin water resources</w:t>
      </w:r>
      <w:r w:rsidRPr="005522DA">
        <w:t xml:space="preserve">, or reducing </w:t>
      </w:r>
      <w:r w:rsidR="0099259F">
        <w:t xml:space="preserve">the </w:t>
      </w:r>
      <w:r w:rsidRPr="005522DA">
        <w:t>risk of harm.</w:t>
      </w:r>
      <w:r w:rsidR="000F0C7F">
        <w:t xml:space="preserve"> </w:t>
      </w:r>
      <w:r w:rsidR="001C573B">
        <w:t xml:space="preserve">The Inspector–General, therefore, </w:t>
      </w:r>
      <w:r w:rsidRPr="005522DA">
        <w:t>prioritise</w:t>
      </w:r>
      <w:r w:rsidR="001C573B">
        <w:t>s</w:t>
      </w:r>
      <w:r w:rsidRPr="005522DA">
        <w:t xml:space="preserve"> effort and resources to areas </w:t>
      </w:r>
      <w:r w:rsidR="001C573B">
        <w:t xml:space="preserve">or activities </w:t>
      </w:r>
      <w:r w:rsidRPr="005522DA">
        <w:t>where, based on the available evidence, the potential benefits and risks are more significant.</w:t>
      </w:r>
    </w:p>
    <w:p w14:paraId="1ACA7FC9" w14:textId="3C629FAD" w:rsidR="005522DA" w:rsidRPr="00F60038" w:rsidRDefault="005522DA" w:rsidP="00664E5C">
      <w:pPr>
        <w:pStyle w:val="ListNumber"/>
        <w:rPr>
          <w:rStyle w:val="IntenseEmphasis"/>
        </w:rPr>
      </w:pPr>
      <w:r w:rsidRPr="00F60038">
        <w:rPr>
          <w:rStyle w:val="IntenseEmphasis"/>
        </w:rPr>
        <w:t>Responsiveness and flexibility</w:t>
      </w:r>
    </w:p>
    <w:p w14:paraId="6595139D" w14:textId="6FD0EC9A" w:rsidR="005522DA" w:rsidRPr="005522DA" w:rsidRDefault="001C573B" w:rsidP="005522DA">
      <w:r>
        <w:t xml:space="preserve">The Inspector–General </w:t>
      </w:r>
      <w:r w:rsidR="00725E09">
        <w:t xml:space="preserve">maintains their responsiveness and flexibility </w:t>
      </w:r>
      <w:r w:rsidR="005522DA" w:rsidRPr="005522DA">
        <w:t>by:</w:t>
      </w:r>
    </w:p>
    <w:p w14:paraId="231E66D2" w14:textId="106E049A" w:rsidR="005522DA" w:rsidRPr="005522DA" w:rsidRDefault="005522DA" w:rsidP="005522DA">
      <w:pPr>
        <w:pStyle w:val="ListBullet"/>
      </w:pPr>
      <w:r>
        <w:t>C</w:t>
      </w:r>
      <w:r w:rsidRPr="005522DA">
        <w:t>onsidering the full range of options available to them</w:t>
      </w:r>
    </w:p>
    <w:p w14:paraId="605B58A2" w14:textId="245087A9" w:rsidR="005522DA" w:rsidRPr="005522DA" w:rsidRDefault="005522DA" w:rsidP="005522DA">
      <w:pPr>
        <w:pStyle w:val="ListBullet"/>
      </w:pPr>
      <w:r>
        <w:t>T</w:t>
      </w:r>
      <w:r w:rsidRPr="005522DA">
        <w:t>ailoring their approach to account for the circumstances of each individual case</w:t>
      </w:r>
    </w:p>
    <w:p w14:paraId="2B643098" w14:textId="4195661A" w:rsidR="005522DA" w:rsidRPr="005522DA" w:rsidRDefault="005522DA" w:rsidP="005522DA">
      <w:pPr>
        <w:pStyle w:val="ListBullet"/>
      </w:pPr>
      <w:r>
        <w:t>F</w:t>
      </w:r>
      <w:r w:rsidRPr="005522DA">
        <w:t>ocusing on consistency of outcome</w:t>
      </w:r>
      <w:r w:rsidR="00403D28">
        <w:t>s</w:t>
      </w:r>
    </w:p>
    <w:p w14:paraId="3DA906B8" w14:textId="7F769695" w:rsidR="005522DA" w:rsidRPr="005522DA" w:rsidRDefault="005522DA" w:rsidP="005522DA">
      <w:pPr>
        <w:pStyle w:val="ListBullet"/>
      </w:pPr>
      <w:r>
        <w:t>R</w:t>
      </w:r>
      <w:r w:rsidRPr="005522DA">
        <w:t>egularly reviewing their practice and operational policy to ensure it is evidence based, remains relevant and appropriate to changes in the sector.</w:t>
      </w:r>
    </w:p>
    <w:p w14:paraId="7BE42C05" w14:textId="5B324A57" w:rsidR="005522DA" w:rsidRPr="005522DA" w:rsidRDefault="00725E09" w:rsidP="005522DA">
      <w:r>
        <w:t xml:space="preserve">In doing this, the Inspector–General has regard to </w:t>
      </w:r>
      <w:r w:rsidR="005522DA" w:rsidRPr="005522DA">
        <w:t xml:space="preserve">the </w:t>
      </w:r>
      <w:proofErr w:type="gramStart"/>
      <w:r w:rsidR="005522DA" w:rsidRPr="005522DA">
        <w:t>particular circumstances</w:t>
      </w:r>
      <w:proofErr w:type="gramEnd"/>
      <w:r w:rsidR="005522DA" w:rsidRPr="005522DA">
        <w:t xml:space="preserve"> of each region, location and </w:t>
      </w:r>
      <w:r>
        <w:t>government</w:t>
      </w:r>
      <w:r w:rsidR="005522DA" w:rsidRPr="005522DA">
        <w:t xml:space="preserve">. </w:t>
      </w:r>
      <w:r w:rsidR="002B03B2">
        <w:t xml:space="preserve">The Inspector–General </w:t>
      </w:r>
      <w:r w:rsidR="005522DA" w:rsidRPr="005522DA">
        <w:t xml:space="preserve">may adopt different approaches to the same or similar issues, owing to, for example, the prevalence of that issue, compliance history, the particular importance of the issue or differences </w:t>
      </w:r>
      <w:r w:rsidR="009E5A32">
        <w:t xml:space="preserve">between </w:t>
      </w:r>
      <w:r w:rsidR="005522DA" w:rsidRPr="005522DA">
        <w:t>jurisdictions, or within a jurisdiction.</w:t>
      </w:r>
    </w:p>
    <w:p w14:paraId="06CD4D66" w14:textId="540DFFEB" w:rsidR="005522DA" w:rsidRPr="00F60038" w:rsidRDefault="005522DA" w:rsidP="00664E5C">
      <w:pPr>
        <w:pStyle w:val="ListNumber"/>
        <w:rPr>
          <w:rStyle w:val="IntenseEmphasis"/>
        </w:rPr>
      </w:pPr>
      <w:r w:rsidRPr="00F60038">
        <w:rPr>
          <w:rStyle w:val="IntenseEmphasis"/>
        </w:rPr>
        <w:t>Transparency and accountability</w:t>
      </w:r>
    </w:p>
    <w:p w14:paraId="78E926A0" w14:textId="7AB3964F" w:rsidR="005522DA" w:rsidRDefault="005522DA" w:rsidP="005522DA">
      <w:r w:rsidRPr="005522DA">
        <w:t>Regulatory actions should be open and transparent to encourage public confidence and provide certainty and assurance for regulated entities.</w:t>
      </w:r>
      <w:r w:rsidR="005411FB">
        <w:t xml:space="preserve"> </w:t>
      </w:r>
      <w:r w:rsidRPr="005522DA">
        <w:t>Legislation should be fairly and consistently administered and enforced and, where relevant, regulatory authorities should explain the reasons for their decisions.</w:t>
      </w:r>
    </w:p>
    <w:p w14:paraId="237BC149" w14:textId="4B0AD21B" w:rsidR="005522DA" w:rsidRPr="005522DA" w:rsidRDefault="005411FB" w:rsidP="0039468B">
      <w:r>
        <w:lastRenderedPageBreak/>
        <w:t xml:space="preserve">The </w:t>
      </w:r>
      <w:r w:rsidR="00E57D54">
        <w:t>Inspector–General</w:t>
      </w:r>
      <w:r>
        <w:t xml:space="preserve"> </w:t>
      </w:r>
      <w:r w:rsidR="00C15C08">
        <w:t>seeks to provide truth</w:t>
      </w:r>
      <w:r w:rsidR="00F5717B">
        <w:t>–</w:t>
      </w:r>
      <w:proofErr w:type="gramStart"/>
      <w:r w:rsidR="00C15C08">
        <w:t>telling</w:t>
      </w:r>
      <w:proofErr w:type="gramEnd"/>
      <w:r w:rsidR="00C15C08">
        <w:t xml:space="preserve"> about </w:t>
      </w:r>
      <w:r w:rsidR="00E53C9C">
        <w:t xml:space="preserve">the management of Basin water resources, including </w:t>
      </w:r>
      <w:r w:rsidR="00373455">
        <w:t xml:space="preserve">with respect to </w:t>
      </w:r>
      <w:r w:rsidR="00943C61">
        <w:t xml:space="preserve">social, economic, cultural and ecological </w:t>
      </w:r>
      <w:r w:rsidR="00E53C9C">
        <w:t>outcome</w:t>
      </w:r>
      <w:r w:rsidR="00943C61">
        <w:t xml:space="preserve">s. This will enable </w:t>
      </w:r>
      <w:r w:rsidR="0039468B">
        <w:t>relevant decision</w:t>
      </w:r>
      <w:r w:rsidR="00F5717B">
        <w:t>–</w:t>
      </w:r>
      <w:r w:rsidR="0039468B">
        <w:t xml:space="preserve">makers to be held to account by providing </w:t>
      </w:r>
      <w:r w:rsidR="005522DA">
        <w:t>scrutiny</w:t>
      </w:r>
      <w:r w:rsidR="0039468B">
        <w:t xml:space="preserve"> and </w:t>
      </w:r>
      <w:r w:rsidR="005522DA">
        <w:t xml:space="preserve">reporting </w:t>
      </w:r>
      <w:r w:rsidR="0039468B">
        <w:t xml:space="preserve">on </w:t>
      </w:r>
      <w:r w:rsidR="005522DA">
        <w:t>performance information.</w:t>
      </w:r>
    </w:p>
    <w:p w14:paraId="31BED8FA" w14:textId="56691DD4" w:rsidR="005522DA" w:rsidRPr="00F60038" w:rsidRDefault="005522DA" w:rsidP="00664E5C">
      <w:pPr>
        <w:pStyle w:val="ListNumber"/>
        <w:rPr>
          <w:rStyle w:val="IntenseEmphasis"/>
        </w:rPr>
      </w:pPr>
      <w:r w:rsidRPr="00F60038">
        <w:rPr>
          <w:rStyle w:val="IntenseEmphasis"/>
        </w:rPr>
        <w:t>Independence</w:t>
      </w:r>
    </w:p>
    <w:p w14:paraId="0196BC13" w14:textId="23A21843" w:rsidR="005522DA" w:rsidRPr="005522DA" w:rsidRDefault="006C3E77" w:rsidP="005522DA">
      <w:r>
        <w:t xml:space="preserve">The Inspector–General </w:t>
      </w:r>
      <w:r w:rsidR="005522DA" w:rsidRPr="005522DA">
        <w:t>ensure</w:t>
      </w:r>
      <w:r>
        <w:t>s</w:t>
      </w:r>
      <w:r w:rsidR="005522DA" w:rsidRPr="005522DA">
        <w:t xml:space="preserve"> the integrity and objectivity of </w:t>
      </w:r>
      <w:r>
        <w:t xml:space="preserve">their </w:t>
      </w:r>
      <w:r w:rsidR="005522DA" w:rsidRPr="005522DA">
        <w:t>regulatory actions</w:t>
      </w:r>
      <w:r w:rsidR="00064ECB">
        <w:t xml:space="preserve"> by </w:t>
      </w:r>
      <w:r w:rsidR="005522DA" w:rsidRPr="005522DA">
        <w:t>exercis</w:t>
      </w:r>
      <w:r w:rsidR="00064ECB">
        <w:t>ing</w:t>
      </w:r>
      <w:r w:rsidR="005522DA" w:rsidRPr="005522DA">
        <w:t xml:space="preserve"> </w:t>
      </w:r>
      <w:r w:rsidR="00AA7CF9">
        <w:t xml:space="preserve">operational </w:t>
      </w:r>
      <w:r w:rsidR="005522DA" w:rsidRPr="005522DA">
        <w:t xml:space="preserve">powers </w:t>
      </w:r>
      <w:r w:rsidR="00064ECB">
        <w:t xml:space="preserve">and </w:t>
      </w:r>
      <w:r w:rsidR="005522DA" w:rsidRPr="005522DA">
        <w:t>mak</w:t>
      </w:r>
      <w:r w:rsidR="00064ECB">
        <w:t>ing</w:t>
      </w:r>
      <w:r w:rsidR="005522DA" w:rsidRPr="005522DA">
        <w:t xml:space="preserve"> </w:t>
      </w:r>
      <w:r w:rsidR="002841A0">
        <w:t xml:space="preserve">operational </w:t>
      </w:r>
      <w:r w:rsidR="005522DA" w:rsidRPr="005522DA">
        <w:t>decisions</w:t>
      </w:r>
      <w:r w:rsidR="00064ECB">
        <w:t xml:space="preserve"> </w:t>
      </w:r>
      <w:r w:rsidR="005522DA" w:rsidRPr="005522DA">
        <w:t>in the absence of actual or perceived conflicts of interest or other influences that may impinge, or be seen to impinge, upon their</w:t>
      </w:r>
      <w:r w:rsidR="002C6CC1" w:rsidRPr="002C6CC1">
        <w:t xml:space="preserve"> </w:t>
      </w:r>
      <w:r w:rsidR="002C6CC1">
        <w:t>independence</w:t>
      </w:r>
      <w:r w:rsidR="005522DA" w:rsidRPr="005522DA">
        <w:t>.</w:t>
      </w:r>
      <w:r w:rsidR="005A5498">
        <w:t xml:space="preserve"> The </w:t>
      </w:r>
      <w:r w:rsidR="00E57D54">
        <w:t>Inspector–General</w:t>
      </w:r>
      <w:r w:rsidR="005A5498">
        <w:t xml:space="preserve"> is also held to account for th</w:t>
      </w:r>
      <w:r w:rsidR="00A55A70">
        <w:t>eir performance through Parliament and other Commonwealth processes, such as under administrative law, through the National Anti</w:t>
      </w:r>
      <w:r w:rsidR="00F5717B">
        <w:t>–</w:t>
      </w:r>
      <w:r w:rsidR="00A55A70">
        <w:t>Corruption Commission, the Australian National Audit Office, etc.</w:t>
      </w:r>
    </w:p>
    <w:p w14:paraId="0C3E60F0" w14:textId="4E715439" w:rsidR="005522DA" w:rsidRPr="00F60038" w:rsidRDefault="005522DA" w:rsidP="00664E5C">
      <w:pPr>
        <w:pStyle w:val="ListNumber"/>
        <w:rPr>
          <w:rStyle w:val="IntenseEmphasis"/>
        </w:rPr>
      </w:pPr>
      <w:r w:rsidRPr="00F60038">
        <w:rPr>
          <w:rStyle w:val="IntenseEmphasis"/>
        </w:rPr>
        <w:t>Communication and engagement</w:t>
      </w:r>
    </w:p>
    <w:p w14:paraId="50199856" w14:textId="046E4641" w:rsidR="005522DA" w:rsidRPr="005522DA" w:rsidRDefault="00CE40A1" w:rsidP="005522DA">
      <w:r>
        <w:t xml:space="preserve">The Inspector–General </w:t>
      </w:r>
      <w:r w:rsidR="005522DA" w:rsidRPr="005522DA">
        <w:t>operate</w:t>
      </w:r>
      <w:r>
        <w:t>s</w:t>
      </w:r>
      <w:r w:rsidR="005522DA" w:rsidRPr="005522DA">
        <w:t xml:space="preserve"> in a dynamic context made up of a broad range of stakeholders, including:</w:t>
      </w:r>
    </w:p>
    <w:p w14:paraId="00F605D5" w14:textId="2B369A53" w:rsidR="005522DA" w:rsidRPr="005522DA" w:rsidRDefault="005522DA" w:rsidP="005522DA">
      <w:pPr>
        <w:pStyle w:val="ListBullet"/>
      </w:pPr>
      <w:r>
        <w:t>G</w:t>
      </w:r>
      <w:r w:rsidRPr="005522DA">
        <w:t>overnment agencies (for example, policy agencies, other regulators)</w:t>
      </w:r>
    </w:p>
    <w:p w14:paraId="794A6B6E" w14:textId="16DC5783" w:rsidR="005522DA" w:rsidRPr="005522DA" w:rsidRDefault="00D54967" w:rsidP="005522DA">
      <w:pPr>
        <w:pStyle w:val="ListBullet"/>
      </w:pPr>
      <w:r>
        <w:t>Infrastructure operators</w:t>
      </w:r>
    </w:p>
    <w:p w14:paraId="5705B2E3" w14:textId="16DCC609" w:rsidR="005522DA" w:rsidRPr="005522DA" w:rsidRDefault="005522DA" w:rsidP="005522DA">
      <w:pPr>
        <w:pStyle w:val="ListBullet"/>
      </w:pPr>
      <w:r>
        <w:t>Water</w:t>
      </w:r>
      <w:r w:rsidRPr="005522DA">
        <w:t xml:space="preserve"> users</w:t>
      </w:r>
    </w:p>
    <w:p w14:paraId="4D0B993D" w14:textId="77777777" w:rsidR="00D06D22" w:rsidRPr="005522DA" w:rsidRDefault="00D06D22" w:rsidP="00D06D22">
      <w:pPr>
        <w:pStyle w:val="ListBullet"/>
      </w:pPr>
      <w:r>
        <w:t>P</w:t>
      </w:r>
      <w:r w:rsidRPr="005522DA">
        <w:t>eak bodies</w:t>
      </w:r>
    </w:p>
    <w:p w14:paraId="10AC92DF" w14:textId="6F0A117F" w:rsidR="005522DA" w:rsidRPr="005522DA" w:rsidRDefault="005522DA" w:rsidP="005522DA">
      <w:pPr>
        <w:pStyle w:val="ListBullet"/>
      </w:pPr>
      <w:r>
        <w:t>T</w:t>
      </w:r>
      <w:r w:rsidRPr="005522DA">
        <w:t>he broader community</w:t>
      </w:r>
      <w:r w:rsidR="00A721BE">
        <w:t xml:space="preserve">, including </w:t>
      </w:r>
      <w:r w:rsidR="00F807AE">
        <w:t xml:space="preserve">First Nations </w:t>
      </w:r>
      <w:r w:rsidR="00A721BE">
        <w:t>people</w:t>
      </w:r>
      <w:r w:rsidRPr="005522DA">
        <w:t>.</w:t>
      </w:r>
    </w:p>
    <w:p w14:paraId="478B37C6" w14:textId="0E2B3CCD" w:rsidR="005522DA" w:rsidRDefault="009046F3" w:rsidP="005522DA">
      <w:r>
        <w:t xml:space="preserve">The Inspector–General adopts an engagement approach for relevant </w:t>
      </w:r>
      <w:r w:rsidR="005522DA" w:rsidRPr="005522DA">
        <w:t>stakeholder group</w:t>
      </w:r>
      <w:r>
        <w:t>s</w:t>
      </w:r>
      <w:r w:rsidR="005522DA" w:rsidRPr="005522DA">
        <w:t xml:space="preserve"> </w:t>
      </w:r>
      <w:r w:rsidR="009C6E70">
        <w:t xml:space="preserve">to ensure </w:t>
      </w:r>
      <w:r w:rsidR="00582F20">
        <w:t xml:space="preserve">the outcomes from the management of Basin water resources </w:t>
      </w:r>
      <w:r w:rsidR="00A80ADD">
        <w:t xml:space="preserve">are heard by </w:t>
      </w:r>
      <w:r w:rsidR="00BC1954">
        <w:t xml:space="preserve">and can inform </w:t>
      </w:r>
      <w:r w:rsidR="00A80ADD">
        <w:t>relevant decision</w:t>
      </w:r>
      <w:r w:rsidR="00F5717B">
        <w:t>–</w:t>
      </w:r>
      <w:r w:rsidR="00A80ADD">
        <w:t>makers</w:t>
      </w:r>
      <w:r w:rsidR="009C6E70">
        <w:t>.</w:t>
      </w:r>
      <w:r w:rsidR="00A80ADD">
        <w:t xml:space="preserve"> </w:t>
      </w:r>
    </w:p>
    <w:p w14:paraId="54864706" w14:textId="37CAFC16" w:rsidR="005522DA" w:rsidRPr="00F60038" w:rsidRDefault="005522DA" w:rsidP="00664E5C">
      <w:pPr>
        <w:pStyle w:val="ListNumber"/>
        <w:rPr>
          <w:rStyle w:val="IntenseEmphasis"/>
        </w:rPr>
      </w:pPr>
      <w:r w:rsidRPr="00F60038">
        <w:rPr>
          <w:rStyle w:val="IntenseEmphasis"/>
        </w:rPr>
        <w:t>Mutual responsibility</w:t>
      </w:r>
    </w:p>
    <w:p w14:paraId="3DD6DEF9" w14:textId="5D8F0B8F" w:rsidR="005522DA" w:rsidRPr="005522DA" w:rsidRDefault="000A403F" w:rsidP="005522DA">
      <w:r>
        <w:t xml:space="preserve">The Inspector–General </w:t>
      </w:r>
      <w:r w:rsidR="005522DA">
        <w:t>acknowledge</w:t>
      </w:r>
      <w:r>
        <w:t>s</w:t>
      </w:r>
      <w:r w:rsidR="005522DA">
        <w:t xml:space="preserve"> </w:t>
      </w:r>
      <w:r w:rsidR="001A42B7">
        <w:t xml:space="preserve">the primary roles agencies and other regulators have in </w:t>
      </w:r>
      <w:r w:rsidR="005522DA">
        <w:t xml:space="preserve">the </w:t>
      </w:r>
      <w:r>
        <w:t>management of Basin water resources</w:t>
      </w:r>
      <w:r w:rsidR="006B4949">
        <w:t>.</w:t>
      </w:r>
      <w:r>
        <w:t xml:space="preserve"> </w:t>
      </w:r>
      <w:r w:rsidR="001D3AC5">
        <w:t xml:space="preserve">These roles support and complement the performance of the </w:t>
      </w:r>
      <w:r w:rsidR="00E57D54">
        <w:t>Inspector–General</w:t>
      </w:r>
      <w:r w:rsidR="001D3AC5">
        <w:t>’s functions</w:t>
      </w:r>
      <w:r w:rsidR="00E4537E">
        <w:t xml:space="preserve"> and, as such, the </w:t>
      </w:r>
      <w:r w:rsidR="00E57D54">
        <w:t>Inspector–General</w:t>
      </w:r>
      <w:r w:rsidR="00E4537E">
        <w:t xml:space="preserve"> and </w:t>
      </w:r>
      <w:r w:rsidR="00F04B67">
        <w:t xml:space="preserve">other agencies and regulators act to mutually deliver the </w:t>
      </w:r>
      <w:r w:rsidR="00A80ADD">
        <w:t xml:space="preserve">Water </w:t>
      </w:r>
      <w:r w:rsidR="006B4949">
        <w:t>Act</w:t>
      </w:r>
      <w:r w:rsidR="00F04B67">
        <w:t xml:space="preserve"> and </w:t>
      </w:r>
      <w:r w:rsidR="00A80ADD">
        <w:t xml:space="preserve">Basin </w:t>
      </w:r>
      <w:r w:rsidR="006B4949">
        <w:t xml:space="preserve">Plan </w:t>
      </w:r>
      <w:r w:rsidR="005522DA">
        <w:t xml:space="preserve">through </w:t>
      </w:r>
      <w:r w:rsidR="00F04B67">
        <w:t xml:space="preserve">their </w:t>
      </w:r>
      <w:r w:rsidR="00F4328D">
        <w:t xml:space="preserve">independent exercise of </w:t>
      </w:r>
      <w:r w:rsidR="005522DA">
        <w:t xml:space="preserve">powers and </w:t>
      </w:r>
      <w:r w:rsidR="00F4328D">
        <w:t xml:space="preserve">performance of </w:t>
      </w:r>
      <w:r w:rsidR="005522DA">
        <w:t xml:space="preserve">functions </w:t>
      </w:r>
      <w:r w:rsidR="00F4328D">
        <w:t>in their own legislated jurisdiction</w:t>
      </w:r>
      <w:r w:rsidR="005522DA">
        <w:t>.</w:t>
      </w:r>
    </w:p>
    <w:p w14:paraId="7734D1CB" w14:textId="56D60A01" w:rsidR="005522DA" w:rsidRPr="00F60038" w:rsidRDefault="00892D74" w:rsidP="00664E5C">
      <w:pPr>
        <w:pStyle w:val="ListNumber"/>
        <w:rPr>
          <w:rStyle w:val="IntenseEmphasis"/>
        </w:rPr>
      </w:pPr>
      <w:r w:rsidRPr="00F60038">
        <w:rPr>
          <w:rStyle w:val="IntenseEmphasis"/>
        </w:rPr>
        <w:t>C</w:t>
      </w:r>
      <w:r w:rsidR="005522DA" w:rsidRPr="00F60038">
        <w:rPr>
          <w:rStyle w:val="IntenseEmphasis"/>
        </w:rPr>
        <w:t>ooperation across jurisdictions</w:t>
      </w:r>
    </w:p>
    <w:p w14:paraId="406142B2" w14:textId="2FA4BAD1" w:rsidR="005522DA" w:rsidRPr="005522DA" w:rsidRDefault="005522DA" w:rsidP="005522DA">
      <w:r>
        <w:t xml:space="preserve">Cooperation and coordination between jurisdictions </w:t>
      </w:r>
      <w:r w:rsidR="00F16701">
        <w:t>are</w:t>
      </w:r>
      <w:r w:rsidR="00664E5C">
        <w:t xml:space="preserve"> </w:t>
      </w:r>
      <w:r>
        <w:t xml:space="preserve">critical to </w:t>
      </w:r>
      <w:r w:rsidR="00021482">
        <w:t xml:space="preserve">deliver the objectives of the </w:t>
      </w:r>
      <w:r w:rsidR="00B022C7">
        <w:t xml:space="preserve">Water </w:t>
      </w:r>
      <w:r w:rsidR="00021482">
        <w:t xml:space="preserve">Act and </w:t>
      </w:r>
      <w:r>
        <w:t xml:space="preserve">ensure consistency </w:t>
      </w:r>
      <w:r w:rsidR="009A5027">
        <w:t xml:space="preserve">of outcomes from, effectiveness </w:t>
      </w:r>
      <w:r w:rsidR="00632FFF">
        <w:t xml:space="preserve">of, </w:t>
      </w:r>
      <w:r w:rsidR="009A5027">
        <w:t xml:space="preserve">and </w:t>
      </w:r>
      <w:r w:rsidR="00C23716">
        <w:t xml:space="preserve">equity </w:t>
      </w:r>
      <w:r w:rsidR="00632FFF">
        <w:t xml:space="preserve">around </w:t>
      </w:r>
      <w:r w:rsidR="00C23716">
        <w:t>the management of Basin water resources</w:t>
      </w:r>
      <w:r>
        <w:t>. It also ensure</w:t>
      </w:r>
      <w:r w:rsidR="00021482">
        <w:t>s</w:t>
      </w:r>
      <w:r>
        <w:t xml:space="preserve"> that scarce public resources are employed efficiently, reducing duplication of regulatory effort and improving effectiveness.</w:t>
      </w:r>
    </w:p>
    <w:p w14:paraId="6D90B0E1" w14:textId="56A30641" w:rsidR="005522DA" w:rsidRDefault="005522DA" w:rsidP="00E4445E">
      <w:r w:rsidRPr="005522DA">
        <w:t xml:space="preserve">Central to achieving cooperation across </w:t>
      </w:r>
      <w:r w:rsidR="00AD19DC">
        <w:t xml:space="preserve">government agencies and regulators </w:t>
      </w:r>
      <w:r w:rsidRPr="005522DA">
        <w:t>is agreement on the sharing of data and information to the greatest extent possible within the limits of the law.</w:t>
      </w:r>
      <w:r w:rsidR="00AD19DC">
        <w:t xml:space="preserve"> Government agencies and regulators </w:t>
      </w:r>
      <w:r w:rsidRPr="005522DA">
        <w:t>also share evidence, experimentation, experience and policy initiatives to facilitate the adoption of best practice across jurisdictions.</w:t>
      </w:r>
    </w:p>
    <w:p w14:paraId="1CD5092B" w14:textId="704E236E" w:rsidR="00E4445E" w:rsidRPr="005522DA" w:rsidRDefault="00E4445E" w:rsidP="00E4445E">
      <w:r>
        <w:t xml:space="preserve">The Inspector–General facilitates </w:t>
      </w:r>
      <w:r w:rsidR="00A07F4B">
        <w:t>the sharing of high quality, accurate information and cross</w:t>
      </w:r>
      <w:r w:rsidR="00F5717B">
        <w:t>–</w:t>
      </w:r>
      <w:r w:rsidR="00A07F4B">
        <w:t xml:space="preserve">agency </w:t>
      </w:r>
      <w:r>
        <w:t xml:space="preserve">cooperation in the </w:t>
      </w:r>
      <w:r w:rsidR="002841A0">
        <w:t xml:space="preserve">regulation </w:t>
      </w:r>
      <w:r>
        <w:t>of Basin water resources.</w:t>
      </w:r>
    </w:p>
    <w:p w14:paraId="62DE980E" w14:textId="54837C2D" w:rsidR="005522DA" w:rsidRPr="00F60038" w:rsidRDefault="005522DA" w:rsidP="00664E5C">
      <w:pPr>
        <w:pStyle w:val="ListNumber"/>
        <w:rPr>
          <w:rStyle w:val="IntenseEmphasis"/>
        </w:rPr>
      </w:pPr>
      <w:r w:rsidRPr="00F60038">
        <w:rPr>
          <w:rStyle w:val="IntenseEmphasis"/>
        </w:rPr>
        <w:t>Awareness of the broader regulatory environment</w:t>
      </w:r>
    </w:p>
    <w:p w14:paraId="2604CC45" w14:textId="57490EFF" w:rsidR="00C2794F" w:rsidRDefault="0045558E" w:rsidP="00884362">
      <w:r>
        <w:t xml:space="preserve">The </w:t>
      </w:r>
      <w:r w:rsidR="00E57D54">
        <w:t>Inspector–General</w:t>
      </w:r>
      <w:r>
        <w:t xml:space="preserve"> has regard to </w:t>
      </w:r>
      <w:r w:rsidR="005522DA" w:rsidRPr="005522DA">
        <w:t xml:space="preserve">other relevant and overlapping regulatory </w:t>
      </w:r>
      <w:r w:rsidR="00126393" w:rsidRPr="005522DA">
        <w:t>schemes and</w:t>
      </w:r>
      <w:r>
        <w:t xml:space="preserve"> </w:t>
      </w:r>
      <w:r w:rsidR="00F87D9A">
        <w:t xml:space="preserve">understands </w:t>
      </w:r>
      <w:r w:rsidR="005522DA" w:rsidRPr="005522DA">
        <w:t xml:space="preserve">the role these schemes perform </w:t>
      </w:r>
      <w:r w:rsidR="00F87D9A">
        <w:t>in the context of their functions and powers. The</w:t>
      </w:r>
      <w:r w:rsidR="00691409">
        <w:t xml:space="preserve"> Inspector–General also has regard to the obligations these schemes </w:t>
      </w:r>
      <w:r w:rsidR="005522DA" w:rsidRPr="005522DA">
        <w:t xml:space="preserve">impose on </w:t>
      </w:r>
      <w:r w:rsidR="00691409">
        <w:t xml:space="preserve">water users </w:t>
      </w:r>
      <w:r w:rsidR="005522DA" w:rsidRPr="005522DA">
        <w:t xml:space="preserve">and other </w:t>
      </w:r>
      <w:r w:rsidR="00691409">
        <w:t>stakeholders</w:t>
      </w:r>
      <w:r w:rsidR="00226436">
        <w:t xml:space="preserve"> and how this, in turn, </w:t>
      </w:r>
      <w:r w:rsidR="00FA1AFC">
        <w:t>affects the management of Basin water resources in the national interest</w:t>
      </w:r>
      <w:r w:rsidR="005522DA" w:rsidRPr="005522DA">
        <w:t>.</w:t>
      </w:r>
    </w:p>
    <w:p w14:paraId="4E15A3D6" w14:textId="69867FD2" w:rsidR="000D0302" w:rsidRDefault="00592ADA" w:rsidP="00592ADA">
      <w:pPr>
        <w:pStyle w:val="Heading1"/>
      </w:pPr>
      <w:bookmarkStart w:id="34" w:name="_Toc137125811"/>
      <w:bookmarkStart w:id="35" w:name="_Toc139551378"/>
      <w:bookmarkStart w:id="36" w:name="_Toc161834740"/>
      <w:r>
        <w:lastRenderedPageBreak/>
        <w:t>Regulated entities</w:t>
      </w:r>
      <w:bookmarkEnd w:id="34"/>
      <w:bookmarkEnd w:id="35"/>
      <w:bookmarkEnd w:id="36"/>
    </w:p>
    <w:p w14:paraId="37FBD7A5" w14:textId="3E4EC47F" w:rsidR="00D6547E" w:rsidRDefault="00D0683A" w:rsidP="00884362">
      <w:r>
        <w:t>R</w:t>
      </w:r>
      <w:r w:rsidR="00F350F1">
        <w:t xml:space="preserve">esponsibility for the management of Basin water resources is shared across </w:t>
      </w:r>
      <w:proofErr w:type="gramStart"/>
      <w:r w:rsidR="00F350F1">
        <w:t>a number of</w:t>
      </w:r>
      <w:proofErr w:type="gramEnd"/>
      <w:r w:rsidR="00F350F1">
        <w:t xml:space="preserve"> government agencies</w:t>
      </w:r>
      <w:r w:rsidR="00F350F1" w:rsidRPr="00FD3656">
        <w:t xml:space="preserve">. </w:t>
      </w:r>
      <w:r w:rsidR="00CD641E">
        <w:t>Within this framework, t</w:t>
      </w:r>
      <w:r w:rsidR="00E000D8">
        <w:t xml:space="preserve">he Inspector–General </w:t>
      </w:r>
      <w:r w:rsidR="00C47C1C">
        <w:t xml:space="preserve">is </w:t>
      </w:r>
      <w:r w:rsidR="001F2F84">
        <w:t xml:space="preserve">primarily </w:t>
      </w:r>
      <w:r w:rsidR="00C47C1C">
        <w:t>responsible for regulating Commonwealth and Basin State agencies</w:t>
      </w:r>
      <w:r w:rsidR="00B02F0D">
        <w:t xml:space="preserve">, where those agencies come within the relevant definition in the </w:t>
      </w:r>
      <w:r w:rsidR="009A5AC7">
        <w:t xml:space="preserve">Water </w:t>
      </w:r>
      <w:r w:rsidR="00B02F0D">
        <w:t>Act</w:t>
      </w:r>
      <w:r w:rsidR="00A413DF">
        <w:t>.</w:t>
      </w:r>
    </w:p>
    <w:p w14:paraId="1FCA0009" w14:textId="76002572" w:rsidR="001208F0" w:rsidRPr="00417CCD" w:rsidRDefault="00EA2EBF" w:rsidP="00417CCD">
      <w:pPr>
        <w:pStyle w:val="FigureHeading"/>
      </w:pPr>
      <w:r>
        <w:t xml:space="preserve">Figure </w:t>
      </w:r>
      <w:r>
        <w:fldChar w:fldCharType="begin"/>
      </w:r>
      <w:r>
        <w:instrText xml:space="preserve"> SEQ Figure \* ARABIC </w:instrText>
      </w:r>
      <w:r w:rsidR="005311F4">
        <w:fldChar w:fldCharType="separate"/>
      </w:r>
      <w:r>
        <w:fldChar w:fldCharType="end"/>
      </w:r>
      <w:r>
        <w:t xml:space="preserve">. </w:t>
      </w:r>
      <w:r w:rsidR="0096234D" w:rsidRPr="00417CCD">
        <w:t>Regulatory responsibilities for water management in Basin</w:t>
      </w:r>
    </w:p>
    <w:p w14:paraId="7F7880A3" w14:textId="3D1FBE48" w:rsidR="001208F0" w:rsidRDefault="00B35B4C" w:rsidP="00884362">
      <w:r w:rsidRPr="00B35B4C">
        <w:rPr>
          <w:noProof/>
        </w:rPr>
        <w:drawing>
          <wp:inline distT="0" distB="0" distL="0" distR="0" wp14:anchorId="05D39CA9" wp14:editId="7532EEEE">
            <wp:extent cx="6120130" cy="4135120"/>
            <wp:effectExtent l="0" t="0" r="0" b="0"/>
            <wp:docPr id="1" name="Picture 1" descr="Sets out separate responsibilities of IGWC, MDBA and Basin States, where Basin States allocate water to entitlement holders and collect meter readings, the MDBA directs river operations in River Murray system and assesses water resource plans for accreditation, and the IGWC determines compliance with sustainable diversion limits and water resource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ts out separate responsibilities of IGWC, MDBA and Basin States, where Basin States allocate water to entitlement holders and collect meter readings, the MDBA directs river operations in River Murray system and assesses water resource plans for accreditation, and the IGWC determines compliance with sustainable diversion limits and water resource plans."/>
                    <pic:cNvPicPr/>
                  </pic:nvPicPr>
                  <pic:blipFill>
                    <a:blip r:embed="rId31"/>
                    <a:stretch>
                      <a:fillRect/>
                    </a:stretch>
                  </pic:blipFill>
                  <pic:spPr>
                    <a:xfrm>
                      <a:off x="0" y="0"/>
                      <a:ext cx="6120130" cy="4135120"/>
                    </a:xfrm>
                    <a:prstGeom prst="rect">
                      <a:avLst/>
                    </a:prstGeom>
                  </pic:spPr>
                </pic:pic>
              </a:graphicData>
            </a:graphic>
          </wp:inline>
        </w:drawing>
      </w:r>
    </w:p>
    <w:p w14:paraId="3C3F20A3" w14:textId="2DBCDFC9" w:rsidR="00394AD7" w:rsidRDefault="0096234D" w:rsidP="00114BA8">
      <w:r>
        <w:br/>
      </w:r>
      <w:r w:rsidR="00513B07">
        <w:t xml:space="preserve">For </w:t>
      </w:r>
      <w:r w:rsidR="00817431">
        <w:t xml:space="preserve">relevant Commonwealth </w:t>
      </w:r>
      <w:r w:rsidR="0041476F">
        <w:t xml:space="preserve">agencies, the </w:t>
      </w:r>
      <w:r w:rsidR="00E57D54">
        <w:t>Inspector–General</w:t>
      </w:r>
      <w:r w:rsidR="0041476F">
        <w:t xml:space="preserve"> is responsible for</w:t>
      </w:r>
      <w:r w:rsidR="005970AF">
        <w:t>:</w:t>
      </w:r>
    </w:p>
    <w:p w14:paraId="51E5D07D" w14:textId="712C8760" w:rsidR="00394AD7" w:rsidRDefault="00394AD7" w:rsidP="00394AD7">
      <w:pPr>
        <w:pStyle w:val="ListBullet"/>
      </w:pPr>
      <w:r>
        <w:t>M</w:t>
      </w:r>
      <w:r w:rsidR="0041476F">
        <w:t>onitoring and independent oversight of performance of functions and exercise of powers under relevant parts of the Water Act</w:t>
      </w:r>
      <w:r w:rsidR="00C41BA6">
        <w:t xml:space="preserve">, the </w:t>
      </w:r>
      <w:r w:rsidR="00C41BA6">
        <w:rPr>
          <w:i/>
          <w:iCs/>
        </w:rPr>
        <w:t xml:space="preserve">Water Regulation 2008 </w:t>
      </w:r>
      <w:r w:rsidR="00C41BA6">
        <w:t>(Regulations), the Basin Plan, and water resource plans.</w:t>
      </w:r>
    </w:p>
    <w:p w14:paraId="6BE07F1F" w14:textId="3C02A26A" w:rsidR="00AF300E" w:rsidRDefault="00394AD7" w:rsidP="00E125AE">
      <w:pPr>
        <w:pStyle w:val="ListBullet"/>
      </w:pPr>
      <w:r>
        <w:t>E</w:t>
      </w:r>
      <w:r w:rsidR="00825D74">
        <w:t xml:space="preserve">nforcing compliance with relevant parts of the Water Act, </w:t>
      </w:r>
      <w:r w:rsidR="00C41BA6">
        <w:t xml:space="preserve">the </w:t>
      </w:r>
      <w:r w:rsidR="00825D74">
        <w:t xml:space="preserve">Regulations </w:t>
      </w:r>
      <w:r w:rsidR="00817431">
        <w:t xml:space="preserve">and </w:t>
      </w:r>
      <w:r w:rsidR="00825D74">
        <w:t>the Basin Plan</w:t>
      </w:r>
      <w:r w:rsidR="00FC45B5">
        <w:t xml:space="preserve">. </w:t>
      </w:r>
    </w:p>
    <w:p w14:paraId="29F8B755" w14:textId="54FA1C4A" w:rsidR="00B46C95" w:rsidRPr="00B46C95" w:rsidRDefault="00FC45B5" w:rsidP="003346DE">
      <w:pPr>
        <w:rPr>
          <w:rStyle w:val="IntenseReference"/>
          <w:b w:val="0"/>
          <w:bCs w:val="0"/>
          <w:smallCaps w:val="0"/>
          <w:color w:val="auto"/>
          <w:spacing w:val="0"/>
        </w:rPr>
      </w:pPr>
      <w:r>
        <w:t xml:space="preserve">For </w:t>
      </w:r>
      <w:r w:rsidR="00817431">
        <w:t xml:space="preserve">Basin State agencies, the Inspector–General is responsible for monitoring and overseeing </w:t>
      </w:r>
      <w:r w:rsidR="00963444">
        <w:t>performance of obligations under</w:t>
      </w:r>
      <w:r w:rsidR="002F46C4">
        <w:t xml:space="preserve"> </w:t>
      </w:r>
      <w:r w:rsidR="00817431">
        <w:t xml:space="preserve">the </w:t>
      </w:r>
      <w:r w:rsidR="006301C8">
        <w:t xml:space="preserve">Water </w:t>
      </w:r>
      <w:r w:rsidR="00817431">
        <w:t xml:space="preserve">Act, </w:t>
      </w:r>
      <w:r w:rsidR="006301C8">
        <w:t xml:space="preserve">Basin </w:t>
      </w:r>
      <w:r w:rsidR="00817431">
        <w:t xml:space="preserve">Plan and water resource plans, as well as for enforcing compliance with </w:t>
      </w:r>
      <w:r w:rsidR="00A27E9D">
        <w:t xml:space="preserve">the </w:t>
      </w:r>
      <w:r w:rsidR="0023712C">
        <w:t>Commonwealth w</w:t>
      </w:r>
      <w:r w:rsidR="006301C8">
        <w:t xml:space="preserve">ater </w:t>
      </w:r>
      <w:r w:rsidR="0023712C">
        <w:t>laws</w:t>
      </w:r>
      <w:r w:rsidR="00A27E9D">
        <w:t xml:space="preserve">. </w:t>
      </w:r>
      <w:r w:rsidR="00F3003C">
        <w:t xml:space="preserve">In </w:t>
      </w:r>
      <w:r w:rsidR="00396AC7">
        <w:t>doing this</w:t>
      </w:r>
      <w:r w:rsidR="00681A0D">
        <w:t xml:space="preserve">, the Inspector–General’s jurisdiction is </w:t>
      </w:r>
      <w:r w:rsidR="00390E4B">
        <w:t xml:space="preserve">restricted </w:t>
      </w:r>
      <w:r w:rsidR="00681A0D">
        <w:t xml:space="preserve">to </w:t>
      </w:r>
      <w:r w:rsidR="00114BA8">
        <w:t xml:space="preserve">the management of water resources in the Basin </w:t>
      </w:r>
      <w:r w:rsidR="00E9637E">
        <w:t xml:space="preserve">under the Water Act </w:t>
      </w:r>
      <w:r w:rsidR="0023712C">
        <w:t>and</w:t>
      </w:r>
      <w:r w:rsidR="00114BA8">
        <w:t xml:space="preserve"> to matters affecting the quantity and/ or quality of Basin water resources</w:t>
      </w:r>
    </w:p>
    <w:p w14:paraId="616DEFA2" w14:textId="799E03F5" w:rsidR="003346DE" w:rsidRPr="00AE3FB9" w:rsidRDefault="003346DE" w:rsidP="003346DE">
      <w:pPr>
        <w:rPr>
          <w:rStyle w:val="IntenseReference"/>
        </w:rPr>
      </w:pPr>
      <w:r w:rsidRPr="00AE3FB9">
        <w:rPr>
          <w:rStyle w:val="IntenseReference"/>
        </w:rPr>
        <w:t>Basin State responsibilities</w:t>
      </w:r>
    </w:p>
    <w:p w14:paraId="518EF6B0" w14:textId="77777777" w:rsidR="003346DE" w:rsidRPr="00AE3FB9" w:rsidRDefault="003346DE" w:rsidP="003346DE">
      <w:r>
        <w:t>Basin States are responsible for applying, administering and enforcing relevant state laws. Among other things, this means state agencies are responsible for water access licensing and the allocation of available water to the different types of licences issued.</w:t>
      </w:r>
    </w:p>
    <w:p w14:paraId="5BC3E0E9" w14:textId="290ACA03" w:rsidR="008F2962" w:rsidRDefault="004607A1" w:rsidP="00681A0D">
      <w:r>
        <w:lastRenderedPageBreak/>
        <w:t>For clarity</w:t>
      </w:r>
      <w:r w:rsidR="008320C2">
        <w:t xml:space="preserve">, the Inspector–General’s jurisdiction </w:t>
      </w:r>
      <w:r>
        <w:t xml:space="preserve">with respect to Commonwealth and Basin State agencies </w:t>
      </w:r>
      <w:r w:rsidR="008320C2">
        <w:t xml:space="preserve">relates to </w:t>
      </w:r>
      <w:r w:rsidR="008F2962">
        <w:t xml:space="preserve">only certain elements of the national frameworks. </w:t>
      </w:r>
      <w:r w:rsidR="006B7D8B">
        <w:t xml:space="preserve">The Inspector–General is not responsible for regulating </w:t>
      </w:r>
      <w:r w:rsidR="00613975">
        <w:t xml:space="preserve">matters outside of this (for </w:t>
      </w:r>
      <w:r w:rsidR="008F2962">
        <w:t>example, the Murray–Darling Basin Agreement set out in Schedule 1 of the Water Act</w:t>
      </w:r>
      <w:r w:rsidR="006B7D8B">
        <w:t xml:space="preserve"> or the administration or enforcement of </w:t>
      </w:r>
      <w:r w:rsidR="008F2962">
        <w:t>Basin State laws</w:t>
      </w:r>
      <w:r w:rsidR="006B7D8B">
        <w:t>)</w:t>
      </w:r>
      <w:r w:rsidR="008F2962">
        <w:t>.</w:t>
      </w:r>
    </w:p>
    <w:p w14:paraId="65083078" w14:textId="55096FB0" w:rsidR="00396AC7" w:rsidRDefault="00396AC7" w:rsidP="00681A0D">
      <w:r>
        <w:t xml:space="preserve">However, to the extent it may be relevant, the Inspector–General is responsible for ensuring that </w:t>
      </w:r>
      <w:r w:rsidR="00D20E24">
        <w:t>the Commonwealth and Basin State agencies who do have responsibilities in relation to these matters</w:t>
      </w:r>
      <w:r w:rsidR="00455F54">
        <w:t xml:space="preserve"> comply with the Water Act when </w:t>
      </w:r>
      <w:r w:rsidR="00750D25">
        <w:t xml:space="preserve">performing these roles. Specifically, </w:t>
      </w:r>
      <w:r w:rsidR="00960843">
        <w:t xml:space="preserve">performing an act that is inconsistent with the Basin Plan </w:t>
      </w:r>
      <w:r w:rsidR="00FE7754">
        <w:t>or water resource plans may be a contravention of Part 2 of the Water Act.</w:t>
      </w:r>
    </w:p>
    <w:p w14:paraId="50B6BD14" w14:textId="22FC960A" w:rsidR="00B0124A" w:rsidRDefault="008E6E2F" w:rsidP="00114BA8">
      <w:r w:rsidRPr="00F402A3">
        <w:t xml:space="preserve">The Inspector-General is the appropriate enforcement agency for Part 7A of the Water Act, which relates to </w:t>
      </w:r>
      <w:r w:rsidR="00DF6A9B" w:rsidRPr="00F402A3">
        <w:t xml:space="preserve">water markets information. Under Part 7A, the Inspector-General has jurisdiction over </w:t>
      </w:r>
      <w:r w:rsidR="003F74A8">
        <w:t xml:space="preserve">the </w:t>
      </w:r>
      <w:r w:rsidR="003F74A8" w:rsidRPr="00F402A3">
        <w:t xml:space="preserve">provision of information relating to water </w:t>
      </w:r>
      <w:r w:rsidR="009B417F">
        <w:t xml:space="preserve">trading activities </w:t>
      </w:r>
      <w:r w:rsidR="003F74A8">
        <w:t xml:space="preserve">by </w:t>
      </w:r>
      <w:r w:rsidR="00B91B7D" w:rsidRPr="00F402A3">
        <w:t xml:space="preserve">government agencies, </w:t>
      </w:r>
      <w:r w:rsidR="000071E2" w:rsidRPr="00F402A3">
        <w:t xml:space="preserve">water users, </w:t>
      </w:r>
      <w:r w:rsidR="005A1202">
        <w:t xml:space="preserve">irrigation </w:t>
      </w:r>
      <w:r w:rsidR="000071E2" w:rsidRPr="00F402A3">
        <w:t>infrastructure operators, water traders, brokers, etc.</w:t>
      </w:r>
    </w:p>
    <w:p w14:paraId="2F06CA48" w14:textId="30BBC82A" w:rsidR="00B46C95" w:rsidRPr="00B46C95" w:rsidRDefault="00B66E51" w:rsidP="00114BA8">
      <w:pPr>
        <w:rPr>
          <w:sz w:val="18"/>
          <w:szCs w:val="20"/>
        </w:rPr>
      </w:pPr>
      <w:r>
        <w:t>In a more limited way, t</w:t>
      </w:r>
      <w:r w:rsidR="00114BA8">
        <w:t xml:space="preserve">he Inspector–General is also responsible for monitoring and enforcing water users, infrastructure operators, water traders, brokers, etc. compliance with the </w:t>
      </w:r>
      <w:r w:rsidR="006301C8">
        <w:t xml:space="preserve">Water </w:t>
      </w:r>
      <w:r w:rsidR="00114BA8">
        <w:t xml:space="preserve">Act, </w:t>
      </w:r>
      <w:r w:rsidR="006301C8">
        <w:t xml:space="preserve">Basin </w:t>
      </w:r>
      <w:r w:rsidR="00114BA8">
        <w:t>Plan and water resource plans</w:t>
      </w:r>
      <w:r w:rsidR="0022095F">
        <w:t xml:space="preserve">, primarily in relation to the Commonwealth’s water </w:t>
      </w:r>
      <w:r w:rsidR="0022095F" w:rsidRPr="00B46C95">
        <w:rPr>
          <w:sz w:val="18"/>
          <w:szCs w:val="20"/>
        </w:rPr>
        <w:t>trading rules in the Basin Plan</w:t>
      </w:r>
      <w:r w:rsidR="00114BA8" w:rsidRPr="00B46C95">
        <w:rPr>
          <w:sz w:val="18"/>
          <w:szCs w:val="20"/>
        </w:rPr>
        <w:t>.</w:t>
      </w:r>
    </w:p>
    <w:p w14:paraId="5C4B84D0" w14:textId="2EFA8B95" w:rsidR="00B46C95" w:rsidRPr="00336B93" w:rsidRDefault="00B46C95" w:rsidP="00B46C95">
      <w:pPr>
        <w:rPr>
          <w:rStyle w:val="IntenseReference"/>
        </w:rPr>
      </w:pPr>
      <w:r>
        <w:rPr>
          <w:rStyle w:val="IntenseReference"/>
        </w:rPr>
        <w:t>Inspector-General’s r</w:t>
      </w:r>
      <w:r w:rsidRPr="00336B93">
        <w:rPr>
          <w:rStyle w:val="IntenseReference"/>
        </w:rPr>
        <w:t>ole with respect to irrigation infrastructure operators</w:t>
      </w:r>
    </w:p>
    <w:p w14:paraId="58330218" w14:textId="77777777" w:rsidR="00B46C95" w:rsidRDefault="00B46C95" w:rsidP="00B46C95">
      <w:r w:rsidRPr="000327F8">
        <w:t>An irrigation infrastructure operator is an entity that owns or operates water service infrastructure to deliver water for the primary purpose of it being used for irrigation.</w:t>
      </w:r>
      <w:r>
        <w:t xml:space="preserve"> Irrigation infrastructure operators:</w:t>
      </w:r>
    </w:p>
    <w:p w14:paraId="37E42717" w14:textId="77777777" w:rsidR="00B46C95" w:rsidRDefault="00B46C95" w:rsidP="00B46C95">
      <w:pPr>
        <w:pStyle w:val="ListBullet"/>
      </w:pPr>
      <w:r>
        <w:t xml:space="preserve">Deliver </w:t>
      </w:r>
      <w:r w:rsidRPr="000327F8">
        <w:t>irrigation water from a water source through a network of channels and/</w:t>
      </w:r>
      <w:r>
        <w:t xml:space="preserve"> </w:t>
      </w:r>
      <w:r w:rsidRPr="000327F8">
        <w:t>or pipes to customer’s extraction points</w:t>
      </w:r>
    </w:p>
    <w:p w14:paraId="46BC6510" w14:textId="77777777" w:rsidR="00B46C95" w:rsidRDefault="00B46C95" w:rsidP="00B46C95">
      <w:pPr>
        <w:pStyle w:val="ListBullet"/>
      </w:pPr>
      <w:r>
        <w:t xml:space="preserve">Are </w:t>
      </w:r>
      <w:r w:rsidRPr="000327F8">
        <w:t>responsible for maintaining the irrigation infrastructure</w:t>
      </w:r>
      <w:r>
        <w:t xml:space="preserve">, and may </w:t>
      </w:r>
      <w:r w:rsidRPr="000327F8">
        <w:t>also provide other services such as managing water access rights on behalf of customers</w:t>
      </w:r>
    </w:p>
    <w:p w14:paraId="447DEA22" w14:textId="77777777" w:rsidR="00B46C95" w:rsidRPr="000327F8" w:rsidRDefault="00B46C95" w:rsidP="00B46C95">
      <w:pPr>
        <w:pStyle w:val="ListBullet"/>
      </w:pPr>
      <w:r>
        <w:t>I</w:t>
      </w:r>
      <w:r w:rsidRPr="000327F8">
        <w:t>mpose charges to recover the costs associated with providing customers with water delivery and water management services.</w:t>
      </w:r>
    </w:p>
    <w:p w14:paraId="2D8BF398" w14:textId="77777777" w:rsidR="00B46C95" w:rsidRDefault="00B46C95" w:rsidP="00B46C95">
      <w:r w:rsidRPr="00EF0F73">
        <w:t xml:space="preserve">The Inspector–General </w:t>
      </w:r>
      <w:r>
        <w:t xml:space="preserve">performs their compliance and </w:t>
      </w:r>
      <w:r w:rsidRPr="00EF0F73">
        <w:t xml:space="preserve">enforcement </w:t>
      </w:r>
      <w:r>
        <w:t xml:space="preserve">functions </w:t>
      </w:r>
      <w:r w:rsidRPr="00EF0F73">
        <w:t xml:space="preserve">in relation to </w:t>
      </w:r>
      <w:r>
        <w:t>irrigation infrastructure operators. The Inspector-General is the appropriate enforcement agency of irrigation infrastructure where obligations are imposed under Part 2 of the Water Act, including with respect to compliance with the Basin Plan, the water trading rules and/ or water resource plans</w:t>
      </w:r>
      <w:r w:rsidRPr="00EF0F73">
        <w:t>. The Inspector–General can use a range of powers to assess compliance with these obligations</w:t>
      </w:r>
      <w:r>
        <w:t xml:space="preserve">, such as conducting </w:t>
      </w:r>
      <w:r w:rsidRPr="00EF0F73">
        <w:t xml:space="preserve">audits </w:t>
      </w:r>
      <w:r>
        <w:t xml:space="preserve">or </w:t>
      </w:r>
      <w:r w:rsidRPr="00EF0F73">
        <w:t>investigations.</w:t>
      </w:r>
    </w:p>
    <w:p w14:paraId="6D0CCE81" w14:textId="77777777" w:rsidR="00B46C95" w:rsidRDefault="00B46C95" w:rsidP="00B46C95">
      <w:r w:rsidRPr="00F402A3">
        <w:t>Irrigation infrastructure operators (among others) are required to report all relevant information regarding their water trading. The Inspector-General is the appropriate enforcement agency for these obligations and may use their compliance powers for these obligations.</w:t>
      </w:r>
    </w:p>
    <w:p w14:paraId="1F5B2539" w14:textId="77777777" w:rsidR="00B46C95" w:rsidRPr="00225B90" w:rsidRDefault="00B46C95" w:rsidP="00B46C95">
      <w:r w:rsidRPr="00B90AEA">
        <w:t xml:space="preserve">In addition, the Inspector-General </w:t>
      </w:r>
      <w:r>
        <w:t xml:space="preserve">performs their monitoring and independent oversight functions with respect to certain irrigation infrastructure operators. Unlike for their compliance and enforcement functions, the Inspector-General may only </w:t>
      </w:r>
      <w:r w:rsidRPr="00B90AEA">
        <w:t xml:space="preserve">use </w:t>
      </w:r>
      <w:r>
        <w:t xml:space="preserve">their inquiry </w:t>
      </w:r>
      <w:r w:rsidRPr="00B90AEA">
        <w:t xml:space="preserve">powers </w:t>
      </w:r>
      <w:r>
        <w:t xml:space="preserve">in relation to </w:t>
      </w:r>
      <w:r w:rsidRPr="00B90AEA">
        <w:t xml:space="preserve">government-owned </w:t>
      </w:r>
      <w:r>
        <w:t xml:space="preserve">irrigation infrastructure operators. This means the Inspector-General does not perform these functions in respect to </w:t>
      </w:r>
      <w:r w:rsidRPr="00B90AEA">
        <w:t xml:space="preserve">privately-owned </w:t>
      </w:r>
      <w:r>
        <w:t>irrigation infrastructure operators</w:t>
      </w:r>
      <w:r w:rsidRPr="00B90AEA">
        <w:t>.</w:t>
      </w:r>
    </w:p>
    <w:p w14:paraId="1ACAF54D" w14:textId="77777777" w:rsidR="00B46C95" w:rsidRDefault="00B46C95" w:rsidP="00114BA8"/>
    <w:p w14:paraId="3AFE47DE" w14:textId="77777777" w:rsidR="00B46C95" w:rsidRDefault="00B46C95" w:rsidP="00114BA8"/>
    <w:p w14:paraId="14797E8B" w14:textId="0315762C" w:rsidR="00A74D2F" w:rsidRDefault="003F74A8" w:rsidP="00A74D2F">
      <w:r>
        <w:lastRenderedPageBreak/>
        <w:br/>
      </w:r>
      <w:r w:rsidR="00A74D2F">
        <w:t xml:space="preserve">The Inspector–General is responsible for monitoring and overseeing Commonwealth and Basin State agencies’ implementation of commitments in relevant intergovernmental agreements. Intergovernmental agreements </w:t>
      </w:r>
      <w:r w:rsidR="00A74D2F" w:rsidRPr="00427A92">
        <w:t>express the commitment of governments to work together on certain objectives or goals</w:t>
      </w:r>
      <w:r w:rsidR="00A74D2F">
        <w:t>. For water, intergovernmental agreements support a federalist–type approach to the regulation of water and, relevantly, the management of Basin water resources. The goal of this federalised approach is to establish a regulatory structure that collectively functions as a single scheme operating in the national interest</w:t>
      </w:r>
      <w:r w:rsidR="0061374E">
        <w:t xml:space="preserve"> </w:t>
      </w:r>
      <w:r w:rsidR="00EF1891">
        <w:t xml:space="preserve">and where implementation of projects support delivery of the regulatory objectives (e.g., Basin State projects delivered under the </w:t>
      </w:r>
      <w:hyperlink r:id="rId32" w:history="1">
        <w:r w:rsidR="00EF1891" w:rsidRPr="00F448C5">
          <w:rPr>
            <w:rStyle w:val="Hyperlink"/>
          </w:rPr>
          <w:t>Off-Farm Efficiency Program</w:t>
        </w:r>
      </w:hyperlink>
      <w:r w:rsidR="00EF1891">
        <w:t>)</w:t>
      </w:r>
      <w:r w:rsidR="00A609E6">
        <w:t>.</w:t>
      </w:r>
    </w:p>
    <w:p w14:paraId="13F859F7" w14:textId="5BA339C2" w:rsidR="00A74D2F" w:rsidRDefault="00A74D2F" w:rsidP="00A74D2F">
      <w:r>
        <w:t>Intergovernmental agreements specify the intended purpose and outcomes the agreements support. In considering the implementation of commitments in intergovernmental agreements, the Inspector–General has regard to the overarching intent of the agreement, along with the specific commitments of each party. The Inspector–General also has regard to the interactions between and with other intergovernmental agreements, as these provide broader context.</w:t>
      </w:r>
    </w:p>
    <w:p w14:paraId="0F5312FA" w14:textId="69CC1D9A" w:rsidR="00206351" w:rsidRDefault="00206351" w:rsidP="00206351">
      <w:r>
        <w:t xml:space="preserve">In performing the above roles, the Inspector–General uses the powers and other tools set out in the </w:t>
      </w:r>
      <w:r w:rsidRPr="00C5292A">
        <w:rPr>
          <w:rStyle w:val="SubtleReference"/>
          <w:color w:val="3D7A92" w:themeColor="background1" w:themeShade="80"/>
        </w:rPr>
        <w:fldChar w:fldCharType="begin"/>
      </w:r>
      <w:r w:rsidRPr="00C5292A">
        <w:rPr>
          <w:rStyle w:val="SubtleReference"/>
          <w:color w:val="3D7A92" w:themeColor="background1" w:themeShade="80"/>
        </w:rPr>
        <w:instrText xml:space="preserve"> REF _Ref126854943 \h  \* MERGEFORMAT </w:instrText>
      </w:r>
      <w:r w:rsidRPr="00C5292A">
        <w:rPr>
          <w:rStyle w:val="SubtleReference"/>
          <w:color w:val="3D7A92" w:themeColor="background1" w:themeShade="80"/>
        </w:rPr>
      </w:r>
      <w:r w:rsidRPr="00C5292A">
        <w:rPr>
          <w:rStyle w:val="SubtleReference"/>
          <w:color w:val="3D7A92" w:themeColor="background1" w:themeShade="80"/>
        </w:rPr>
        <w:fldChar w:fldCharType="separate"/>
      </w:r>
      <w:r w:rsidR="0030522E" w:rsidRPr="00C5292A">
        <w:rPr>
          <w:rStyle w:val="SubtleReference"/>
          <w:color w:val="3D7A92" w:themeColor="background1" w:themeShade="80"/>
        </w:rPr>
        <w:t>Regulatory tools</w:t>
      </w:r>
      <w:r w:rsidRPr="00C5292A">
        <w:rPr>
          <w:rStyle w:val="SubtleReference"/>
          <w:color w:val="3D7A92" w:themeColor="background1" w:themeShade="80"/>
        </w:rPr>
        <w:fldChar w:fldCharType="end"/>
      </w:r>
      <w:r>
        <w:t xml:space="preserve">, </w:t>
      </w:r>
      <w:r w:rsidR="00D26BC4" w:rsidRPr="00C5292A">
        <w:rPr>
          <w:rStyle w:val="SubtleReference"/>
          <w:color w:val="3D7A92" w:themeColor="background1" w:themeShade="80"/>
        </w:rPr>
        <w:fldChar w:fldCharType="begin"/>
      </w:r>
      <w:r w:rsidR="00D26BC4" w:rsidRPr="00C5292A">
        <w:rPr>
          <w:rStyle w:val="SubtleReference"/>
          <w:color w:val="3D7A92" w:themeColor="background1" w:themeShade="80"/>
        </w:rPr>
        <w:instrText xml:space="preserve"> REF _Ref145487394 \h </w:instrText>
      </w:r>
      <w:r w:rsidR="00627D99" w:rsidRPr="00C5292A">
        <w:rPr>
          <w:rStyle w:val="SubtleReference"/>
          <w:color w:val="3D7A92" w:themeColor="background1" w:themeShade="80"/>
        </w:rPr>
        <w:instrText xml:space="preserve"> \* MERGEFORMAT </w:instrText>
      </w:r>
      <w:r w:rsidR="00D26BC4" w:rsidRPr="00C5292A">
        <w:rPr>
          <w:rStyle w:val="SubtleReference"/>
          <w:color w:val="3D7A92" w:themeColor="background1" w:themeShade="80"/>
        </w:rPr>
      </w:r>
      <w:r w:rsidR="00D26BC4" w:rsidRPr="00C5292A">
        <w:rPr>
          <w:rStyle w:val="SubtleReference"/>
          <w:color w:val="3D7A92" w:themeColor="background1" w:themeShade="80"/>
        </w:rPr>
        <w:fldChar w:fldCharType="separate"/>
      </w:r>
      <w:r w:rsidR="00D26BC4" w:rsidRPr="00C5292A">
        <w:rPr>
          <w:rStyle w:val="SubtleReference"/>
          <w:color w:val="3D7A92" w:themeColor="background1" w:themeShade="80"/>
        </w:rPr>
        <w:t>Compliance approach</w:t>
      </w:r>
      <w:r w:rsidR="00D26BC4" w:rsidRPr="00C5292A">
        <w:rPr>
          <w:rStyle w:val="SubtleReference"/>
          <w:color w:val="3D7A92" w:themeColor="background1" w:themeShade="80"/>
        </w:rPr>
        <w:fldChar w:fldCharType="end"/>
      </w:r>
      <w:r>
        <w:t xml:space="preserve">, and </w:t>
      </w:r>
      <w:r w:rsidR="00627D99" w:rsidRPr="00C5292A">
        <w:rPr>
          <w:rStyle w:val="SubtleReference"/>
          <w:color w:val="3D7A92" w:themeColor="background1" w:themeShade="80"/>
        </w:rPr>
        <w:fldChar w:fldCharType="begin"/>
      </w:r>
      <w:r w:rsidR="00627D99" w:rsidRPr="00C5292A">
        <w:rPr>
          <w:rStyle w:val="SubtleReference"/>
          <w:color w:val="3D7A92" w:themeColor="background1" w:themeShade="80"/>
        </w:rPr>
        <w:instrText xml:space="preserve"> REF _Ref145487399 \h  \* MERGEFORMAT </w:instrText>
      </w:r>
      <w:r w:rsidR="00627D99" w:rsidRPr="00C5292A">
        <w:rPr>
          <w:rStyle w:val="SubtleReference"/>
          <w:color w:val="3D7A92" w:themeColor="background1" w:themeShade="80"/>
        </w:rPr>
      </w:r>
      <w:r w:rsidR="00627D99" w:rsidRPr="00C5292A">
        <w:rPr>
          <w:rStyle w:val="SubtleReference"/>
          <w:color w:val="3D7A92" w:themeColor="background1" w:themeShade="80"/>
        </w:rPr>
        <w:fldChar w:fldCharType="separate"/>
      </w:r>
      <w:r w:rsidR="00627D99" w:rsidRPr="00C5292A">
        <w:rPr>
          <w:rStyle w:val="SubtleReference"/>
          <w:color w:val="3D7A92" w:themeColor="background1" w:themeShade="80"/>
        </w:rPr>
        <w:t>Performance approach</w:t>
      </w:r>
      <w:r w:rsidR="00627D99" w:rsidRPr="00C5292A">
        <w:rPr>
          <w:rStyle w:val="SubtleReference"/>
          <w:color w:val="3D7A92" w:themeColor="background1" w:themeShade="80"/>
        </w:rPr>
        <w:fldChar w:fldCharType="end"/>
      </w:r>
      <w:r>
        <w:t xml:space="preserve"> sections below. </w:t>
      </w:r>
    </w:p>
    <w:p w14:paraId="56A5AA50" w14:textId="3BAB9246" w:rsidR="00206351" w:rsidRDefault="00206351" w:rsidP="00206351">
      <w:pPr>
        <w:pStyle w:val="Heading2"/>
      </w:pPr>
      <w:bookmarkStart w:id="37" w:name="_Toc137125812"/>
      <w:bookmarkStart w:id="38" w:name="_Toc139551379"/>
      <w:bookmarkStart w:id="39" w:name="_Toc161834741"/>
      <w:r>
        <w:t>Coordination with other Commonwealth agencies</w:t>
      </w:r>
      <w:bookmarkEnd w:id="37"/>
      <w:bookmarkEnd w:id="38"/>
      <w:bookmarkEnd w:id="39"/>
    </w:p>
    <w:p w14:paraId="2C839D66" w14:textId="77777777" w:rsidR="00206351" w:rsidRDefault="00206351" w:rsidP="00206351">
      <w:r>
        <w:t>The Inspector–General shares responsibility for administering laws regulating Basin water resources with other agencies. For the Commonwealth, this means the Inspector–General currently works alongside:</w:t>
      </w:r>
    </w:p>
    <w:p w14:paraId="503A1FD4" w14:textId="77777777" w:rsidR="00206351" w:rsidRDefault="00206351" w:rsidP="00206351">
      <w:pPr>
        <w:pStyle w:val="ListBullet"/>
      </w:pPr>
      <w:r>
        <w:t>Murray–Darling Basin Authority (MDBA)</w:t>
      </w:r>
    </w:p>
    <w:p w14:paraId="60E3F6AF" w14:textId="77777777" w:rsidR="00206351" w:rsidRDefault="00206351" w:rsidP="00206351">
      <w:pPr>
        <w:pStyle w:val="ListBullet"/>
      </w:pPr>
      <w:r>
        <w:t>Australian Competition and Consumer Commission (ACCC)</w:t>
      </w:r>
    </w:p>
    <w:p w14:paraId="247B7C48" w14:textId="77777777" w:rsidR="00206351" w:rsidRDefault="00206351" w:rsidP="00206351">
      <w:pPr>
        <w:pStyle w:val="ListBullet"/>
      </w:pPr>
      <w:r>
        <w:t>Productivity Commission (PC)</w:t>
      </w:r>
    </w:p>
    <w:p w14:paraId="305B8E6E" w14:textId="3778D4EC" w:rsidR="00206351" w:rsidRDefault="00206351" w:rsidP="00206351">
      <w:pPr>
        <w:pStyle w:val="ListBullet"/>
      </w:pPr>
      <w:r>
        <w:t>Bureau of Meteorology (BOM)</w:t>
      </w:r>
    </w:p>
    <w:p w14:paraId="739C5291" w14:textId="77777777" w:rsidR="00E05665" w:rsidRDefault="00206351" w:rsidP="00206351">
      <w:pPr>
        <w:pStyle w:val="ListBullet"/>
      </w:pPr>
      <w:r>
        <w:t>Commonwealth Environmental Water Holder (CEWH)</w:t>
      </w:r>
    </w:p>
    <w:p w14:paraId="4373D53F" w14:textId="3B3022A3" w:rsidR="00206351" w:rsidRDefault="00F85422" w:rsidP="00206351">
      <w:pPr>
        <w:pStyle w:val="ListBullet"/>
      </w:pPr>
      <w:r>
        <w:t xml:space="preserve">Commonwealth </w:t>
      </w:r>
      <w:r w:rsidR="00A20822">
        <w:t>department with portfolio responsibility for maintaining the Water Act and national water policy</w:t>
      </w:r>
      <w:r w:rsidR="00206351">
        <w:t>.</w:t>
      </w:r>
    </w:p>
    <w:p w14:paraId="6E46122A" w14:textId="6D976660" w:rsidR="00DF29C3" w:rsidRDefault="007E0DE1" w:rsidP="00285CB0">
      <w:r>
        <w:t>The Inspector–General adopts a proactive approach of engaging with other relevant agencies when providing advice that does or may relate to the performance of their functions or exercise of their powers. The Inspector–General notes, however, this coordination does not affect any agencies’, including the Inspector–General’s, capacity to independently provide advice on any matter relevant to their functions or powers.</w:t>
      </w:r>
    </w:p>
    <w:p w14:paraId="7A6BBA6E" w14:textId="77777777" w:rsidR="00D31E9D" w:rsidRDefault="00D31E9D" w:rsidP="00D31E9D">
      <w:pPr>
        <w:pStyle w:val="Heading2"/>
      </w:pPr>
      <w:bookmarkStart w:id="40" w:name="_Toc139551380"/>
      <w:bookmarkStart w:id="41" w:name="_Toc161834742"/>
      <w:r>
        <w:t>Collaboration with other entities</w:t>
      </w:r>
      <w:bookmarkEnd w:id="40"/>
      <w:bookmarkEnd w:id="41"/>
    </w:p>
    <w:p w14:paraId="11DC100A" w14:textId="180C30F1" w:rsidR="00D31E9D" w:rsidRDefault="00D31E9D" w:rsidP="00D31E9D">
      <w:r>
        <w:t xml:space="preserve">To facilitate the effective management of Basin water resources by multiple parties, the Inspector–General adopts an </w:t>
      </w:r>
      <w:r w:rsidRPr="00FD3656">
        <w:t>inclusive</w:t>
      </w:r>
      <w:r>
        <w:t xml:space="preserve"> and outcomes–based </w:t>
      </w:r>
      <w:r w:rsidRPr="00FD3656">
        <w:t xml:space="preserve">approach to </w:t>
      </w:r>
      <w:r>
        <w:t xml:space="preserve">facilitate mutually effective outcomes in </w:t>
      </w:r>
      <w:r w:rsidRPr="00E65CD3">
        <w:t>each</w:t>
      </w:r>
      <w:r>
        <w:t xml:space="preserve"> partie</w:t>
      </w:r>
      <w:r w:rsidRPr="00E65CD3">
        <w:t>s</w:t>
      </w:r>
      <w:r w:rsidR="00F558D1">
        <w:t>’</w:t>
      </w:r>
      <w:r>
        <w:t xml:space="preserve"> respective areas of responsibility. The Inspector–General has also established agreements with other agencies setting out how the Inspector–General and those agencies work together.</w:t>
      </w:r>
    </w:p>
    <w:p w14:paraId="1CE3A64A" w14:textId="77777777" w:rsidR="00975C9B" w:rsidRDefault="00D31E9D" w:rsidP="00285CB0">
      <w:r>
        <w:t xml:space="preserve">The Inspector–General is responsible for monitoring, overseeing and enforcing compliance with the Water Act and Basin Plan, where these functions apply to the MDBA. As such, the Inspector–General both sits alongside the MDBA, with separate and complementary roles, and regulates the MDBA. </w:t>
      </w:r>
    </w:p>
    <w:p w14:paraId="1778F6E7" w14:textId="64FEF69F" w:rsidR="00975C9B" w:rsidRDefault="00975C9B" w:rsidP="00285CB0">
      <w:proofErr w:type="spellStart"/>
      <w:r>
        <w:t>Cth</w:t>
      </w:r>
      <w:proofErr w:type="spellEnd"/>
      <w:r>
        <w:t xml:space="preserve"> Water Minister</w:t>
      </w:r>
    </w:p>
    <w:p w14:paraId="180C4D77" w14:textId="4E72923F" w:rsidR="001A1FBB" w:rsidRDefault="001A1FBB" w:rsidP="00981D30">
      <w:pPr>
        <w:pStyle w:val="ListParagraph"/>
        <w:numPr>
          <w:ilvl w:val="0"/>
          <w:numId w:val="19"/>
        </w:numPr>
      </w:pPr>
      <w:r>
        <w:t xml:space="preserve">Rule maker, </w:t>
      </w:r>
      <w:proofErr w:type="spellStart"/>
      <w:r>
        <w:t>Cth</w:t>
      </w:r>
      <w:proofErr w:type="spellEnd"/>
      <w:r>
        <w:t xml:space="preserve"> policy and enforcing water information requirements</w:t>
      </w:r>
    </w:p>
    <w:p w14:paraId="5D18F3F3" w14:textId="7F9D4FB3" w:rsidR="001A1FBB" w:rsidRDefault="001A1FBB" w:rsidP="00981D30">
      <w:pPr>
        <w:pStyle w:val="ListParagraph"/>
        <w:numPr>
          <w:ilvl w:val="0"/>
          <w:numId w:val="19"/>
        </w:numPr>
      </w:pPr>
      <w:r>
        <w:lastRenderedPageBreak/>
        <w:t>Makes Basin Plan and accredits water resource plans with support from department (DCCEEW) and based on advice from MDBA</w:t>
      </w:r>
    </w:p>
    <w:p w14:paraId="263A13D7" w14:textId="464A29C6" w:rsidR="001A1FBB" w:rsidRDefault="001A1FBB" w:rsidP="001A1FBB">
      <w:r>
        <w:t>MDBA</w:t>
      </w:r>
    </w:p>
    <w:p w14:paraId="51ABAFCC" w14:textId="75169C00" w:rsidR="001A1FBB" w:rsidRDefault="001A1FBB" w:rsidP="00981D30">
      <w:pPr>
        <w:pStyle w:val="ListParagraph"/>
        <w:numPr>
          <w:ilvl w:val="0"/>
          <w:numId w:val="20"/>
        </w:numPr>
      </w:pPr>
      <w:r>
        <w:t>Runs the river and provides advice to Government</w:t>
      </w:r>
    </w:p>
    <w:p w14:paraId="61DF4B72" w14:textId="02BE2E08" w:rsidR="001A1FBB" w:rsidRDefault="001A1FBB" w:rsidP="00981D30">
      <w:pPr>
        <w:pStyle w:val="ListParagraph"/>
        <w:numPr>
          <w:ilvl w:val="0"/>
          <w:numId w:val="20"/>
        </w:numPr>
      </w:pPr>
      <w:r>
        <w:t>Runs the Murray River, maintains water accounting information, implements Basin Plan, assesses proposed water resource plans and quantity and quality of Basin water resources</w:t>
      </w:r>
    </w:p>
    <w:p w14:paraId="5F693AB9" w14:textId="36167801" w:rsidR="001A1FBB" w:rsidRDefault="001A1FBB" w:rsidP="001A1FBB">
      <w:r>
        <w:t>IGWC</w:t>
      </w:r>
    </w:p>
    <w:p w14:paraId="6EEAE406" w14:textId="1621C100" w:rsidR="001A1FBB" w:rsidRDefault="001A1FBB" w:rsidP="00981D30">
      <w:pPr>
        <w:pStyle w:val="ListParagraph"/>
        <w:numPr>
          <w:ilvl w:val="0"/>
          <w:numId w:val="21"/>
        </w:numPr>
      </w:pPr>
      <w:r>
        <w:t>Enforces the Water Act and provides independent oversight</w:t>
      </w:r>
    </w:p>
    <w:p w14:paraId="1EFD8AF5" w14:textId="1E271FDD" w:rsidR="001A1FBB" w:rsidRDefault="001A1FBB" w:rsidP="00981D30">
      <w:pPr>
        <w:pStyle w:val="ListParagraph"/>
        <w:numPr>
          <w:ilvl w:val="0"/>
          <w:numId w:val="21"/>
        </w:numPr>
      </w:pPr>
      <w:r>
        <w:t>Enforces compliance with Water Act and provides independent oversight of compliance with Water Act and intergovernmental agreements</w:t>
      </w:r>
    </w:p>
    <w:p w14:paraId="77415094" w14:textId="3D2E5718" w:rsidR="001A1FBB" w:rsidRDefault="001A1FBB" w:rsidP="001A1FBB">
      <w:r>
        <w:t>CEWH</w:t>
      </w:r>
    </w:p>
    <w:p w14:paraId="0920BE93" w14:textId="1F7C5D69" w:rsidR="001A1FBB" w:rsidRDefault="001A1FBB" w:rsidP="00981D30">
      <w:pPr>
        <w:pStyle w:val="ListParagraph"/>
        <w:numPr>
          <w:ilvl w:val="0"/>
          <w:numId w:val="22"/>
        </w:numPr>
      </w:pPr>
      <w:r>
        <w:t>Management of environmental water assets</w:t>
      </w:r>
    </w:p>
    <w:p w14:paraId="7BE185D8" w14:textId="03C237F6" w:rsidR="001A1FBB" w:rsidRDefault="001A1FBB" w:rsidP="00981D30">
      <w:pPr>
        <w:pStyle w:val="ListParagraph"/>
        <w:numPr>
          <w:ilvl w:val="0"/>
          <w:numId w:val="22"/>
        </w:numPr>
      </w:pPr>
      <w:r>
        <w:t>Purchases and release Commonwealth environmental water holdings</w:t>
      </w:r>
    </w:p>
    <w:p w14:paraId="39139335" w14:textId="3A8B3B64" w:rsidR="001A1FBB" w:rsidRDefault="00981D30" w:rsidP="001A1FBB">
      <w:r>
        <w:t>ACCC*</w:t>
      </w:r>
    </w:p>
    <w:p w14:paraId="02E13FDF" w14:textId="63AF434B" w:rsidR="00981D30" w:rsidRDefault="00981D30" w:rsidP="00981D30">
      <w:pPr>
        <w:pStyle w:val="ListParagraph"/>
        <w:numPr>
          <w:ilvl w:val="0"/>
          <w:numId w:val="23"/>
        </w:numPr>
      </w:pPr>
      <w:r>
        <w:t>Administering and enforcing water market rules and water charge rules</w:t>
      </w:r>
    </w:p>
    <w:p w14:paraId="2C6F921D" w14:textId="2BF3AC50" w:rsidR="00981D30" w:rsidRDefault="00981D30" w:rsidP="00981D30">
      <w:pPr>
        <w:pStyle w:val="ListParagraph"/>
        <w:numPr>
          <w:ilvl w:val="0"/>
          <w:numId w:val="23"/>
        </w:numPr>
      </w:pPr>
      <w:r>
        <w:t>Economic regulation of irrigation infrastructure operators (where not returned to state regulator)</w:t>
      </w:r>
    </w:p>
    <w:p w14:paraId="5C7899EB" w14:textId="0A72494B" w:rsidR="00981D30" w:rsidRDefault="00981D30" w:rsidP="00981D30">
      <w:r>
        <w:t>PC*</w:t>
      </w:r>
    </w:p>
    <w:p w14:paraId="67505A93" w14:textId="08F05749" w:rsidR="00981D30" w:rsidRDefault="00981D30" w:rsidP="00981D30">
      <w:pPr>
        <w:pStyle w:val="ListParagraph"/>
        <w:numPr>
          <w:ilvl w:val="0"/>
          <w:numId w:val="24"/>
        </w:numPr>
      </w:pPr>
      <w:r>
        <w:t>Periodically assess effectiveness of national framework</w:t>
      </w:r>
    </w:p>
    <w:p w14:paraId="1CD1FFAF" w14:textId="05790162" w:rsidR="00981D30" w:rsidRDefault="00981D30" w:rsidP="00981D30">
      <w:pPr>
        <w:pStyle w:val="ListParagraph"/>
        <w:numPr>
          <w:ilvl w:val="0"/>
          <w:numId w:val="24"/>
        </w:numPr>
      </w:pPr>
      <w:r>
        <w:t>Periodic inquiries into the effectiveness of implementation of the Basin Plan and water resource plan</w:t>
      </w:r>
    </w:p>
    <w:p w14:paraId="4660EDB6" w14:textId="77777777" w:rsidR="00975C9B" w:rsidRDefault="00981D30" w:rsidP="00285CB0">
      <w:r>
        <w:t>BOM</w:t>
      </w:r>
    </w:p>
    <w:p w14:paraId="0F1BFB94" w14:textId="6339AAC4" w:rsidR="00981D30" w:rsidRDefault="00981D30" w:rsidP="00981D30">
      <w:pPr>
        <w:pStyle w:val="ListParagraph"/>
        <w:numPr>
          <w:ilvl w:val="0"/>
          <w:numId w:val="24"/>
        </w:numPr>
      </w:pPr>
      <w:r>
        <w:t xml:space="preserve">General water and water markets information </w:t>
      </w:r>
    </w:p>
    <w:p w14:paraId="143E4BB4" w14:textId="28D61F69" w:rsidR="00981D30" w:rsidRDefault="00981D30" w:rsidP="00981D30">
      <w:pPr>
        <w:pStyle w:val="ListParagraph"/>
        <w:numPr>
          <w:ilvl w:val="0"/>
          <w:numId w:val="24"/>
        </w:numPr>
      </w:pPr>
      <w:r>
        <w:t>Collects, maintains and publishes water information</w:t>
      </w:r>
    </w:p>
    <w:p w14:paraId="63806863" w14:textId="49FCBC24" w:rsidR="00D31E9D" w:rsidRDefault="000D0A12" w:rsidP="00285CB0">
      <w:r>
        <w:rPr>
          <w:noProof/>
        </w:rPr>
        <mc:AlternateContent>
          <mc:Choice Requires="wps">
            <w:drawing>
              <wp:anchor distT="0" distB="0" distL="114300" distR="114300" simplePos="0" relativeHeight="251658246" behindDoc="0" locked="0" layoutInCell="1" allowOverlap="1" wp14:anchorId="48DEA95E" wp14:editId="3B7FB378">
                <wp:simplePos x="0" y="0"/>
                <wp:positionH relativeFrom="page">
                  <wp:align>center</wp:align>
                </wp:positionH>
                <wp:positionV relativeFrom="paragraph">
                  <wp:posOffset>5381625</wp:posOffset>
                </wp:positionV>
                <wp:extent cx="9633585" cy="257175"/>
                <wp:effectExtent l="0" t="0" r="0" b="0"/>
                <wp:wrapNone/>
                <wp:docPr id="1629301838" name="Text Box 16293018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633585" cy="257175"/>
                        </a:xfrm>
                        <a:prstGeom prst="rect">
                          <a:avLst/>
                        </a:prstGeom>
                        <a:noFill/>
                        <a:ln w="6350">
                          <a:noFill/>
                        </a:ln>
                      </wps:spPr>
                      <wps:txbx>
                        <w:txbxContent>
                          <w:p w14:paraId="565E20D6" w14:textId="3EB7139D" w:rsidR="000D0A12" w:rsidRPr="00BB669D" w:rsidRDefault="000D0A12" w:rsidP="000D0A12">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EA95E" id="_x0000_t202" coordsize="21600,21600" o:spt="202" path="m,l,21600r21600,l21600,xe">
                <v:stroke joinstyle="miter"/>
                <v:path gradientshapeok="t" o:connecttype="rect"/>
              </v:shapetype>
              <v:shape id="Text Box 1629301838" o:spid="_x0000_s1026" type="#_x0000_t202" alt="&quot;&quot;" style="position:absolute;margin-left:0;margin-top:423.75pt;width:758.55pt;height:20.25pt;z-index:25165824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" filled="f" stroked="f" strokeweight=".5pt">
                <v:textbox>
                  <w:txbxContent>
                    <w:p w14:paraId="565E20D6" w14:textId="3EB7139D" w:rsidR="000D0A12" w:rsidRPr="00BB669D" w:rsidRDefault="000D0A12" w:rsidP="000D0A12">
                      <w:pPr>
                        <w:rPr>
                          <w:sz w:val="18"/>
                          <w:szCs w:val="20"/>
                        </w:rPr>
                      </w:pPr>
                    </w:p>
                  </w:txbxContent>
                </v:textbox>
                <w10:wrap anchorx="page"/>
              </v:shape>
            </w:pict>
          </mc:Fallback>
        </mc:AlternateContent>
      </w:r>
    </w:p>
    <w:p w14:paraId="183A6B4E" w14:textId="77777777" w:rsidR="00FF4938" w:rsidRDefault="00FF4938" w:rsidP="00F36FBB"/>
    <w:p w14:paraId="0EC1E9CA" w14:textId="77777777" w:rsidR="00083194" w:rsidRPr="00083194" w:rsidRDefault="00083194" w:rsidP="00083194"/>
    <w:p w14:paraId="6FD09EBF" w14:textId="77777777" w:rsidR="00083194" w:rsidRPr="00083194" w:rsidRDefault="00083194" w:rsidP="00083194"/>
    <w:p w14:paraId="58CCBDE9" w14:textId="77777777" w:rsidR="00083194" w:rsidRPr="00083194" w:rsidRDefault="00083194" w:rsidP="00083194"/>
    <w:p w14:paraId="7867825C" w14:textId="77777777" w:rsidR="00083194" w:rsidRPr="00083194" w:rsidRDefault="00083194" w:rsidP="00083194"/>
    <w:p w14:paraId="5DAD5D0C" w14:textId="77777777" w:rsidR="00083194" w:rsidRPr="00083194" w:rsidRDefault="00083194" w:rsidP="00083194"/>
    <w:p w14:paraId="0E63B491" w14:textId="77777777" w:rsidR="00083194" w:rsidRPr="00083194" w:rsidRDefault="00083194" w:rsidP="00083194"/>
    <w:p w14:paraId="489EC21F" w14:textId="77777777" w:rsidR="00083194" w:rsidRDefault="00083194" w:rsidP="00083194">
      <w:pPr>
        <w:ind w:firstLine="720"/>
      </w:pPr>
    </w:p>
    <w:p w14:paraId="10B2D318" w14:textId="77777777" w:rsidR="00083194" w:rsidRDefault="00083194" w:rsidP="00083194">
      <w:pPr>
        <w:ind w:firstLine="720"/>
      </w:pPr>
    </w:p>
    <w:p w14:paraId="414312C5" w14:textId="77777777" w:rsidR="00083194" w:rsidRPr="00BB669D" w:rsidRDefault="00083194" w:rsidP="00083194">
      <w:pPr>
        <w:rPr>
          <w:sz w:val="18"/>
          <w:szCs w:val="20"/>
        </w:rPr>
      </w:pPr>
      <w:r w:rsidRPr="00BB669D">
        <w:rPr>
          <w:sz w:val="18"/>
          <w:szCs w:val="20"/>
        </w:rPr>
        <w:t>* Not subject to the Inspector–General’s jurisdiction</w:t>
      </w:r>
      <w:r>
        <w:rPr>
          <w:sz w:val="18"/>
          <w:szCs w:val="20"/>
        </w:rPr>
        <w:t xml:space="preserve"> in performing these roles</w:t>
      </w:r>
    </w:p>
    <w:p w14:paraId="573DD004" w14:textId="10D95D01" w:rsidR="00083194" w:rsidRPr="00083194" w:rsidRDefault="00083194" w:rsidP="00083194">
      <w:pPr>
        <w:tabs>
          <w:tab w:val="left" w:pos="810"/>
        </w:tabs>
        <w:sectPr w:rsidR="00083194" w:rsidRPr="00083194" w:rsidSect="00281E5B">
          <w:headerReference w:type="even" r:id="rId33"/>
          <w:headerReference w:type="default" r:id="rId34"/>
          <w:footerReference w:type="even" r:id="rId35"/>
          <w:footerReference w:type="default" r:id="rId36"/>
          <w:headerReference w:type="first" r:id="rId37"/>
          <w:footerReference w:type="first" r:id="rId38"/>
          <w:footnotePr>
            <w:numFmt w:val="lowerRoman"/>
          </w:footnotePr>
          <w:endnotePr>
            <w:numFmt w:val="decimal"/>
          </w:endnotePr>
          <w:pgSz w:w="11906" w:h="16838"/>
          <w:pgMar w:top="1284" w:right="1134" w:bottom="816" w:left="1134" w:header="425" w:footer="999" w:gutter="0"/>
          <w:cols w:space="708"/>
          <w:docGrid w:linePitch="360"/>
        </w:sectPr>
      </w:pPr>
    </w:p>
    <w:p w14:paraId="7909EB74" w14:textId="77777777" w:rsidR="007C00BF" w:rsidRDefault="007C00BF" w:rsidP="00F36FBB">
      <w:r>
        <w:lastRenderedPageBreak/>
        <w:t xml:space="preserve">To manage this relationship and administer the Water Act effectively, the MDBA and Inspector–General have </w:t>
      </w:r>
      <w:proofErr w:type="gramStart"/>
      <w:r>
        <w:t>entered into</w:t>
      </w:r>
      <w:proofErr w:type="gramEnd"/>
      <w:r>
        <w:t xml:space="preserve"> a Memorandum of Understanding setting out how they work together. This Memorandum does not cover nor limit the Inspector–General’s monitoring, oversight or enforcement of compliance with the Water Act and Basin Plan functions.</w:t>
      </w:r>
    </w:p>
    <w:p w14:paraId="01FEE5B0" w14:textId="5AA61F7B" w:rsidR="00F36FBB" w:rsidRDefault="00F36FBB" w:rsidP="00F36FBB">
      <w:r>
        <w:t xml:space="preserve">The Inspector–General has similar complexity in relationships with Basin State water compliance regulators, where the collective enforcement of all relevant water laws underpins the effective management of Basin water resources in the national interest. Under this approach, Basin States are responsible for administering and enforcing Basin State laws, while the Inspector–General is responsible for ensuring that this is done in a way that complies with the Water Act and is consistent with the Basin Plan and water resource plans. </w:t>
      </w:r>
    </w:p>
    <w:p w14:paraId="0F2665C5" w14:textId="77777777" w:rsidR="00B46C95" w:rsidRPr="00492E5A" w:rsidRDefault="00B46C95" w:rsidP="00B46C95">
      <w:pPr>
        <w:rPr>
          <w:rStyle w:val="IntenseReference"/>
        </w:rPr>
      </w:pPr>
      <w:r>
        <w:rPr>
          <w:rStyle w:val="IntenseReference"/>
        </w:rPr>
        <w:t>Inspector–General’s approach to regulation of non–water government agencies</w:t>
      </w:r>
    </w:p>
    <w:p w14:paraId="4F1B00BF" w14:textId="77777777" w:rsidR="00B46C95" w:rsidRDefault="00B46C95" w:rsidP="00B46C95">
      <w:r>
        <w:t>The Inspector–General’s jurisdiction relates to the management of Basin water resources in the national interest. Actions of a non–water government agency may affect the quantity or quality of water in the Basin. Where this is the case, the Inspector–General may examine outcomes from these practices or provide assurance these actions have been undertaken consistently with the Water Act, Basin Plan or water resource plans, where relevant.</w:t>
      </w:r>
    </w:p>
    <w:p w14:paraId="140B436D" w14:textId="456C7102" w:rsidR="00B46C95" w:rsidRDefault="00B46C95" w:rsidP="00F36FBB">
      <w:r>
        <w:t>Monitor</w:t>
      </w:r>
    </w:p>
    <w:p w14:paraId="44192819" w14:textId="4D1331F6" w:rsidR="00B46C95" w:rsidRDefault="00B46C95" w:rsidP="00981D30">
      <w:pPr>
        <w:pStyle w:val="ListParagraph"/>
        <w:numPr>
          <w:ilvl w:val="0"/>
          <w:numId w:val="16"/>
        </w:numPr>
      </w:pPr>
      <w:r>
        <w:t>Quality and quantity of Basin water resources</w:t>
      </w:r>
    </w:p>
    <w:p w14:paraId="1BC91436" w14:textId="1CBF136B" w:rsidR="00B46C95" w:rsidRDefault="00B46C95" w:rsidP="00981D30">
      <w:pPr>
        <w:pStyle w:val="ListParagraph"/>
        <w:numPr>
          <w:ilvl w:val="0"/>
          <w:numId w:val="16"/>
        </w:numPr>
      </w:pPr>
      <w:r>
        <w:t>Ecological outcomes in Basin</w:t>
      </w:r>
    </w:p>
    <w:p w14:paraId="0C2B54B8" w14:textId="224DBAE9" w:rsidR="00B46C95" w:rsidRDefault="00B46C95" w:rsidP="00B46C95">
      <w:r>
        <w:t>Oversight</w:t>
      </w:r>
    </w:p>
    <w:p w14:paraId="2552F99D" w14:textId="56597C59" w:rsidR="00B46C95" w:rsidRDefault="00B46C95" w:rsidP="00981D30">
      <w:pPr>
        <w:pStyle w:val="ListParagraph"/>
        <w:numPr>
          <w:ilvl w:val="0"/>
          <w:numId w:val="17"/>
        </w:numPr>
      </w:pPr>
      <w:r>
        <w:t>Drivers of detrimental outcomes for Basin and/ or Basin water resources</w:t>
      </w:r>
    </w:p>
    <w:p w14:paraId="6D549348" w14:textId="00193F16" w:rsidR="00B46C95" w:rsidRDefault="00B46C95" w:rsidP="00981D30">
      <w:pPr>
        <w:pStyle w:val="ListParagraph"/>
        <w:numPr>
          <w:ilvl w:val="0"/>
          <w:numId w:val="17"/>
        </w:numPr>
      </w:pPr>
      <w:r>
        <w:t>Recommendations to address detrimental outcomes</w:t>
      </w:r>
    </w:p>
    <w:p w14:paraId="62A7F600" w14:textId="3B4EF7CB" w:rsidR="00975C9B" w:rsidRDefault="00975C9B" w:rsidP="00975C9B">
      <w:r>
        <w:t>Enforce</w:t>
      </w:r>
    </w:p>
    <w:p w14:paraId="091E9294" w14:textId="0C996263" w:rsidR="00975C9B" w:rsidRDefault="00975C9B" w:rsidP="00981D30">
      <w:pPr>
        <w:pStyle w:val="ListParagraph"/>
        <w:numPr>
          <w:ilvl w:val="0"/>
          <w:numId w:val="18"/>
        </w:numPr>
      </w:pPr>
      <w:r>
        <w:t>Compliance with obligations under the Water Act</w:t>
      </w:r>
    </w:p>
    <w:p w14:paraId="4CCBDA3C" w14:textId="73607C26" w:rsidR="00975C9B" w:rsidRDefault="00975C9B" w:rsidP="00981D30">
      <w:pPr>
        <w:pStyle w:val="ListParagraph"/>
        <w:numPr>
          <w:ilvl w:val="0"/>
          <w:numId w:val="18"/>
        </w:numPr>
      </w:pPr>
      <w:r>
        <w:t>Acting consistently with Basin Plan and/ or water resource plans</w:t>
      </w:r>
    </w:p>
    <w:p w14:paraId="2ABE4F0E" w14:textId="465AED31" w:rsidR="00F36FBB" w:rsidRDefault="00C253DE" w:rsidP="00F36FBB">
      <w:r>
        <w:br/>
      </w:r>
      <w:r w:rsidR="00F36FBB">
        <w:t xml:space="preserve">The Inspector–General has a Memorandum of Understanding setting out how </w:t>
      </w:r>
      <w:r w:rsidR="00F36FBB" w:rsidRPr="001C75EF">
        <w:t xml:space="preserve">Basin State water compliance </w:t>
      </w:r>
      <w:r w:rsidR="00F36FBB">
        <w:t xml:space="preserve">agencies and the Inspector–General work together. Consistent with the Memorandum with the MDBA, this Memorandum does not cover nor limit the Inspector–General’s monitoring, oversight or enforcement of compliance with the Water Act and Basin Plan functions. </w:t>
      </w:r>
    </w:p>
    <w:p w14:paraId="60DEBCCB" w14:textId="6C822A7E" w:rsidR="00DC7D89" w:rsidRDefault="00F36FBB" w:rsidP="00DC7D89">
      <w:r>
        <w:br/>
        <w:t>The Inspector–General also recognises the roles of the Murray–Darling Basin Ministerial Council and Basin Officials Committee as decision–makers, and, particularly, in facilitating integrated regulatory frameworks and delivery of Basin–wide outcomes. The Inspector–General engages with and seeks engagement from those forums to drive improvement and provide assurance and accountability in the management of Basin water resources.</w:t>
      </w:r>
    </w:p>
    <w:p w14:paraId="6A4C0159" w14:textId="77777777" w:rsidR="00975C9B" w:rsidRPr="00492E5A" w:rsidRDefault="00975C9B" w:rsidP="00975C9B">
      <w:pPr>
        <w:rPr>
          <w:rStyle w:val="IntenseReference"/>
        </w:rPr>
      </w:pPr>
      <w:r>
        <w:rPr>
          <w:rStyle w:val="IntenseReference"/>
        </w:rPr>
        <w:t>Memorandums of understanding</w:t>
      </w:r>
    </w:p>
    <w:p w14:paraId="00DCA647" w14:textId="77777777" w:rsidR="00975C9B" w:rsidRDefault="00975C9B" w:rsidP="00975C9B">
      <w:r>
        <w:t xml:space="preserve">The Inspector–General’s memorandums of understanding can be found on the website </w:t>
      </w:r>
      <w:r w:rsidRPr="00831B34">
        <w:rPr>
          <w:rStyle w:val="Hyperlink"/>
        </w:rPr>
        <w:t>www.</w:t>
      </w:r>
      <w:hyperlink r:id="rId39" w:history="1">
        <w:r w:rsidRPr="009B289D">
          <w:rPr>
            <w:rStyle w:val="Hyperlink"/>
          </w:rPr>
          <w:t>igwc.gov.au</w:t>
        </w:r>
      </w:hyperlink>
      <w:r>
        <w:t>.</w:t>
      </w:r>
    </w:p>
    <w:p w14:paraId="388BE7E5" w14:textId="77777777" w:rsidR="00975C9B" w:rsidRPr="00DC7D89" w:rsidRDefault="00975C9B" w:rsidP="00DC7D89"/>
    <w:p w14:paraId="5E7C6435" w14:textId="1BC55297" w:rsidR="00C45428" w:rsidRPr="00884362" w:rsidRDefault="00C45428" w:rsidP="00FA666B">
      <w:pPr>
        <w:pStyle w:val="Heading1"/>
      </w:pPr>
      <w:bookmarkStart w:id="42" w:name="_Ref126854943"/>
      <w:bookmarkStart w:id="43" w:name="_Toc128484151"/>
      <w:bookmarkStart w:id="44" w:name="_Toc137125814"/>
      <w:bookmarkStart w:id="45" w:name="_Toc139551381"/>
      <w:bookmarkStart w:id="46" w:name="_Toc161834743"/>
      <w:r>
        <w:lastRenderedPageBreak/>
        <w:t>Regulatory tools</w:t>
      </w:r>
      <w:bookmarkEnd w:id="42"/>
      <w:bookmarkEnd w:id="43"/>
      <w:bookmarkEnd w:id="44"/>
      <w:bookmarkEnd w:id="45"/>
      <w:bookmarkEnd w:id="46"/>
    </w:p>
    <w:p w14:paraId="651D3EA3" w14:textId="2B319D70" w:rsidR="00C45428" w:rsidRDefault="00C45428" w:rsidP="00C45428">
      <w:r>
        <w:t xml:space="preserve">The Inspector–General </w:t>
      </w:r>
      <w:r w:rsidR="00947F6F">
        <w:t xml:space="preserve">may </w:t>
      </w:r>
      <w:r w:rsidR="00236BCB">
        <w:t xml:space="preserve">use </w:t>
      </w:r>
      <w:proofErr w:type="gramStart"/>
      <w:r>
        <w:t>a number of</w:t>
      </w:r>
      <w:proofErr w:type="gramEnd"/>
      <w:r>
        <w:t xml:space="preserve"> tools </w:t>
      </w:r>
      <w:r w:rsidR="00236BCB">
        <w:t xml:space="preserve">to </w:t>
      </w:r>
      <w:r>
        <w:t xml:space="preserve">support the performance of </w:t>
      </w:r>
      <w:r w:rsidR="003A3E6C">
        <w:t xml:space="preserve">their </w:t>
      </w:r>
      <w:r>
        <w:t xml:space="preserve">functions. In addition, the Inspector–General </w:t>
      </w:r>
      <w:r w:rsidR="00A41175">
        <w:t xml:space="preserve">may </w:t>
      </w:r>
      <w:r>
        <w:t xml:space="preserve">exercise </w:t>
      </w:r>
      <w:proofErr w:type="gramStart"/>
      <w:r>
        <w:t>a number of</w:t>
      </w:r>
      <w:proofErr w:type="gramEnd"/>
      <w:r>
        <w:t xml:space="preserve"> regulatory powers set out in the </w:t>
      </w:r>
      <w:r w:rsidR="00AB7C2F">
        <w:t xml:space="preserve">Water </w:t>
      </w:r>
      <w:r>
        <w:t>Act. Those powers generally reflect the powers of other integrity regulators, with the addition of guideline and a limited standard</w:t>
      </w:r>
      <w:r w:rsidR="00F5717B">
        <w:t>–</w:t>
      </w:r>
      <w:r>
        <w:t xml:space="preserve">making </w:t>
      </w:r>
      <w:r w:rsidRPr="00E65CD3">
        <w:t>power</w:t>
      </w:r>
      <w:r w:rsidR="00833C6A">
        <w:t>s</w:t>
      </w:r>
      <w:r w:rsidRPr="00E65CD3">
        <w:t>.</w:t>
      </w:r>
    </w:p>
    <w:p w14:paraId="4DFBE54B" w14:textId="534B74F5" w:rsidR="00C45428" w:rsidRDefault="00E06117" w:rsidP="00C45428">
      <w:r>
        <w:t xml:space="preserve">The following sets out the Inspector–General’s </w:t>
      </w:r>
      <w:r w:rsidR="00C45428">
        <w:t xml:space="preserve">approach </w:t>
      </w:r>
      <w:r w:rsidR="00304FFA">
        <w:t xml:space="preserve">to tools used in </w:t>
      </w:r>
      <w:r w:rsidR="00C45428">
        <w:t>monitoring, examination and enforcement activities. The following also explains the Inspector–General’s guidelines and standards–making powers, which are used to support the Inspector–General’s compliance and oversight functions.</w:t>
      </w:r>
    </w:p>
    <w:p w14:paraId="539857D2" w14:textId="3B8B335C" w:rsidR="00C45428" w:rsidRPr="001E37E6" w:rsidRDefault="00C45428" w:rsidP="00550E2D">
      <w:pPr>
        <w:pStyle w:val="Heading2"/>
      </w:pPr>
      <w:bookmarkStart w:id="47" w:name="_Toc128484152"/>
      <w:bookmarkStart w:id="48" w:name="_Toc137125815"/>
      <w:bookmarkStart w:id="49" w:name="_Toc139551382"/>
      <w:bookmarkStart w:id="50" w:name="_Toc161834744"/>
      <w:r w:rsidRPr="001E37E6">
        <w:t>Monitoring</w:t>
      </w:r>
      <w:bookmarkEnd w:id="47"/>
      <w:bookmarkEnd w:id="48"/>
      <w:bookmarkEnd w:id="49"/>
      <w:bookmarkEnd w:id="50"/>
    </w:p>
    <w:p w14:paraId="166DEA82" w14:textId="00FD16CA" w:rsidR="00C45428" w:rsidRPr="001E37E6" w:rsidRDefault="00C45428" w:rsidP="00C45428">
      <w:r w:rsidRPr="001E37E6">
        <w:t xml:space="preserve">Monitoring is a proactive way of </w:t>
      </w:r>
      <w:r w:rsidRPr="00A843AA">
        <w:rPr>
          <w:rStyle w:val="IntenseEmphasis"/>
        </w:rPr>
        <w:t>assuring</w:t>
      </w:r>
      <w:r>
        <w:t xml:space="preserve"> </w:t>
      </w:r>
      <w:r w:rsidRPr="001E37E6">
        <w:t xml:space="preserve">and </w:t>
      </w:r>
      <w:r w:rsidRPr="00A843AA">
        <w:rPr>
          <w:rStyle w:val="IntenseEmphasis"/>
        </w:rPr>
        <w:t>influencing</w:t>
      </w:r>
      <w:r w:rsidRPr="001E37E6">
        <w:t xml:space="preserve"> compliance with the </w:t>
      </w:r>
      <w:r w:rsidR="00C55D2D">
        <w:t xml:space="preserve">Water </w:t>
      </w:r>
      <w:r>
        <w:t xml:space="preserve">Act, the </w:t>
      </w:r>
      <w:r w:rsidR="00C55D2D">
        <w:t xml:space="preserve">Basin </w:t>
      </w:r>
      <w:r>
        <w:t>Plan and water resource plans</w:t>
      </w:r>
      <w:r w:rsidRPr="001E37E6">
        <w:t xml:space="preserve">. </w:t>
      </w:r>
      <w:r>
        <w:t>In addition, m</w:t>
      </w:r>
      <w:r w:rsidRPr="001E37E6">
        <w:t xml:space="preserve">onitoring activities can provide a strong incentive for </w:t>
      </w:r>
      <w:r>
        <w:t xml:space="preserve">relevant government agencies </w:t>
      </w:r>
      <w:r w:rsidRPr="001E37E6">
        <w:t xml:space="preserve">to comply with their regulatory obligations </w:t>
      </w:r>
      <w:r w:rsidR="00196840" w:rsidRPr="001E37E6">
        <w:t xml:space="preserve">and </w:t>
      </w:r>
      <w:r w:rsidR="00196840">
        <w:t>perform their obligations or exercise their powers in a way that is focused</w:t>
      </w:r>
      <w:r>
        <w:t xml:space="preserve"> on managing Basin water resources in the national interest</w:t>
      </w:r>
      <w:r w:rsidRPr="001E37E6">
        <w:t>.</w:t>
      </w:r>
    </w:p>
    <w:p w14:paraId="11CA4131" w14:textId="085FE7A7" w:rsidR="00C45428" w:rsidRDefault="00C45428" w:rsidP="00C45428">
      <w:r w:rsidRPr="001E37E6">
        <w:t xml:space="preserve">Monitoring is a tool </w:t>
      </w:r>
      <w:r>
        <w:t xml:space="preserve">the Inspector–General </w:t>
      </w:r>
      <w:r w:rsidRPr="001E37E6">
        <w:t>may apply to an individual, a</w:t>
      </w:r>
      <w:r>
        <w:t>n agency or more generally. Outcomes from monitoring also inform the Inspector–General on</w:t>
      </w:r>
      <w:r w:rsidRPr="001E37E6">
        <w:t xml:space="preserve"> whether regulatory action </w:t>
      </w:r>
      <w:r>
        <w:t xml:space="preserve">or interventions such as guidelines or standards are </w:t>
      </w:r>
      <w:r w:rsidRPr="001E37E6">
        <w:t>needed.</w:t>
      </w:r>
    </w:p>
    <w:p w14:paraId="20618F07" w14:textId="392BB84A" w:rsidR="00041847" w:rsidRDefault="00041847" w:rsidP="00041847">
      <w:pPr>
        <w:pStyle w:val="TableHeading"/>
      </w:pPr>
      <w:r>
        <w:t xml:space="preserve">Table </w:t>
      </w:r>
      <w:r>
        <w:fldChar w:fldCharType="begin"/>
      </w:r>
      <w:r>
        <w:instrText>SEQ Table \* ARABIC</w:instrText>
      </w:r>
      <w:r>
        <w:fldChar w:fldCharType="separate"/>
      </w:r>
      <w:r w:rsidR="0030522E">
        <w:rPr>
          <w:noProof/>
        </w:rPr>
        <w:t>2</w:t>
      </w:r>
      <w:r>
        <w:fldChar w:fldCharType="end"/>
      </w:r>
      <w:r>
        <w:t>. Monitoring activities</w:t>
      </w:r>
    </w:p>
    <w:tbl>
      <w:tblPr>
        <w:tblStyle w:val="TableGridLight"/>
        <w:tblW w:w="9639" w:type="dxa"/>
        <w:tblLook w:val="04A0" w:firstRow="1" w:lastRow="0" w:firstColumn="1" w:lastColumn="0" w:noHBand="0" w:noVBand="1"/>
      </w:tblPr>
      <w:tblGrid>
        <w:gridCol w:w="2127"/>
        <w:gridCol w:w="2976"/>
        <w:gridCol w:w="4536"/>
      </w:tblGrid>
      <w:tr w:rsidR="00041847" w:rsidRPr="001E37E6" w14:paraId="382972F0" w14:textId="77777777" w:rsidTr="0074655A">
        <w:trPr>
          <w:cnfStyle w:val="100000000000" w:firstRow="1" w:lastRow="0" w:firstColumn="0" w:lastColumn="0" w:oddVBand="0" w:evenVBand="0" w:oddHBand="0" w:evenHBand="0" w:firstRowFirstColumn="0" w:firstRowLastColumn="0" w:lastRowFirstColumn="0" w:lastRowLastColumn="0"/>
          <w:tblHeader/>
        </w:trPr>
        <w:tc>
          <w:tcPr>
            <w:tcW w:w="2127" w:type="dxa"/>
          </w:tcPr>
          <w:p w14:paraId="59B8BEEE" w14:textId="77777777" w:rsidR="00041847" w:rsidRPr="0074655A" w:rsidRDefault="00041847">
            <w:pPr>
              <w:pStyle w:val="TableHeader"/>
              <w:rPr>
                <w:sz w:val="19"/>
                <w:szCs w:val="19"/>
              </w:rPr>
            </w:pPr>
            <w:r w:rsidRPr="0074655A">
              <w:rPr>
                <w:sz w:val="19"/>
                <w:szCs w:val="19"/>
              </w:rPr>
              <w:t>Type</w:t>
            </w:r>
          </w:p>
        </w:tc>
        <w:tc>
          <w:tcPr>
            <w:tcW w:w="2976" w:type="dxa"/>
          </w:tcPr>
          <w:p w14:paraId="1F81A3EE" w14:textId="77777777" w:rsidR="00041847" w:rsidRPr="0074655A" w:rsidRDefault="00041847">
            <w:pPr>
              <w:pStyle w:val="TableHeader"/>
              <w:rPr>
                <w:sz w:val="19"/>
                <w:szCs w:val="19"/>
              </w:rPr>
            </w:pPr>
            <w:r w:rsidRPr="0074655A">
              <w:rPr>
                <w:sz w:val="19"/>
                <w:szCs w:val="19"/>
              </w:rPr>
              <w:t>Description</w:t>
            </w:r>
          </w:p>
        </w:tc>
        <w:tc>
          <w:tcPr>
            <w:tcW w:w="4536" w:type="dxa"/>
          </w:tcPr>
          <w:p w14:paraId="4B7A916A" w14:textId="77777777" w:rsidR="00041847" w:rsidRPr="0074655A" w:rsidRDefault="00041847">
            <w:pPr>
              <w:pStyle w:val="TableHeader"/>
              <w:rPr>
                <w:sz w:val="19"/>
                <w:szCs w:val="19"/>
              </w:rPr>
            </w:pPr>
            <w:r w:rsidRPr="0074655A">
              <w:rPr>
                <w:sz w:val="19"/>
                <w:szCs w:val="19"/>
              </w:rPr>
              <w:t>Benefits</w:t>
            </w:r>
          </w:p>
        </w:tc>
      </w:tr>
      <w:tr w:rsidR="00226373" w:rsidRPr="001E37E6" w14:paraId="5C9A6421" w14:textId="77777777">
        <w:tc>
          <w:tcPr>
            <w:tcW w:w="2127" w:type="dxa"/>
          </w:tcPr>
          <w:p w14:paraId="1E2C4CDC" w14:textId="77777777" w:rsidR="00226373" w:rsidRPr="0074655A" w:rsidRDefault="00226373">
            <w:pPr>
              <w:rPr>
                <w:sz w:val="19"/>
                <w:szCs w:val="19"/>
              </w:rPr>
            </w:pPr>
            <w:r>
              <w:rPr>
                <w:sz w:val="19"/>
                <w:szCs w:val="19"/>
              </w:rPr>
              <w:t>Engagement</w:t>
            </w:r>
          </w:p>
        </w:tc>
        <w:tc>
          <w:tcPr>
            <w:tcW w:w="2976" w:type="dxa"/>
          </w:tcPr>
          <w:p w14:paraId="248D6645" w14:textId="77777777" w:rsidR="00226373" w:rsidRPr="0074655A" w:rsidRDefault="00226373">
            <w:pPr>
              <w:rPr>
                <w:sz w:val="19"/>
                <w:szCs w:val="19"/>
              </w:rPr>
            </w:pPr>
            <w:r>
              <w:rPr>
                <w:sz w:val="19"/>
                <w:szCs w:val="19"/>
              </w:rPr>
              <w:t>Proactively engaging with Basin communities on water management outcomes</w:t>
            </w:r>
          </w:p>
        </w:tc>
        <w:tc>
          <w:tcPr>
            <w:tcW w:w="4536" w:type="dxa"/>
          </w:tcPr>
          <w:p w14:paraId="5F993071" w14:textId="77777777" w:rsidR="00226373" w:rsidRDefault="00226373">
            <w:pPr>
              <w:rPr>
                <w:sz w:val="19"/>
                <w:szCs w:val="19"/>
              </w:rPr>
            </w:pPr>
            <w:r>
              <w:rPr>
                <w:sz w:val="19"/>
                <w:szCs w:val="19"/>
              </w:rPr>
              <w:t>Continual tracking of developments in the Basin</w:t>
            </w:r>
          </w:p>
          <w:p w14:paraId="12E454EB" w14:textId="77777777" w:rsidR="00226373" w:rsidRPr="0074655A" w:rsidRDefault="00226373">
            <w:pPr>
              <w:rPr>
                <w:sz w:val="19"/>
                <w:szCs w:val="19"/>
              </w:rPr>
            </w:pPr>
            <w:r>
              <w:rPr>
                <w:sz w:val="19"/>
                <w:szCs w:val="19"/>
              </w:rPr>
              <w:t>Informs prioritisation of resources and efforts</w:t>
            </w:r>
          </w:p>
        </w:tc>
      </w:tr>
      <w:tr w:rsidR="00041847" w:rsidRPr="001E37E6" w14:paraId="2BAF4C80" w14:textId="77777777" w:rsidTr="0074655A">
        <w:tc>
          <w:tcPr>
            <w:tcW w:w="2127" w:type="dxa"/>
          </w:tcPr>
          <w:p w14:paraId="292B3C74" w14:textId="77777777" w:rsidR="00041847" w:rsidRPr="0074655A" w:rsidRDefault="00041847">
            <w:pPr>
              <w:rPr>
                <w:sz w:val="19"/>
                <w:szCs w:val="19"/>
              </w:rPr>
            </w:pPr>
            <w:r w:rsidRPr="0074655A">
              <w:rPr>
                <w:sz w:val="19"/>
                <w:szCs w:val="19"/>
              </w:rPr>
              <w:t>Coordination</w:t>
            </w:r>
          </w:p>
        </w:tc>
        <w:tc>
          <w:tcPr>
            <w:tcW w:w="2976" w:type="dxa"/>
          </w:tcPr>
          <w:p w14:paraId="7ABAEAC1" w14:textId="77777777" w:rsidR="00041847" w:rsidRPr="0074655A" w:rsidRDefault="00041847">
            <w:pPr>
              <w:rPr>
                <w:sz w:val="19"/>
                <w:szCs w:val="19"/>
              </w:rPr>
            </w:pPr>
            <w:r w:rsidRPr="0074655A">
              <w:rPr>
                <w:sz w:val="19"/>
                <w:szCs w:val="19"/>
              </w:rPr>
              <w:t>Proactively coordinating engaging on opportunities for coordination of different agencies’ efforts to maximise compliance across the Basin</w:t>
            </w:r>
          </w:p>
        </w:tc>
        <w:tc>
          <w:tcPr>
            <w:tcW w:w="4536" w:type="dxa"/>
          </w:tcPr>
          <w:p w14:paraId="6FCCEC4A" w14:textId="77777777" w:rsidR="00041847" w:rsidRPr="00E65CD3" w:rsidRDefault="00041847">
            <w:pPr>
              <w:rPr>
                <w:sz w:val="19"/>
                <w:szCs w:val="19"/>
              </w:rPr>
            </w:pPr>
            <w:r w:rsidRPr="00E65CD3">
              <w:rPr>
                <w:sz w:val="19"/>
                <w:szCs w:val="19"/>
              </w:rPr>
              <w:t>Reflects the different jurisdictions and powers of different regulatory agencies</w:t>
            </w:r>
          </w:p>
          <w:p w14:paraId="2391CE97" w14:textId="77777777" w:rsidR="00041847" w:rsidRPr="00E65CD3" w:rsidRDefault="00041847">
            <w:pPr>
              <w:rPr>
                <w:sz w:val="19"/>
                <w:szCs w:val="19"/>
              </w:rPr>
            </w:pPr>
            <w:r w:rsidRPr="00E65CD3">
              <w:rPr>
                <w:sz w:val="19"/>
                <w:szCs w:val="19"/>
              </w:rPr>
              <w:t>Drives greater efficiencies in the regulation of Basin water resources in the national interest</w:t>
            </w:r>
          </w:p>
        </w:tc>
      </w:tr>
      <w:tr w:rsidR="00041847" w:rsidRPr="001E37E6" w14:paraId="3CBED12F" w14:textId="77777777" w:rsidTr="0074655A">
        <w:tc>
          <w:tcPr>
            <w:tcW w:w="2127" w:type="dxa"/>
          </w:tcPr>
          <w:p w14:paraId="7F169593" w14:textId="1A1FEB67" w:rsidR="00041847" w:rsidRPr="0074655A" w:rsidRDefault="00041847">
            <w:pPr>
              <w:rPr>
                <w:sz w:val="19"/>
                <w:szCs w:val="19"/>
              </w:rPr>
            </w:pPr>
            <w:r w:rsidRPr="0074655A">
              <w:rPr>
                <w:sz w:val="19"/>
                <w:szCs w:val="19"/>
              </w:rPr>
              <w:t>Research</w:t>
            </w:r>
            <w:r w:rsidR="00DF4FEC">
              <w:rPr>
                <w:sz w:val="19"/>
                <w:szCs w:val="19"/>
              </w:rPr>
              <w:t xml:space="preserve"> and analysis</w:t>
            </w:r>
          </w:p>
        </w:tc>
        <w:tc>
          <w:tcPr>
            <w:tcW w:w="2976" w:type="dxa"/>
          </w:tcPr>
          <w:p w14:paraId="207528C2" w14:textId="3BB76086" w:rsidR="00041847" w:rsidRPr="0074655A" w:rsidRDefault="00041847">
            <w:pPr>
              <w:rPr>
                <w:sz w:val="19"/>
                <w:szCs w:val="19"/>
              </w:rPr>
            </w:pPr>
            <w:r w:rsidRPr="0074655A">
              <w:rPr>
                <w:sz w:val="19"/>
                <w:szCs w:val="19"/>
              </w:rPr>
              <w:t xml:space="preserve">Drawing together information from a range of sources </w:t>
            </w:r>
            <w:r w:rsidR="00323B11">
              <w:rPr>
                <w:sz w:val="19"/>
                <w:szCs w:val="19"/>
              </w:rPr>
              <w:t xml:space="preserve">(including information provided on </w:t>
            </w:r>
            <w:r w:rsidR="00923CED">
              <w:rPr>
                <w:sz w:val="19"/>
                <w:szCs w:val="19"/>
              </w:rPr>
              <w:t>request)</w:t>
            </w:r>
          </w:p>
        </w:tc>
        <w:tc>
          <w:tcPr>
            <w:tcW w:w="4536" w:type="dxa"/>
          </w:tcPr>
          <w:p w14:paraId="49A953CC" w14:textId="77777777" w:rsidR="00041847" w:rsidRPr="0074655A" w:rsidRDefault="00041847">
            <w:pPr>
              <w:rPr>
                <w:sz w:val="19"/>
                <w:szCs w:val="19"/>
              </w:rPr>
            </w:pPr>
            <w:r w:rsidRPr="0074655A">
              <w:rPr>
                <w:sz w:val="19"/>
                <w:szCs w:val="19"/>
              </w:rPr>
              <w:t xml:space="preserve">Tracks and provides context for activities and processes that have led to </w:t>
            </w:r>
            <w:proofErr w:type="gramStart"/>
            <w:r w:rsidRPr="0074655A">
              <w:rPr>
                <w:sz w:val="19"/>
                <w:szCs w:val="19"/>
              </w:rPr>
              <w:t>particular outcomes</w:t>
            </w:r>
            <w:proofErr w:type="gramEnd"/>
            <w:r w:rsidRPr="0074655A">
              <w:rPr>
                <w:sz w:val="19"/>
                <w:szCs w:val="19"/>
              </w:rPr>
              <w:t xml:space="preserve"> in the Basin</w:t>
            </w:r>
          </w:p>
          <w:p w14:paraId="0000913B" w14:textId="77777777" w:rsidR="00041847" w:rsidRPr="0074655A" w:rsidRDefault="00041847">
            <w:pPr>
              <w:rPr>
                <w:sz w:val="19"/>
                <w:szCs w:val="19"/>
              </w:rPr>
            </w:pPr>
            <w:r w:rsidRPr="0074655A">
              <w:rPr>
                <w:sz w:val="19"/>
                <w:szCs w:val="19"/>
              </w:rPr>
              <w:t>Provides initial analysis to determine whether there is a case to take more direct or intensive actions</w:t>
            </w:r>
          </w:p>
          <w:p w14:paraId="30D028ED" w14:textId="77777777" w:rsidR="00041847" w:rsidRPr="0074655A" w:rsidRDefault="00041847">
            <w:pPr>
              <w:rPr>
                <w:sz w:val="19"/>
                <w:szCs w:val="19"/>
              </w:rPr>
            </w:pPr>
            <w:r w:rsidRPr="0074655A">
              <w:rPr>
                <w:sz w:val="19"/>
                <w:szCs w:val="19"/>
              </w:rPr>
              <w:t>Provides additional information to assess risk(s)</w:t>
            </w:r>
          </w:p>
        </w:tc>
      </w:tr>
      <w:tr w:rsidR="00041847" w:rsidRPr="001E37E6" w14:paraId="71077B00" w14:textId="77777777" w:rsidTr="0074655A">
        <w:tc>
          <w:tcPr>
            <w:tcW w:w="2127" w:type="dxa"/>
          </w:tcPr>
          <w:p w14:paraId="7F6BCB77" w14:textId="77777777" w:rsidR="00041847" w:rsidRPr="0074655A" w:rsidRDefault="00041847">
            <w:pPr>
              <w:rPr>
                <w:sz w:val="19"/>
                <w:szCs w:val="19"/>
              </w:rPr>
            </w:pPr>
            <w:r w:rsidRPr="0074655A">
              <w:rPr>
                <w:sz w:val="19"/>
                <w:szCs w:val="19"/>
              </w:rPr>
              <w:t>Assessment and reporting</w:t>
            </w:r>
          </w:p>
        </w:tc>
        <w:tc>
          <w:tcPr>
            <w:tcW w:w="2976" w:type="dxa"/>
          </w:tcPr>
          <w:p w14:paraId="65699ACD" w14:textId="1A789DA6" w:rsidR="00041847" w:rsidRPr="0074655A" w:rsidRDefault="00041847">
            <w:pPr>
              <w:rPr>
                <w:sz w:val="19"/>
                <w:szCs w:val="19"/>
              </w:rPr>
            </w:pPr>
            <w:r w:rsidRPr="0074655A">
              <w:rPr>
                <w:sz w:val="19"/>
                <w:szCs w:val="19"/>
              </w:rPr>
              <w:t xml:space="preserve">Periodically </w:t>
            </w:r>
            <w:r w:rsidR="00923CED">
              <w:rPr>
                <w:sz w:val="19"/>
                <w:szCs w:val="19"/>
              </w:rPr>
              <w:t>requesting information and</w:t>
            </w:r>
            <w:r w:rsidR="00CE0B8A">
              <w:rPr>
                <w:sz w:val="19"/>
                <w:szCs w:val="19"/>
              </w:rPr>
              <w:t xml:space="preserve"> </w:t>
            </w:r>
            <w:r w:rsidRPr="0074655A">
              <w:rPr>
                <w:sz w:val="19"/>
                <w:szCs w:val="19"/>
              </w:rPr>
              <w:t xml:space="preserve">compiling </w:t>
            </w:r>
            <w:r w:rsidR="00CE0B8A">
              <w:rPr>
                <w:sz w:val="19"/>
                <w:szCs w:val="19"/>
              </w:rPr>
              <w:t xml:space="preserve">data </w:t>
            </w:r>
            <w:r w:rsidRPr="0074655A">
              <w:rPr>
                <w:sz w:val="19"/>
                <w:szCs w:val="19"/>
              </w:rPr>
              <w:t>and reporting on relevant risk indicators</w:t>
            </w:r>
          </w:p>
        </w:tc>
        <w:tc>
          <w:tcPr>
            <w:tcW w:w="4536" w:type="dxa"/>
          </w:tcPr>
          <w:p w14:paraId="1F648D01" w14:textId="77777777" w:rsidR="00041847" w:rsidRPr="0074655A" w:rsidRDefault="00041847">
            <w:pPr>
              <w:rPr>
                <w:sz w:val="19"/>
                <w:szCs w:val="19"/>
              </w:rPr>
            </w:pPr>
            <w:r w:rsidRPr="0074655A">
              <w:rPr>
                <w:sz w:val="19"/>
                <w:szCs w:val="19"/>
              </w:rPr>
              <w:t>Encourages continuous improvement</w:t>
            </w:r>
          </w:p>
          <w:p w14:paraId="6F8233BB" w14:textId="77777777" w:rsidR="00041847" w:rsidRPr="0074655A" w:rsidRDefault="00041847">
            <w:pPr>
              <w:rPr>
                <w:sz w:val="19"/>
                <w:szCs w:val="19"/>
              </w:rPr>
            </w:pPr>
            <w:r w:rsidRPr="0074655A">
              <w:rPr>
                <w:sz w:val="19"/>
                <w:szCs w:val="19"/>
              </w:rPr>
              <w:t xml:space="preserve">Aids in identifying emerging risks and acts as a control mechanism for determining effectiveness of interventions </w:t>
            </w:r>
          </w:p>
        </w:tc>
      </w:tr>
      <w:tr w:rsidR="00041847" w:rsidRPr="001E37E6" w14:paraId="770B3A9E" w14:textId="77777777" w:rsidTr="0074655A">
        <w:tc>
          <w:tcPr>
            <w:tcW w:w="2127" w:type="dxa"/>
          </w:tcPr>
          <w:p w14:paraId="4706A8C2" w14:textId="77777777" w:rsidR="00041847" w:rsidRPr="0074655A" w:rsidRDefault="00041847">
            <w:pPr>
              <w:rPr>
                <w:sz w:val="19"/>
                <w:szCs w:val="19"/>
              </w:rPr>
            </w:pPr>
            <w:r w:rsidRPr="0074655A">
              <w:rPr>
                <w:sz w:val="19"/>
                <w:szCs w:val="19"/>
              </w:rPr>
              <w:lastRenderedPageBreak/>
              <w:t>Targeted monitoring campaigns</w:t>
            </w:r>
          </w:p>
        </w:tc>
        <w:tc>
          <w:tcPr>
            <w:tcW w:w="2976" w:type="dxa"/>
          </w:tcPr>
          <w:p w14:paraId="6584FAC2" w14:textId="77777777" w:rsidR="00041847" w:rsidRPr="0074655A" w:rsidRDefault="00041847">
            <w:pPr>
              <w:rPr>
                <w:sz w:val="19"/>
                <w:szCs w:val="19"/>
              </w:rPr>
            </w:pPr>
            <w:r w:rsidRPr="0074655A">
              <w:rPr>
                <w:sz w:val="19"/>
                <w:szCs w:val="19"/>
              </w:rPr>
              <w:t>Monitoring for a specific compliance issue</w:t>
            </w:r>
          </w:p>
        </w:tc>
        <w:tc>
          <w:tcPr>
            <w:tcW w:w="4536" w:type="dxa"/>
          </w:tcPr>
          <w:p w14:paraId="3994CDFA" w14:textId="77777777" w:rsidR="00041847" w:rsidRPr="0074655A" w:rsidRDefault="00041847">
            <w:pPr>
              <w:rPr>
                <w:sz w:val="19"/>
                <w:szCs w:val="19"/>
              </w:rPr>
            </w:pPr>
            <w:r w:rsidRPr="0074655A">
              <w:rPr>
                <w:sz w:val="19"/>
                <w:szCs w:val="19"/>
              </w:rPr>
              <w:t xml:space="preserve">Encourages regulated entities to comply in specific area of concern </w:t>
            </w:r>
          </w:p>
          <w:p w14:paraId="1CAEC012" w14:textId="77777777" w:rsidR="00041847" w:rsidRPr="0074655A" w:rsidRDefault="00041847">
            <w:pPr>
              <w:rPr>
                <w:sz w:val="19"/>
                <w:szCs w:val="19"/>
              </w:rPr>
            </w:pPr>
            <w:r w:rsidRPr="0074655A">
              <w:rPr>
                <w:sz w:val="19"/>
                <w:szCs w:val="19"/>
              </w:rPr>
              <w:t>Focuses the Inspector–General’s resources on specific problem</w:t>
            </w:r>
          </w:p>
        </w:tc>
      </w:tr>
      <w:tr w:rsidR="00041847" w:rsidRPr="001E37E6" w14:paraId="66774641" w14:textId="77777777" w:rsidTr="0074655A">
        <w:tc>
          <w:tcPr>
            <w:tcW w:w="2127" w:type="dxa"/>
          </w:tcPr>
          <w:p w14:paraId="04D4B590" w14:textId="77777777" w:rsidR="00041847" w:rsidRPr="0074655A" w:rsidRDefault="00041847">
            <w:pPr>
              <w:rPr>
                <w:sz w:val="19"/>
                <w:szCs w:val="19"/>
              </w:rPr>
            </w:pPr>
            <w:r w:rsidRPr="0074655A">
              <w:rPr>
                <w:sz w:val="19"/>
                <w:szCs w:val="19"/>
              </w:rPr>
              <w:t>In–depth reviews</w:t>
            </w:r>
          </w:p>
        </w:tc>
        <w:tc>
          <w:tcPr>
            <w:tcW w:w="2976" w:type="dxa"/>
          </w:tcPr>
          <w:p w14:paraId="6F461A05" w14:textId="77777777" w:rsidR="00041847" w:rsidRPr="0074655A" w:rsidRDefault="00041847">
            <w:pPr>
              <w:rPr>
                <w:sz w:val="19"/>
                <w:szCs w:val="19"/>
              </w:rPr>
            </w:pPr>
            <w:r w:rsidRPr="0074655A">
              <w:rPr>
                <w:sz w:val="19"/>
                <w:szCs w:val="19"/>
              </w:rPr>
              <w:t>Detailed analysis at a point in time (can be issue–specific or general)</w:t>
            </w:r>
          </w:p>
        </w:tc>
        <w:tc>
          <w:tcPr>
            <w:tcW w:w="4536" w:type="dxa"/>
          </w:tcPr>
          <w:p w14:paraId="6F61214F" w14:textId="77777777" w:rsidR="00041847" w:rsidRPr="00E65CD3" w:rsidRDefault="00041847">
            <w:pPr>
              <w:rPr>
                <w:sz w:val="19"/>
                <w:szCs w:val="19"/>
              </w:rPr>
            </w:pPr>
            <w:r w:rsidRPr="00E65CD3">
              <w:rPr>
                <w:sz w:val="19"/>
                <w:szCs w:val="19"/>
              </w:rPr>
              <w:t>Encourages regulated entities to engage intensely on compliance</w:t>
            </w:r>
          </w:p>
          <w:p w14:paraId="7C47B853" w14:textId="77777777" w:rsidR="00041847" w:rsidRPr="0074655A" w:rsidRDefault="00041847">
            <w:pPr>
              <w:rPr>
                <w:sz w:val="19"/>
                <w:szCs w:val="19"/>
              </w:rPr>
            </w:pPr>
            <w:r w:rsidRPr="0074655A">
              <w:rPr>
                <w:sz w:val="19"/>
                <w:szCs w:val="19"/>
              </w:rPr>
              <w:t>Enables the Inspector–General to establish an evidence base on compliance</w:t>
            </w:r>
          </w:p>
        </w:tc>
      </w:tr>
      <w:tr w:rsidR="00041847" w:rsidRPr="001E37E6" w14:paraId="37384B3E" w14:textId="77777777" w:rsidTr="0074655A">
        <w:tc>
          <w:tcPr>
            <w:tcW w:w="2127" w:type="dxa"/>
          </w:tcPr>
          <w:p w14:paraId="08CF206E" w14:textId="77777777" w:rsidR="00041847" w:rsidRPr="0074655A" w:rsidRDefault="00041847">
            <w:pPr>
              <w:rPr>
                <w:sz w:val="19"/>
                <w:szCs w:val="19"/>
              </w:rPr>
            </w:pPr>
            <w:r w:rsidRPr="0074655A">
              <w:rPr>
                <w:sz w:val="19"/>
                <w:szCs w:val="19"/>
              </w:rPr>
              <w:t>Opportunities to influence</w:t>
            </w:r>
          </w:p>
        </w:tc>
        <w:tc>
          <w:tcPr>
            <w:tcW w:w="2976" w:type="dxa"/>
          </w:tcPr>
          <w:p w14:paraId="0D1BD642" w14:textId="4F51CD17" w:rsidR="00041847" w:rsidRPr="0074655A" w:rsidRDefault="00041847">
            <w:pPr>
              <w:rPr>
                <w:sz w:val="19"/>
                <w:szCs w:val="19"/>
              </w:rPr>
            </w:pPr>
            <w:r w:rsidRPr="0074655A">
              <w:rPr>
                <w:sz w:val="19"/>
                <w:szCs w:val="19"/>
              </w:rPr>
              <w:t xml:space="preserve">Participating in government processes (such as hearings, requests for submissions, </w:t>
            </w:r>
            <w:r w:rsidR="00CE0B8A">
              <w:rPr>
                <w:sz w:val="19"/>
                <w:szCs w:val="19"/>
              </w:rPr>
              <w:t xml:space="preserve">working groups, </w:t>
            </w:r>
            <w:r w:rsidRPr="0074655A">
              <w:rPr>
                <w:sz w:val="19"/>
                <w:szCs w:val="19"/>
              </w:rPr>
              <w:t xml:space="preserve">etc.) </w:t>
            </w:r>
          </w:p>
        </w:tc>
        <w:tc>
          <w:tcPr>
            <w:tcW w:w="4536" w:type="dxa"/>
          </w:tcPr>
          <w:p w14:paraId="7FF76196" w14:textId="77777777" w:rsidR="00041847" w:rsidRPr="0074655A" w:rsidRDefault="00041847">
            <w:pPr>
              <w:rPr>
                <w:sz w:val="19"/>
                <w:szCs w:val="19"/>
              </w:rPr>
            </w:pPr>
            <w:r w:rsidRPr="0074655A">
              <w:rPr>
                <w:sz w:val="19"/>
                <w:szCs w:val="19"/>
              </w:rPr>
              <w:t>Educates decision–makers on implications and obligations</w:t>
            </w:r>
          </w:p>
          <w:p w14:paraId="5067BFDC" w14:textId="77777777" w:rsidR="00041847" w:rsidRPr="0074655A" w:rsidRDefault="00041847">
            <w:pPr>
              <w:rPr>
                <w:sz w:val="19"/>
                <w:szCs w:val="19"/>
              </w:rPr>
            </w:pPr>
            <w:r w:rsidRPr="0074655A">
              <w:rPr>
                <w:sz w:val="19"/>
                <w:szCs w:val="19"/>
              </w:rPr>
              <w:t>Reflects the Inspector–General is not responsible for policy or legislative reforms</w:t>
            </w:r>
          </w:p>
        </w:tc>
      </w:tr>
    </w:tbl>
    <w:p w14:paraId="05AB47B8" w14:textId="77777777" w:rsidR="00041847" w:rsidRDefault="00041847" w:rsidP="00041847"/>
    <w:p w14:paraId="3DD4821F" w14:textId="20FE897C" w:rsidR="00C45428" w:rsidRPr="001E37E6" w:rsidRDefault="00C45428" w:rsidP="00550E2D">
      <w:pPr>
        <w:pStyle w:val="Heading2"/>
      </w:pPr>
      <w:bookmarkStart w:id="51" w:name="_Toc137125816"/>
      <w:bookmarkStart w:id="52" w:name="_Toc139551383"/>
      <w:bookmarkStart w:id="53" w:name="_Toc161834745"/>
      <w:r>
        <w:t>Examinations</w:t>
      </w:r>
      <w:bookmarkEnd w:id="51"/>
      <w:bookmarkEnd w:id="52"/>
      <w:bookmarkEnd w:id="53"/>
    </w:p>
    <w:p w14:paraId="1C90C23F" w14:textId="12323316" w:rsidR="00C45428" w:rsidRPr="001E37E6" w:rsidRDefault="00C45428" w:rsidP="00C45428">
      <w:bookmarkStart w:id="54" w:name="_Hlk130363697"/>
      <w:r>
        <w:t>Examination</w:t>
      </w:r>
      <w:bookmarkEnd w:id="54"/>
      <w:r>
        <w:t xml:space="preserve"> activities can be used proactively or reactively to provide </w:t>
      </w:r>
      <w:r w:rsidRPr="05FFCE7F">
        <w:rPr>
          <w:rStyle w:val="IntenseEmphasis"/>
        </w:rPr>
        <w:t xml:space="preserve">assurance </w:t>
      </w:r>
      <w:r>
        <w:t>that regulated entities are complying with</w:t>
      </w:r>
      <w:r w:rsidR="00A04BC6">
        <w:t xml:space="preserve"> </w:t>
      </w:r>
      <w:r w:rsidR="00C713DC">
        <w:t xml:space="preserve">and </w:t>
      </w:r>
      <w:r w:rsidR="00A04BC6">
        <w:t xml:space="preserve">performing their obligations or </w:t>
      </w:r>
      <w:r w:rsidR="00C713DC">
        <w:t>exercising their powers under the national frameworks. Similarly</w:t>
      </w:r>
      <w:r>
        <w:t xml:space="preserve">, </w:t>
      </w:r>
      <w:r w:rsidR="00C713DC">
        <w:t xml:space="preserve">examinations can be used as an incentive </w:t>
      </w:r>
      <w:r>
        <w:t xml:space="preserve">to </w:t>
      </w:r>
      <w:r w:rsidRPr="05FFCE7F">
        <w:rPr>
          <w:rStyle w:val="IntenseEmphasis"/>
        </w:rPr>
        <w:t>improve</w:t>
      </w:r>
      <w:r>
        <w:t xml:space="preserve"> the </w:t>
      </w:r>
      <w:r w:rsidRPr="05FFCE7F">
        <w:rPr>
          <w:rStyle w:val="IntenseEmphasis"/>
        </w:rPr>
        <w:t xml:space="preserve">integrity </w:t>
      </w:r>
      <w:r>
        <w:t>of</w:t>
      </w:r>
      <w:r w:rsidRPr="05FFCE7F">
        <w:rPr>
          <w:rStyle w:val="IntenseEmphasis"/>
        </w:rPr>
        <w:t xml:space="preserve"> </w:t>
      </w:r>
      <w:r>
        <w:t>regulated entities’ compliance with</w:t>
      </w:r>
      <w:r w:rsidR="00C713DC">
        <w:t xml:space="preserve"> and </w:t>
      </w:r>
      <w:r w:rsidR="00C713DC" w:rsidRPr="00E65CD3">
        <w:t>perform</w:t>
      </w:r>
      <w:r w:rsidR="005C27C0">
        <w:t>ance of</w:t>
      </w:r>
      <w:r w:rsidR="00C713DC">
        <w:t xml:space="preserve"> their obligations or exercise their powers in a</w:t>
      </w:r>
      <w:r w:rsidR="00BD23A9">
        <w:t xml:space="preserve"> way that best delivers the intended outcomes from</w:t>
      </w:r>
      <w:r>
        <w:t xml:space="preserve">, the </w:t>
      </w:r>
      <w:r w:rsidR="00C55D2D">
        <w:t xml:space="preserve">Water </w:t>
      </w:r>
      <w:r>
        <w:t xml:space="preserve">Act, </w:t>
      </w:r>
      <w:r w:rsidR="00C55D2D">
        <w:t xml:space="preserve">Basin </w:t>
      </w:r>
      <w:r>
        <w:t>Plan and water resource plans. Examination activities provide a strong incentive for relevant government agencies to improve their effectiveness at managing Basin water resources in the national interest.</w:t>
      </w:r>
    </w:p>
    <w:p w14:paraId="78789C56" w14:textId="248E31FD" w:rsidR="00C45428" w:rsidRDefault="00C45428" w:rsidP="00C45428">
      <w:r>
        <w:t>E</w:t>
      </w:r>
      <w:r w:rsidRPr="00284C63">
        <w:t>xaminations</w:t>
      </w:r>
      <w:r>
        <w:t xml:space="preserve"> are </w:t>
      </w:r>
      <w:r w:rsidRPr="001E37E6">
        <w:t xml:space="preserve">compliance </w:t>
      </w:r>
      <w:r w:rsidR="00C73AF7">
        <w:t xml:space="preserve">or performance </w:t>
      </w:r>
      <w:r w:rsidRPr="001E37E6">
        <w:t>tool</w:t>
      </w:r>
      <w:r>
        <w:t>s</w:t>
      </w:r>
      <w:r w:rsidRPr="001E37E6">
        <w:t xml:space="preserve"> </w:t>
      </w:r>
      <w:r>
        <w:t xml:space="preserve">the Inspector–General </w:t>
      </w:r>
      <w:r w:rsidRPr="001E37E6">
        <w:t>may apply to an individual, a</w:t>
      </w:r>
      <w:r>
        <w:t>n agency or more generally. Outcomes from examination activities also inform the Inspector–General on</w:t>
      </w:r>
      <w:r w:rsidRPr="001E37E6">
        <w:t xml:space="preserve"> whether regulatory action </w:t>
      </w:r>
      <w:r>
        <w:t xml:space="preserve">or interventions such as guidelines or standards are </w:t>
      </w:r>
      <w:r w:rsidRPr="001E37E6">
        <w:t>needed.</w:t>
      </w:r>
    </w:p>
    <w:p w14:paraId="4F53DE7E" w14:textId="6A89E71E" w:rsidR="006B47A7" w:rsidRDefault="006B47A7" w:rsidP="006B47A7">
      <w:pPr>
        <w:pStyle w:val="TableHeading"/>
        <w:keepNext/>
      </w:pPr>
      <w:r>
        <w:t xml:space="preserve">Table </w:t>
      </w:r>
      <w:r>
        <w:fldChar w:fldCharType="begin"/>
      </w:r>
      <w:r>
        <w:instrText>SEQ Table \* ARABIC</w:instrText>
      </w:r>
      <w:r>
        <w:fldChar w:fldCharType="separate"/>
      </w:r>
      <w:r w:rsidR="0030522E">
        <w:rPr>
          <w:noProof/>
        </w:rPr>
        <w:t>3</w:t>
      </w:r>
      <w:r>
        <w:fldChar w:fldCharType="end"/>
      </w:r>
      <w:r>
        <w:t>. E</w:t>
      </w:r>
      <w:r w:rsidRPr="00284C63">
        <w:t>xamination</w:t>
      </w:r>
      <w:r>
        <w:t xml:space="preserve"> activities</w:t>
      </w:r>
    </w:p>
    <w:tbl>
      <w:tblPr>
        <w:tblStyle w:val="TableGridLight"/>
        <w:tblW w:w="9628" w:type="dxa"/>
        <w:tblLook w:val="04A0" w:firstRow="1" w:lastRow="0" w:firstColumn="1" w:lastColumn="0" w:noHBand="0" w:noVBand="1"/>
      </w:tblPr>
      <w:tblGrid>
        <w:gridCol w:w="2127"/>
        <w:gridCol w:w="2976"/>
        <w:gridCol w:w="4525"/>
      </w:tblGrid>
      <w:tr w:rsidR="006B47A7" w:rsidRPr="001E37E6" w14:paraId="73402CEB" w14:textId="77777777" w:rsidTr="00484020">
        <w:trPr>
          <w:cnfStyle w:val="100000000000" w:firstRow="1" w:lastRow="0" w:firstColumn="0" w:lastColumn="0" w:oddVBand="0" w:evenVBand="0" w:oddHBand="0" w:evenHBand="0" w:firstRowFirstColumn="0" w:firstRowLastColumn="0" w:lastRowFirstColumn="0" w:lastRowLastColumn="0"/>
          <w:tblHeader/>
        </w:trPr>
        <w:tc>
          <w:tcPr>
            <w:tcW w:w="2127" w:type="dxa"/>
          </w:tcPr>
          <w:p w14:paraId="5F8B5639" w14:textId="77777777" w:rsidR="006B47A7" w:rsidRPr="001E37E6" w:rsidRDefault="006B47A7">
            <w:pPr>
              <w:pStyle w:val="TableHeader"/>
            </w:pPr>
            <w:r w:rsidRPr="001E37E6">
              <w:t>Type</w:t>
            </w:r>
          </w:p>
        </w:tc>
        <w:tc>
          <w:tcPr>
            <w:tcW w:w="2976" w:type="dxa"/>
          </w:tcPr>
          <w:p w14:paraId="7F77A95C" w14:textId="77777777" w:rsidR="006B47A7" w:rsidRPr="001E37E6" w:rsidRDefault="006B47A7">
            <w:pPr>
              <w:pStyle w:val="TableHeader"/>
            </w:pPr>
            <w:r w:rsidRPr="001E37E6">
              <w:t>Description</w:t>
            </w:r>
          </w:p>
        </w:tc>
        <w:tc>
          <w:tcPr>
            <w:tcW w:w="4525" w:type="dxa"/>
          </w:tcPr>
          <w:p w14:paraId="2CA93AC4" w14:textId="77777777" w:rsidR="006B47A7" w:rsidRPr="001E37E6" w:rsidRDefault="006B47A7">
            <w:pPr>
              <w:pStyle w:val="TableHeader"/>
            </w:pPr>
            <w:r w:rsidRPr="001E37E6">
              <w:t>Benefits</w:t>
            </w:r>
          </w:p>
        </w:tc>
      </w:tr>
      <w:tr w:rsidR="006B47A7" w:rsidRPr="001E37E6" w14:paraId="28506EED" w14:textId="77777777" w:rsidTr="00484020">
        <w:tc>
          <w:tcPr>
            <w:tcW w:w="2127" w:type="dxa"/>
          </w:tcPr>
          <w:p w14:paraId="00082AA9" w14:textId="0E331D5A" w:rsidR="006B47A7" w:rsidRPr="0074655A" w:rsidRDefault="006B47A7">
            <w:pPr>
              <w:rPr>
                <w:sz w:val="19"/>
                <w:szCs w:val="19"/>
              </w:rPr>
            </w:pPr>
            <w:r w:rsidRPr="0074655A">
              <w:rPr>
                <w:sz w:val="19"/>
                <w:szCs w:val="19"/>
              </w:rPr>
              <w:t>Inquiries</w:t>
            </w:r>
            <w:r w:rsidR="00164417" w:rsidRPr="0074655A">
              <w:rPr>
                <w:sz w:val="19"/>
                <w:szCs w:val="19"/>
              </w:rPr>
              <w:t xml:space="preserve"> (monitoring and oversight only)</w:t>
            </w:r>
          </w:p>
        </w:tc>
        <w:tc>
          <w:tcPr>
            <w:tcW w:w="2976" w:type="dxa"/>
          </w:tcPr>
          <w:p w14:paraId="54594F77" w14:textId="74C34902" w:rsidR="006B47A7" w:rsidRPr="0074655A" w:rsidRDefault="006B47A7">
            <w:pPr>
              <w:rPr>
                <w:sz w:val="19"/>
                <w:szCs w:val="19"/>
              </w:rPr>
            </w:pPr>
            <w:r w:rsidRPr="0074655A">
              <w:rPr>
                <w:sz w:val="19"/>
                <w:szCs w:val="19"/>
              </w:rPr>
              <w:t xml:space="preserve">Formal assessment of performance of functions, use of powers and/ or performance of obligations under </w:t>
            </w:r>
            <w:r w:rsidR="00AB7C2F">
              <w:rPr>
                <w:sz w:val="19"/>
                <w:szCs w:val="19"/>
              </w:rPr>
              <w:t xml:space="preserve">Water </w:t>
            </w:r>
            <w:r w:rsidRPr="0074655A">
              <w:rPr>
                <w:sz w:val="19"/>
                <w:szCs w:val="19"/>
              </w:rPr>
              <w:t>Act</w:t>
            </w:r>
          </w:p>
          <w:p w14:paraId="014A594F" w14:textId="77777777" w:rsidR="006B47A7" w:rsidRPr="0074655A" w:rsidRDefault="006B47A7">
            <w:pPr>
              <w:rPr>
                <w:sz w:val="19"/>
                <w:szCs w:val="19"/>
              </w:rPr>
            </w:pPr>
            <w:r w:rsidRPr="0074655A">
              <w:rPr>
                <w:sz w:val="19"/>
                <w:szCs w:val="19"/>
              </w:rPr>
              <w:t>and/ or</w:t>
            </w:r>
          </w:p>
          <w:p w14:paraId="1C50DAFB" w14:textId="77777777" w:rsidR="006B47A7" w:rsidRPr="0074655A" w:rsidRDefault="006B47A7">
            <w:pPr>
              <w:rPr>
                <w:sz w:val="19"/>
                <w:szCs w:val="19"/>
              </w:rPr>
            </w:pPr>
            <w:r w:rsidRPr="0074655A">
              <w:rPr>
                <w:sz w:val="19"/>
                <w:szCs w:val="19"/>
              </w:rPr>
              <w:t>Formal assessment of implementation of commitments in IGAs</w:t>
            </w:r>
          </w:p>
        </w:tc>
        <w:tc>
          <w:tcPr>
            <w:tcW w:w="4525" w:type="dxa"/>
          </w:tcPr>
          <w:p w14:paraId="64ED9A43" w14:textId="77777777" w:rsidR="006B47A7" w:rsidRPr="0074655A" w:rsidRDefault="006B47A7">
            <w:pPr>
              <w:rPr>
                <w:sz w:val="19"/>
                <w:szCs w:val="19"/>
              </w:rPr>
            </w:pPr>
            <w:r w:rsidRPr="0074655A">
              <w:rPr>
                <w:sz w:val="19"/>
                <w:szCs w:val="19"/>
              </w:rPr>
              <w:t>Explores the drivers behind relevant government agencies’ activities or decision–making (as relevant)</w:t>
            </w:r>
          </w:p>
          <w:p w14:paraId="0A43E1D5" w14:textId="77777777" w:rsidR="006B47A7" w:rsidRPr="0074655A" w:rsidRDefault="006B47A7">
            <w:pPr>
              <w:rPr>
                <w:sz w:val="19"/>
                <w:szCs w:val="19"/>
              </w:rPr>
            </w:pPr>
            <w:r w:rsidRPr="0074655A">
              <w:rPr>
                <w:sz w:val="19"/>
                <w:szCs w:val="19"/>
              </w:rPr>
              <w:t>Enables the Inspector–General to demonstrate the causes of outcomes experienced from the collective management of Basin water resource</w:t>
            </w:r>
          </w:p>
          <w:p w14:paraId="693B704F" w14:textId="77777777" w:rsidR="006B47A7" w:rsidRPr="0074655A" w:rsidRDefault="006B47A7">
            <w:pPr>
              <w:rPr>
                <w:sz w:val="19"/>
                <w:szCs w:val="19"/>
              </w:rPr>
            </w:pPr>
            <w:r w:rsidRPr="0074655A">
              <w:rPr>
                <w:sz w:val="19"/>
                <w:szCs w:val="19"/>
              </w:rPr>
              <w:t>Provides clear recommended actions for improvement</w:t>
            </w:r>
          </w:p>
        </w:tc>
      </w:tr>
      <w:tr w:rsidR="006B47A7" w:rsidRPr="001E37E6" w14:paraId="2B28DAE0" w14:textId="77777777" w:rsidTr="00484020">
        <w:tc>
          <w:tcPr>
            <w:tcW w:w="2127" w:type="dxa"/>
          </w:tcPr>
          <w:p w14:paraId="30BC46FA" w14:textId="15066499" w:rsidR="006B47A7" w:rsidRPr="0074655A" w:rsidRDefault="006B47A7" w:rsidP="007139C7">
            <w:pPr>
              <w:keepNext/>
              <w:rPr>
                <w:sz w:val="19"/>
                <w:szCs w:val="19"/>
              </w:rPr>
            </w:pPr>
            <w:r w:rsidRPr="0074655A">
              <w:rPr>
                <w:sz w:val="19"/>
                <w:szCs w:val="19"/>
              </w:rPr>
              <w:lastRenderedPageBreak/>
              <w:t>Audits</w:t>
            </w:r>
            <w:r w:rsidR="00164417" w:rsidRPr="0074655A">
              <w:rPr>
                <w:sz w:val="19"/>
                <w:szCs w:val="19"/>
              </w:rPr>
              <w:t xml:space="preserve"> (</w:t>
            </w:r>
            <w:r w:rsidR="00104F07">
              <w:rPr>
                <w:sz w:val="19"/>
                <w:szCs w:val="19"/>
              </w:rPr>
              <w:t xml:space="preserve">Part 2 </w:t>
            </w:r>
            <w:r w:rsidR="00164417" w:rsidRPr="0074655A">
              <w:rPr>
                <w:sz w:val="19"/>
                <w:szCs w:val="19"/>
              </w:rPr>
              <w:t>compliance only)</w:t>
            </w:r>
          </w:p>
        </w:tc>
        <w:tc>
          <w:tcPr>
            <w:tcW w:w="2976" w:type="dxa"/>
          </w:tcPr>
          <w:p w14:paraId="41FBA63C" w14:textId="6AF3774D" w:rsidR="006B47A7" w:rsidRPr="0074655A" w:rsidRDefault="006B47A7" w:rsidP="007139C7">
            <w:pPr>
              <w:keepNext/>
              <w:rPr>
                <w:sz w:val="19"/>
                <w:szCs w:val="19"/>
              </w:rPr>
            </w:pPr>
            <w:r w:rsidRPr="0074655A">
              <w:rPr>
                <w:sz w:val="19"/>
                <w:szCs w:val="19"/>
              </w:rPr>
              <w:t xml:space="preserve">Systematic analysis of </w:t>
            </w:r>
            <w:r w:rsidR="005D169B">
              <w:rPr>
                <w:sz w:val="19"/>
                <w:szCs w:val="19"/>
              </w:rPr>
              <w:t xml:space="preserve">extent of </w:t>
            </w:r>
            <w:r w:rsidRPr="0074655A">
              <w:rPr>
                <w:sz w:val="19"/>
                <w:szCs w:val="19"/>
              </w:rPr>
              <w:t xml:space="preserve">compliance with </w:t>
            </w:r>
            <w:r w:rsidR="003D391D">
              <w:rPr>
                <w:sz w:val="19"/>
                <w:szCs w:val="19"/>
              </w:rPr>
              <w:t xml:space="preserve">Basin </w:t>
            </w:r>
            <w:r w:rsidRPr="0074655A">
              <w:rPr>
                <w:sz w:val="19"/>
                <w:szCs w:val="19"/>
              </w:rPr>
              <w:t>Plan and/ or water resource plans</w:t>
            </w:r>
          </w:p>
        </w:tc>
        <w:tc>
          <w:tcPr>
            <w:tcW w:w="4525" w:type="dxa"/>
          </w:tcPr>
          <w:p w14:paraId="6E251539" w14:textId="77777777" w:rsidR="006B47A7" w:rsidRPr="00E65CD3" w:rsidRDefault="006B47A7" w:rsidP="007139C7">
            <w:pPr>
              <w:keepNext/>
              <w:rPr>
                <w:sz w:val="19"/>
                <w:szCs w:val="19"/>
              </w:rPr>
            </w:pPr>
            <w:r w:rsidRPr="00E65CD3">
              <w:rPr>
                <w:sz w:val="19"/>
                <w:szCs w:val="19"/>
              </w:rPr>
              <w:t>Provides assurance that relevant government agencies are complying with their obligations</w:t>
            </w:r>
          </w:p>
          <w:p w14:paraId="1FAC2C36" w14:textId="77777777" w:rsidR="006B47A7" w:rsidRPr="0074655A" w:rsidRDefault="006B47A7" w:rsidP="007139C7">
            <w:pPr>
              <w:keepNext/>
              <w:rPr>
                <w:sz w:val="19"/>
                <w:szCs w:val="19"/>
              </w:rPr>
            </w:pPr>
            <w:r w:rsidRPr="0074655A">
              <w:rPr>
                <w:sz w:val="19"/>
                <w:szCs w:val="19"/>
              </w:rPr>
              <w:t xml:space="preserve">Enables the Inspector–General to develop </w:t>
            </w:r>
            <w:proofErr w:type="gramStart"/>
            <w:r w:rsidRPr="0074655A">
              <w:rPr>
                <w:sz w:val="19"/>
                <w:szCs w:val="19"/>
              </w:rPr>
              <w:t>an evidence</w:t>
            </w:r>
            <w:proofErr w:type="gramEnd"/>
            <w:r w:rsidRPr="0074655A">
              <w:rPr>
                <w:sz w:val="19"/>
                <w:szCs w:val="19"/>
              </w:rPr>
              <w:t>–base for prioritising activities and interventions</w:t>
            </w:r>
          </w:p>
        </w:tc>
      </w:tr>
      <w:tr w:rsidR="004A0298" w:rsidRPr="007A7FC4" w14:paraId="1E9336AE" w14:textId="77777777" w:rsidTr="00484020">
        <w:tc>
          <w:tcPr>
            <w:tcW w:w="2127" w:type="dxa"/>
          </w:tcPr>
          <w:p w14:paraId="2C7EA711" w14:textId="243E3867" w:rsidR="004A0298" w:rsidRPr="007A7FC4" w:rsidRDefault="004A0298" w:rsidP="004A0298">
            <w:pPr>
              <w:rPr>
                <w:sz w:val="19"/>
                <w:szCs w:val="19"/>
              </w:rPr>
            </w:pPr>
            <w:r w:rsidRPr="007A7FC4">
              <w:rPr>
                <w:sz w:val="19"/>
                <w:szCs w:val="19"/>
              </w:rPr>
              <w:t>Audits (Part 7A)</w:t>
            </w:r>
          </w:p>
        </w:tc>
        <w:tc>
          <w:tcPr>
            <w:tcW w:w="2976" w:type="dxa"/>
          </w:tcPr>
          <w:p w14:paraId="11DBFE10" w14:textId="26EE0878" w:rsidR="004A0298" w:rsidRPr="007A7FC4" w:rsidRDefault="004A0298" w:rsidP="004A0298">
            <w:pPr>
              <w:rPr>
                <w:sz w:val="19"/>
                <w:szCs w:val="19"/>
              </w:rPr>
            </w:pPr>
            <w:r w:rsidRPr="007A7FC4">
              <w:rPr>
                <w:sz w:val="19"/>
                <w:szCs w:val="19"/>
              </w:rPr>
              <w:t>Systematic analysis of performance of obligations relating to water markets information</w:t>
            </w:r>
          </w:p>
        </w:tc>
        <w:tc>
          <w:tcPr>
            <w:tcW w:w="4525" w:type="dxa"/>
          </w:tcPr>
          <w:p w14:paraId="01BB77D1" w14:textId="7129E43F" w:rsidR="004A0298" w:rsidRPr="007A7FC4" w:rsidRDefault="004A0298" w:rsidP="004A0298">
            <w:pPr>
              <w:rPr>
                <w:sz w:val="19"/>
                <w:szCs w:val="19"/>
              </w:rPr>
            </w:pPr>
            <w:r w:rsidRPr="007A7FC4">
              <w:rPr>
                <w:sz w:val="19"/>
                <w:szCs w:val="19"/>
              </w:rPr>
              <w:t xml:space="preserve">Provides assurance that relevant traders of </w:t>
            </w:r>
            <w:r w:rsidR="00776B38">
              <w:rPr>
                <w:sz w:val="19"/>
                <w:szCs w:val="19"/>
              </w:rPr>
              <w:t>tra</w:t>
            </w:r>
            <w:r w:rsidR="00155287">
              <w:rPr>
                <w:sz w:val="19"/>
                <w:szCs w:val="19"/>
              </w:rPr>
              <w:t xml:space="preserve">deable </w:t>
            </w:r>
            <w:r w:rsidRPr="007A7FC4">
              <w:rPr>
                <w:sz w:val="19"/>
                <w:szCs w:val="19"/>
              </w:rPr>
              <w:t xml:space="preserve">water </w:t>
            </w:r>
            <w:r w:rsidR="00D82401">
              <w:rPr>
                <w:sz w:val="19"/>
                <w:szCs w:val="19"/>
              </w:rPr>
              <w:t>rights</w:t>
            </w:r>
            <w:r w:rsidRPr="007A7FC4">
              <w:rPr>
                <w:sz w:val="19"/>
                <w:szCs w:val="19"/>
              </w:rPr>
              <w:t xml:space="preserve"> comply with obligations to provide </w:t>
            </w:r>
            <w:r w:rsidR="00756317" w:rsidRPr="007A7FC4">
              <w:rPr>
                <w:sz w:val="19"/>
                <w:szCs w:val="19"/>
              </w:rPr>
              <w:t>information</w:t>
            </w:r>
          </w:p>
          <w:p w14:paraId="73E75A1D" w14:textId="29C9FFE7" w:rsidR="00756317" w:rsidRPr="007A7FC4" w:rsidRDefault="00756317" w:rsidP="004A0298">
            <w:pPr>
              <w:rPr>
                <w:sz w:val="19"/>
                <w:szCs w:val="19"/>
              </w:rPr>
            </w:pPr>
            <w:r w:rsidRPr="007A7FC4">
              <w:rPr>
                <w:sz w:val="19"/>
                <w:szCs w:val="19"/>
              </w:rPr>
              <w:t xml:space="preserve">Ensures the Bureau of Meteorology’s </w:t>
            </w:r>
            <w:r w:rsidR="00A76BD7" w:rsidRPr="007A7FC4">
              <w:rPr>
                <w:sz w:val="19"/>
                <w:szCs w:val="19"/>
              </w:rPr>
              <w:t>Water Data Hub contains necessary information</w:t>
            </w:r>
          </w:p>
          <w:p w14:paraId="3FAE58D8" w14:textId="0FF0347E" w:rsidR="004A0298" w:rsidRPr="007A7FC4" w:rsidRDefault="004A0298" w:rsidP="004A0298">
            <w:pPr>
              <w:rPr>
                <w:sz w:val="19"/>
                <w:szCs w:val="19"/>
              </w:rPr>
            </w:pPr>
            <w:r w:rsidRPr="007A7FC4">
              <w:rPr>
                <w:sz w:val="19"/>
                <w:szCs w:val="19"/>
              </w:rPr>
              <w:t xml:space="preserve">Enables the Inspector–General to develop </w:t>
            </w:r>
            <w:proofErr w:type="gramStart"/>
            <w:r w:rsidRPr="007A7FC4">
              <w:rPr>
                <w:sz w:val="19"/>
                <w:szCs w:val="19"/>
              </w:rPr>
              <w:t>an evidence</w:t>
            </w:r>
            <w:proofErr w:type="gramEnd"/>
            <w:r w:rsidRPr="007A7FC4">
              <w:rPr>
                <w:sz w:val="19"/>
                <w:szCs w:val="19"/>
              </w:rPr>
              <w:t>–base for prioritising activities and interventions</w:t>
            </w:r>
          </w:p>
        </w:tc>
      </w:tr>
      <w:tr w:rsidR="00484020" w:rsidRPr="007A7FC4" w14:paraId="025064BD" w14:textId="77777777" w:rsidTr="00484020">
        <w:tc>
          <w:tcPr>
            <w:tcW w:w="2127" w:type="dxa"/>
          </w:tcPr>
          <w:p w14:paraId="41EA52E7" w14:textId="5B7DA20D" w:rsidR="00484020" w:rsidRPr="007A7FC4" w:rsidRDefault="00484020" w:rsidP="004A0298">
            <w:pPr>
              <w:rPr>
                <w:sz w:val="19"/>
                <w:szCs w:val="19"/>
              </w:rPr>
            </w:pPr>
            <w:r>
              <w:rPr>
                <w:sz w:val="19"/>
                <w:szCs w:val="19"/>
              </w:rPr>
              <w:t>Audit (calculation of adjustments only)</w:t>
            </w:r>
          </w:p>
        </w:tc>
        <w:tc>
          <w:tcPr>
            <w:tcW w:w="2976" w:type="dxa"/>
          </w:tcPr>
          <w:p w14:paraId="557B37CA" w14:textId="42E56B32" w:rsidR="00484020" w:rsidRPr="007A7FC4" w:rsidRDefault="00484020" w:rsidP="004A0298">
            <w:pPr>
              <w:rPr>
                <w:sz w:val="19"/>
                <w:szCs w:val="19"/>
              </w:rPr>
            </w:pPr>
            <w:r>
              <w:rPr>
                <w:sz w:val="19"/>
                <w:szCs w:val="19"/>
              </w:rPr>
              <w:t>Audits into MDBA’s calculations of adjustments to sustainable diversion limits</w:t>
            </w:r>
          </w:p>
        </w:tc>
        <w:tc>
          <w:tcPr>
            <w:tcW w:w="4525" w:type="dxa"/>
          </w:tcPr>
          <w:p w14:paraId="6A6012B6" w14:textId="77777777" w:rsidR="00484020" w:rsidRDefault="00484020" w:rsidP="004A0298">
            <w:pPr>
              <w:rPr>
                <w:sz w:val="19"/>
                <w:szCs w:val="19"/>
              </w:rPr>
            </w:pPr>
            <w:r w:rsidRPr="00484020">
              <w:rPr>
                <w:sz w:val="19"/>
                <w:szCs w:val="19"/>
              </w:rPr>
              <w:t xml:space="preserve">Provides independent assurance that all things that needed to be </w:t>
            </w:r>
            <w:proofErr w:type="gramStart"/>
            <w:r w:rsidRPr="00484020">
              <w:rPr>
                <w:sz w:val="19"/>
                <w:szCs w:val="19"/>
              </w:rPr>
              <w:t>taken into account</w:t>
            </w:r>
            <w:proofErr w:type="gramEnd"/>
            <w:r w:rsidRPr="00484020">
              <w:rPr>
                <w:sz w:val="19"/>
                <w:szCs w:val="19"/>
              </w:rPr>
              <w:t xml:space="preserve"> were taken into account</w:t>
            </w:r>
          </w:p>
          <w:p w14:paraId="73183259" w14:textId="0878309B" w:rsidR="00484020" w:rsidRPr="007A7FC4" w:rsidRDefault="00484020" w:rsidP="004A0298">
            <w:pPr>
              <w:rPr>
                <w:sz w:val="19"/>
                <w:szCs w:val="19"/>
              </w:rPr>
            </w:pPr>
            <w:r w:rsidRPr="00484020">
              <w:rPr>
                <w:sz w:val="19"/>
                <w:szCs w:val="19"/>
              </w:rPr>
              <w:t xml:space="preserve">Provides independent assurance that anything that should not be </w:t>
            </w:r>
            <w:proofErr w:type="gramStart"/>
            <w:r w:rsidRPr="00484020">
              <w:rPr>
                <w:sz w:val="19"/>
                <w:szCs w:val="19"/>
              </w:rPr>
              <w:t>taken into account</w:t>
            </w:r>
            <w:proofErr w:type="gramEnd"/>
            <w:r w:rsidRPr="00484020">
              <w:rPr>
                <w:sz w:val="19"/>
                <w:szCs w:val="19"/>
              </w:rPr>
              <w:t xml:space="preserve"> was not taken into account</w:t>
            </w:r>
          </w:p>
        </w:tc>
      </w:tr>
      <w:tr w:rsidR="00484020" w:rsidRPr="007A7FC4" w14:paraId="3FA2083C" w14:textId="77777777" w:rsidTr="00484020">
        <w:tc>
          <w:tcPr>
            <w:tcW w:w="2127" w:type="dxa"/>
          </w:tcPr>
          <w:p w14:paraId="7B2A9A86" w14:textId="4FAFBFF1" w:rsidR="00484020" w:rsidRDefault="00484020" w:rsidP="004A0298">
            <w:pPr>
              <w:rPr>
                <w:sz w:val="19"/>
                <w:szCs w:val="19"/>
              </w:rPr>
            </w:pPr>
            <w:r w:rsidRPr="0074655A">
              <w:rPr>
                <w:sz w:val="19"/>
                <w:szCs w:val="19"/>
              </w:rPr>
              <w:t>Compel information</w:t>
            </w:r>
          </w:p>
        </w:tc>
        <w:tc>
          <w:tcPr>
            <w:tcW w:w="2976" w:type="dxa"/>
          </w:tcPr>
          <w:p w14:paraId="2C770982" w14:textId="7309C18B" w:rsidR="00484020" w:rsidRDefault="00484020" w:rsidP="004A0298">
            <w:pPr>
              <w:rPr>
                <w:sz w:val="19"/>
                <w:szCs w:val="19"/>
              </w:rPr>
            </w:pPr>
            <w:r w:rsidRPr="0074655A">
              <w:rPr>
                <w:sz w:val="19"/>
                <w:szCs w:val="19"/>
              </w:rPr>
              <w:t xml:space="preserve">Using powers under the </w:t>
            </w:r>
            <w:r>
              <w:rPr>
                <w:sz w:val="19"/>
                <w:szCs w:val="19"/>
              </w:rPr>
              <w:t xml:space="preserve">Water </w:t>
            </w:r>
            <w:r w:rsidRPr="0074655A">
              <w:rPr>
                <w:sz w:val="19"/>
                <w:szCs w:val="19"/>
              </w:rPr>
              <w:t>Act to compel the provision of information relating to compliance</w:t>
            </w:r>
          </w:p>
        </w:tc>
        <w:tc>
          <w:tcPr>
            <w:tcW w:w="4525" w:type="dxa"/>
          </w:tcPr>
          <w:p w14:paraId="1022CFF2" w14:textId="77777777" w:rsidR="00484020" w:rsidRDefault="00484020" w:rsidP="004A0298">
            <w:pPr>
              <w:rPr>
                <w:sz w:val="19"/>
                <w:szCs w:val="19"/>
              </w:rPr>
            </w:pPr>
            <w:r w:rsidRPr="00484020">
              <w:rPr>
                <w:sz w:val="19"/>
                <w:szCs w:val="19"/>
              </w:rPr>
              <w:t>Aids the Inspector–General in determining whether the Water Act is being complied with in fact or intent</w:t>
            </w:r>
          </w:p>
          <w:p w14:paraId="6DB47965" w14:textId="41AB3662" w:rsidR="00484020" w:rsidRPr="00484020" w:rsidRDefault="00484020" w:rsidP="004A0298">
            <w:pPr>
              <w:rPr>
                <w:sz w:val="19"/>
                <w:szCs w:val="19"/>
              </w:rPr>
            </w:pPr>
            <w:r w:rsidRPr="00484020">
              <w:rPr>
                <w:sz w:val="19"/>
                <w:szCs w:val="19"/>
              </w:rPr>
              <w:t>Establishes evidence to inform enforcement actions</w:t>
            </w:r>
          </w:p>
        </w:tc>
      </w:tr>
      <w:tr w:rsidR="00484020" w:rsidRPr="001E37E6" w14:paraId="12445185" w14:textId="77777777" w:rsidTr="00484020">
        <w:tc>
          <w:tcPr>
            <w:tcW w:w="2127" w:type="dxa"/>
          </w:tcPr>
          <w:p w14:paraId="0170225F" w14:textId="12491AE0" w:rsidR="00484020" w:rsidRPr="0074655A" w:rsidRDefault="00484020" w:rsidP="00484020">
            <w:pPr>
              <w:rPr>
                <w:sz w:val="19"/>
                <w:szCs w:val="19"/>
              </w:rPr>
            </w:pPr>
            <w:r w:rsidRPr="0074655A">
              <w:rPr>
                <w:sz w:val="19"/>
                <w:szCs w:val="19"/>
              </w:rPr>
              <w:t>Inspections (compliance only)</w:t>
            </w:r>
          </w:p>
        </w:tc>
        <w:tc>
          <w:tcPr>
            <w:tcW w:w="2976" w:type="dxa"/>
          </w:tcPr>
          <w:p w14:paraId="45E33E13" w14:textId="3F26819B" w:rsidR="00484020" w:rsidRPr="0074655A" w:rsidRDefault="00484020" w:rsidP="00484020">
            <w:pPr>
              <w:rPr>
                <w:sz w:val="19"/>
                <w:szCs w:val="19"/>
              </w:rPr>
            </w:pPr>
            <w:r w:rsidRPr="0074655A">
              <w:rPr>
                <w:sz w:val="19"/>
                <w:szCs w:val="19"/>
              </w:rPr>
              <w:t xml:space="preserve">Investigating compliance with the </w:t>
            </w:r>
            <w:r>
              <w:rPr>
                <w:sz w:val="19"/>
                <w:szCs w:val="19"/>
              </w:rPr>
              <w:t xml:space="preserve">Water </w:t>
            </w:r>
            <w:r w:rsidRPr="0074655A">
              <w:rPr>
                <w:sz w:val="19"/>
                <w:szCs w:val="19"/>
              </w:rPr>
              <w:t>Act under a court–issued monitoring warrant</w:t>
            </w:r>
          </w:p>
        </w:tc>
        <w:tc>
          <w:tcPr>
            <w:tcW w:w="4525" w:type="dxa"/>
          </w:tcPr>
          <w:p w14:paraId="39D13526" w14:textId="165D83A8" w:rsidR="00484020" w:rsidRPr="00E65CD3" w:rsidRDefault="00484020" w:rsidP="00484020">
            <w:pPr>
              <w:rPr>
                <w:sz w:val="19"/>
                <w:szCs w:val="19"/>
              </w:rPr>
            </w:pPr>
            <w:r w:rsidRPr="00E65CD3">
              <w:rPr>
                <w:sz w:val="19"/>
                <w:szCs w:val="19"/>
              </w:rPr>
              <w:t xml:space="preserve">Determines whether </w:t>
            </w:r>
            <w:r>
              <w:rPr>
                <w:sz w:val="19"/>
                <w:szCs w:val="19"/>
              </w:rPr>
              <w:t xml:space="preserve">the </w:t>
            </w:r>
            <w:r w:rsidRPr="00E65CD3">
              <w:rPr>
                <w:sz w:val="19"/>
                <w:szCs w:val="19"/>
              </w:rPr>
              <w:t>Water Act is being complied with</w:t>
            </w:r>
          </w:p>
          <w:p w14:paraId="29F0B45E" w14:textId="77777777" w:rsidR="00484020" w:rsidRPr="00E65CD3" w:rsidRDefault="00484020" w:rsidP="00484020">
            <w:pPr>
              <w:rPr>
                <w:sz w:val="19"/>
                <w:szCs w:val="19"/>
              </w:rPr>
            </w:pPr>
            <w:r w:rsidRPr="00E65CD3">
              <w:rPr>
                <w:sz w:val="19"/>
                <w:szCs w:val="19"/>
              </w:rPr>
              <w:t>Establishes evidence to inform enforcement actions</w:t>
            </w:r>
          </w:p>
        </w:tc>
      </w:tr>
      <w:tr w:rsidR="00484020" w:rsidRPr="001E37E6" w14:paraId="634BE812" w14:textId="77777777" w:rsidTr="00484020">
        <w:tc>
          <w:tcPr>
            <w:tcW w:w="2127" w:type="dxa"/>
          </w:tcPr>
          <w:p w14:paraId="61F806D9" w14:textId="4A46ECFE" w:rsidR="00484020" w:rsidRPr="0074655A" w:rsidRDefault="00484020" w:rsidP="00484020">
            <w:pPr>
              <w:rPr>
                <w:sz w:val="19"/>
                <w:szCs w:val="19"/>
              </w:rPr>
            </w:pPr>
            <w:r w:rsidRPr="0074655A">
              <w:rPr>
                <w:sz w:val="19"/>
                <w:szCs w:val="19"/>
              </w:rPr>
              <w:t>Investigations (compliance only)</w:t>
            </w:r>
          </w:p>
        </w:tc>
        <w:tc>
          <w:tcPr>
            <w:tcW w:w="2976" w:type="dxa"/>
          </w:tcPr>
          <w:p w14:paraId="032BA121" w14:textId="07868DB6" w:rsidR="00484020" w:rsidRPr="0074655A" w:rsidRDefault="00484020" w:rsidP="00484020">
            <w:pPr>
              <w:rPr>
                <w:sz w:val="19"/>
                <w:szCs w:val="19"/>
              </w:rPr>
            </w:pPr>
            <w:r w:rsidRPr="0074655A">
              <w:rPr>
                <w:sz w:val="19"/>
                <w:szCs w:val="19"/>
              </w:rPr>
              <w:t xml:space="preserve">Conduct an inspection under an investigation warrant into compliance with the </w:t>
            </w:r>
            <w:r>
              <w:rPr>
                <w:sz w:val="19"/>
                <w:szCs w:val="19"/>
              </w:rPr>
              <w:t xml:space="preserve">Water </w:t>
            </w:r>
            <w:r w:rsidRPr="0074655A">
              <w:rPr>
                <w:sz w:val="19"/>
                <w:szCs w:val="19"/>
              </w:rPr>
              <w:t>Act</w:t>
            </w:r>
          </w:p>
        </w:tc>
        <w:tc>
          <w:tcPr>
            <w:tcW w:w="4525" w:type="dxa"/>
          </w:tcPr>
          <w:p w14:paraId="3BD130DA" w14:textId="27E613DE" w:rsidR="00484020" w:rsidRPr="0074655A" w:rsidRDefault="00484020" w:rsidP="00484020">
            <w:pPr>
              <w:rPr>
                <w:sz w:val="19"/>
                <w:szCs w:val="19"/>
              </w:rPr>
            </w:pPr>
            <w:r w:rsidRPr="0074655A">
              <w:rPr>
                <w:sz w:val="19"/>
                <w:szCs w:val="19"/>
              </w:rPr>
              <w:t xml:space="preserve">Determines to [a standard of proof] whether there is evidence of a contravention with the </w:t>
            </w:r>
            <w:r>
              <w:rPr>
                <w:sz w:val="19"/>
                <w:szCs w:val="19"/>
              </w:rPr>
              <w:t xml:space="preserve">Water </w:t>
            </w:r>
            <w:r w:rsidRPr="0074655A">
              <w:rPr>
                <w:sz w:val="19"/>
                <w:szCs w:val="19"/>
              </w:rPr>
              <w:t>Act</w:t>
            </w:r>
          </w:p>
        </w:tc>
      </w:tr>
      <w:tr w:rsidR="00484020" w:rsidRPr="001E37E6" w14:paraId="141BCE5D" w14:textId="77777777" w:rsidTr="00484020">
        <w:tc>
          <w:tcPr>
            <w:tcW w:w="2127" w:type="dxa"/>
          </w:tcPr>
          <w:p w14:paraId="7212F951" w14:textId="60AFAF33" w:rsidR="00484020" w:rsidRPr="0074655A" w:rsidRDefault="00484020" w:rsidP="00484020">
            <w:pPr>
              <w:rPr>
                <w:sz w:val="19"/>
                <w:szCs w:val="19"/>
              </w:rPr>
            </w:pPr>
            <w:r w:rsidRPr="0074655A">
              <w:rPr>
                <w:sz w:val="19"/>
                <w:szCs w:val="19"/>
              </w:rPr>
              <w:t>Site visits</w:t>
            </w:r>
          </w:p>
        </w:tc>
        <w:tc>
          <w:tcPr>
            <w:tcW w:w="2976" w:type="dxa"/>
          </w:tcPr>
          <w:p w14:paraId="5CF37F27" w14:textId="77777777" w:rsidR="00484020" w:rsidRPr="0074655A" w:rsidRDefault="00484020" w:rsidP="00484020">
            <w:pPr>
              <w:rPr>
                <w:sz w:val="19"/>
                <w:szCs w:val="19"/>
              </w:rPr>
            </w:pPr>
            <w:r w:rsidRPr="0074655A">
              <w:rPr>
                <w:sz w:val="19"/>
                <w:szCs w:val="19"/>
              </w:rPr>
              <w:t>With permission, reviewing matters on site relating to:</w:t>
            </w:r>
          </w:p>
          <w:p w14:paraId="0461D636" w14:textId="3BFC9BC4" w:rsidR="00484020" w:rsidRPr="0074655A" w:rsidRDefault="00484020" w:rsidP="00484020">
            <w:pPr>
              <w:pStyle w:val="ListParagraph"/>
              <w:numPr>
                <w:ilvl w:val="0"/>
                <w:numId w:val="15"/>
              </w:numPr>
              <w:rPr>
                <w:sz w:val="19"/>
                <w:szCs w:val="19"/>
              </w:rPr>
            </w:pPr>
            <w:r w:rsidRPr="0074655A">
              <w:rPr>
                <w:sz w:val="19"/>
                <w:szCs w:val="19"/>
              </w:rPr>
              <w:t>Performance of functions</w:t>
            </w:r>
            <w:r>
              <w:rPr>
                <w:sz w:val="19"/>
                <w:szCs w:val="19"/>
              </w:rPr>
              <w:t>,</w:t>
            </w:r>
            <w:r w:rsidRPr="0074655A">
              <w:rPr>
                <w:sz w:val="19"/>
                <w:szCs w:val="19"/>
              </w:rPr>
              <w:t xml:space="preserve"> exercise of powers </w:t>
            </w:r>
            <w:r>
              <w:rPr>
                <w:sz w:val="19"/>
                <w:szCs w:val="19"/>
              </w:rPr>
              <w:t xml:space="preserve">or performance of obligations </w:t>
            </w:r>
            <w:r w:rsidRPr="0074655A">
              <w:rPr>
                <w:sz w:val="19"/>
                <w:szCs w:val="19"/>
              </w:rPr>
              <w:t xml:space="preserve">under </w:t>
            </w:r>
            <w:r>
              <w:rPr>
                <w:sz w:val="19"/>
                <w:szCs w:val="19"/>
              </w:rPr>
              <w:t xml:space="preserve">Water </w:t>
            </w:r>
            <w:r w:rsidRPr="0074655A">
              <w:rPr>
                <w:sz w:val="19"/>
                <w:szCs w:val="19"/>
              </w:rPr>
              <w:t xml:space="preserve">Act </w:t>
            </w:r>
          </w:p>
          <w:p w14:paraId="5BCBE3B2" w14:textId="77777777" w:rsidR="00484020" w:rsidRPr="0074655A" w:rsidRDefault="00484020" w:rsidP="00484020">
            <w:pPr>
              <w:pStyle w:val="ListParagraph"/>
              <w:numPr>
                <w:ilvl w:val="0"/>
                <w:numId w:val="15"/>
              </w:numPr>
              <w:rPr>
                <w:sz w:val="19"/>
                <w:szCs w:val="19"/>
              </w:rPr>
            </w:pPr>
            <w:r w:rsidRPr="0074655A">
              <w:rPr>
                <w:sz w:val="19"/>
                <w:szCs w:val="19"/>
              </w:rPr>
              <w:t>Implementation of commitments under relevant intergovernmental agreements</w:t>
            </w:r>
          </w:p>
        </w:tc>
        <w:tc>
          <w:tcPr>
            <w:tcW w:w="4525" w:type="dxa"/>
          </w:tcPr>
          <w:p w14:paraId="37EAF7E2" w14:textId="77777777" w:rsidR="00484020" w:rsidRPr="00E65CD3" w:rsidRDefault="00484020" w:rsidP="00484020">
            <w:pPr>
              <w:rPr>
                <w:sz w:val="19"/>
                <w:szCs w:val="19"/>
              </w:rPr>
            </w:pPr>
            <w:r w:rsidRPr="00E65CD3">
              <w:rPr>
                <w:sz w:val="19"/>
                <w:szCs w:val="19"/>
              </w:rPr>
              <w:t>Enables the Inspector–General to perform oversight functions</w:t>
            </w:r>
          </w:p>
          <w:p w14:paraId="4C34793C" w14:textId="77777777" w:rsidR="00484020" w:rsidRPr="00E65CD3" w:rsidRDefault="00484020" w:rsidP="00484020">
            <w:pPr>
              <w:rPr>
                <w:sz w:val="19"/>
                <w:szCs w:val="19"/>
              </w:rPr>
            </w:pPr>
            <w:r w:rsidRPr="00E65CD3">
              <w:rPr>
                <w:sz w:val="19"/>
                <w:szCs w:val="19"/>
              </w:rPr>
              <w:t>Permits review of material where there may be disclosure or handling sensitivities</w:t>
            </w:r>
          </w:p>
        </w:tc>
      </w:tr>
    </w:tbl>
    <w:p w14:paraId="59EAF755" w14:textId="41BD55BB" w:rsidR="00C45428" w:rsidRPr="001E37E6" w:rsidRDefault="00C45428" w:rsidP="00550E2D">
      <w:pPr>
        <w:pStyle w:val="Heading2"/>
      </w:pPr>
      <w:bookmarkStart w:id="55" w:name="_Toc128484154"/>
      <w:bookmarkStart w:id="56" w:name="_Toc137125817"/>
      <w:bookmarkStart w:id="57" w:name="_Toc139551384"/>
      <w:bookmarkStart w:id="58" w:name="_Toc161834746"/>
      <w:r>
        <w:lastRenderedPageBreak/>
        <w:t>Enforc</w:t>
      </w:r>
      <w:bookmarkEnd w:id="55"/>
      <w:r>
        <w:t>ement</w:t>
      </w:r>
      <w:bookmarkEnd w:id="56"/>
      <w:bookmarkEnd w:id="57"/>
      <w:bookmarkEnd w:id="58"/>
    </w:p>
    <w:p w14:paraId="261F626E" w14:textId="57D7A122" w:rsidR="00C45428" w:rsidRPr="001E37E6" w:rsidRDefault="00C45428" w:rsidP="00C45428">
      <w:r>
        <w:t>Enforcement</w:t>
      </w:r>
      <w:r w:rsidRPr="001E37E6">
        <w:t xml:space="preserve"> is a </w:t>
      </w:r>
      <w:r>
        <w:t xml:space="preserve">reactive </w:t>
      </w:r>
      <w:r w:rsidRPr="001E37E6">
        <w:t xml:space="preserve">way of </w:t>
      </w:r>
      <w:r>
        <w:t xml:space="preserve">ensuring relevant persons or agencies are </w:t>
      </w:r>
      <w:r w:rsidRPr="00C64947">
        <w:rPr>
          <w:rStyle w:val="IntenseEmphasis"/>
        </w:rPr>
        <w:t>acting lawfully</w:t>
      </w:r>
      <w:r>
        <w:t xml:space="preserve"> and that </w:t>
      </w:r>
      <w:r w:rsidRPr="001E37E6">
        <w:t xml:space="preserve">the </w:t>
      </w:r>
      <w:r w:rsidR="00905FE8">
        <w:t xml:space="preserve">Water </w:t>
      </w:r>
      <w:r>
        <w:t xml:space="preserve">Act, </w:t>
      </w:r>
      <w:r w:rsidR="00905FE8">
        <w:t xml:space="preserve">Basin </w:t>
      </w:r>
      <w:r>
        <w:t xml:space="preserve">Plan and water resource plans are being </w:t>
      </w:r>
      <w:r w:rsidRPr="00C64947">
        <w:rPr>
          <w:rStyle w:val="IntenseEmphasis"/>
        </w:rPr>
        <w:t>complied</w:t>
      </w:r>
      <w:r>
        <w:t xml:space="preserve"> with</w:t>
      </w:r>
      <w:r w:rsidRPr="001E37E6">
        <w:t xml:space="preserve">. </w:t>
      </w:r>
      <w:r>
        <w:t>Enforcement activities are also used to prevent unlawful conduct</w:t>
      </w:r>
      <w:r w:rsidRPr="001E37E6">
        <w:t>.</w:t>
      </w:r>
    </w:p>
    <w:p w14:paraId="36057AC1" w14:textId="7BF7AF90" w:rsidR="00C45428" w:rsidRDefault="00C45428" w:rsidP="00FE54C5">
      <w:r>
        <w:t xml:space="preserve">Enforcement tools are used by the Inspector–General in respect to the activities of an </w:t>
      </w:r>
      <w:r w:rsidRPr="001E37E6">
        <w:t>individual</w:t>
      </w:r>
      <w:r>
        <w:t>,</w:t>
      </w:r>
      <w:r w:rsidR="00FB1E3F">
        <w:t xml:space="preserve"> corporation</w:t>
      </w:r>
      <w:r>
        <w:t>, or government agency</w:t>
      </w:r>
      <w:r w:rsidRPr="001E37E6">
        <w:t>.</w:t>
      </w:r>
      <w:r w:rsidR="00FE54C5">
        <w:t xml:space="preserve"> </w:t>
      </w:r>
      <w:r>
        <w:t xml:space="preserve">Where the Inspector–General is not the primary authority with respect to a matter, the relevant conduct may be referred to the appropriate agency. </w:t>
      </w:r>
    </w:p>
    <w:p w14:paraId="1B281A27" w14:textId="32D21395" w:rsidR="005F4F13" w:rsidRDefault="005F4F13" w:rsidP="005F4F13">
      <w:pPr>
        <w:pStyle w:val="TableHeading"/>
        <w:keepNext/>
      </w:pPr>
      <w:r>
        <w:t xml:space="preserve">Table </w:t>
      </w:r>
      <w:r>
        <w:fldChar w:fldCharType="begin"/>
      </w:r>
      <w:r>
        <w:instrText>SEQ Table \* ARABIC</w:instrText>
      </w:r>
      <w:r>
        <w:fldChar w:fldCharType="separate"/>
      </w:r>
      <w:r w:rsidR="0030522E">
        <w:rPr>
          <w:noProof/>
        </w:rPr>
        <w:t>4</w:t>
      </w:r>
      <w:r>
        <w:fldChar w:fldCharType="end"/>
      </w:r>
      <w:r>
        <w:t>. Enforcement activities</w:t>
      </w:r>
    </w:p>
    <w:tbl>
      <w:tblPr>
        <w:tblStyle w:val="TableGridLight"/>
        <w:tblW w:w="0" w:type="auto"/>
        <w:tblLook w:val="04A0" w:firstRow="1" w:lastRow="0" w:firstColumn="1" w:lastColumn="0" w:noHBand="0" w:noVBand="1"/>
      </w:tblPr>
      <w:tblGrid>
        <w:gridCol w:w="1985"/>
        <w:gridCol w:w="3118"/>
        <w:gridCol w:w="4525"/>
      </w:tblGrid>
      <w:tr w:rsidR="005F4F13" w:rsidRPr="001E37E6" w14:paraId="07403C05" w14:textId="77777777" w:rsidTr="0074655A">
        <w:trPr>
          <w:cnfStyle w:val="100000000000" w:firstRow="1" w:lastRow="0" w:firstColumn="0" w:lastColumn="0" w:oddVBand="0" w:evenVBand="0" w:oddHBand="0" w:evenHBand="0" w:firstRowFirstColumn="0" w:firstRowLastColumn="0" w:lastRowFirstColumn="0" w:lastRowLastColumn="0"/>
          <w:tblHeader/>
        </w:trPr>
        <w:tc>
          <w:tcPr>
            <w:tcW w:w="1985" w:type="dxa"/>
          </w:tcPr>
          <w:p w14:paraId="6C801240" w14:textId="77777777" w:rsidR="005F4F13" w:rsidRPr="001E37E6" w:rsidRDefault="005F4F13">
            <w:pPr>
              <w:pStyle w:val="TableHeader"/>
            </w:pPr>
            <w:r w:rsidRPr="001E37E6">
              <w:t>Type</w:t>
            </w:r>
          </w:p>
        </w:tc>
        <w:tc>
          <w:tcPr>
            <w:tcW w:w="3118" w:type="dxa"/>
          </w:tcPr>
          <w:p w14:paraId="0849080E" w14:textId="77777777" w:rsidR="005F4F13" w:rsidRPr="001E37E6" w:rsidRDefault="005F4F13">
            <w:pPr>
              <w:pStyle w:val="TableHeader"/>
            </w:pPr>
            <w:r w:rsidRPr="001E37E6">
              <w:t>Description</w:t>
            </w:r>
          </w:p>
        </w:tc>
        <w:tc>
          <w:tcPr>
            <w:tcW w:w="4525" w:type="dxa"/>
          </w:tcPr>
          <w:p w14:paraId="74C6BCA7" w14:textId="77777777" w:rsidR="005F4F13" w:rsidRPr="001E37E6" w:rsidRDefault="005F4F13">
            <w:pPr>
              <w:pStyle w:val="TableHeader"/>
            </w:pPr>
            <w:r w:rsidRPr="001E37E6">
              <w:t>Benefits</w:t>
            </w:r>
          </w:p>
        </w:tc>
      </w:tr>
      <w:tr w:rsidR="005F4F13" w:rsidRPr="001E37E6" w14:paraId="0EC269BB" w14:textId="77777777" w:rsidTr="0074655A">
        <w:tc>
          <w:tcPr>
            <w:tcW w:w="1985" w:type="dxa"/>
          </w:tcPr>
          <w:p w14:paraId="464B4E47" w14:textId="406F4C62" w:rsidR="005F4F13" w:rsidRPr="0074655A" w:rsidRDefault="005F4F13">
            <w:pPr>
              <w:rPr>
                <w:sz w:val="19"/>
                <w:szCs w:val="19"/>
              </w:rPr>
            </w:pPr>
            <w:r w:rsidRPr="0074655A">
              <w:rPr>
                <w:sz w:val="19"/>
                <w:szCs w:val="19"/>
              </w:rPr>
              <w:t>Declarations</w:t>
            </w:r>
            <w:r w:rsidR="004C28B8" w:rsidRPr="0074655A">
              <w:rPr>
                <w:sz w:val="19"/>
                <w:szCs w:val="19"/>
              </w:rPr>
              <w:t xml:space="preserve"> (compliance only)</w:t>
            </w:r>
          </w:p>
        </w:tc>
        <w:tc>
          <w:tcPr>
            <w:tcW w:w="3118" w:type="dxa"/>
          </w:tcPr>
          <w:p w14:paraId="5206D80D" w14:textId="77777777" w:rsidR="005F4F13" w:rsidRPr="0074655A" w:rsidRDefault="005F4F13">
            <w:pPr>
              <w:rPr>
                <w:sz w:val="19"/>
                <w:szCs w:val="19"/>
              </w:rPr>
            </w:pPr>
            <w:r w:rsidRPr="0074655A">
              <w:rPr>
                <w:sz w:val="19"/>
                <w:szCs w:val="19"/>
              </w:rPr>
              <w:t>Application for a court order about a legal conclusion on compliance with the law based on established facts</w:t>
            </w:r>
          </w:p>
        </w:tc>
        <w:tc>
          <w:tcPr>
            <w:tcW w:w="4525" w:type="dxa"/>
          </w:tcPr>
          <w:p w14:paraId="6B9B57E4" w14:textId="77777777" w:rsidR="005F4F13" w:rsidRPr="00E65CD3" w:rsidRDefault="005F4F13">
            <w:pPr>
              <w:rPr>
                <w:sz w:val="19"/>
                <w:szCs w:val="19"/>
              </w:rPr>
            </w:pPr>
            <w:r w:rsidRPr="00E65CD3">
              <w:rPr>
                <w:sz w:val="19"/>
                <w:szCs w:val="19"/>
              </w:rPr>
              <w:t>Clarifies the operation of the law where there are ambiguities, uncertainties or contested conclusions</w:t>
            </w:r>
          </w:p>
          <w:p w14:paraId="4187B89E" w14:textId="1BD203D0" w:rsidR="005F4F13" w:rsidRPr="0074655A" w:rsidRDefault="005F4F13">
            <w:pPr>
              <w:rPr>
                <w:sz w:val="19"/>
                <w:szCs w:val="19"/>
              </w:rPr>
            </w:pPr>
            <w:r w:rsidRPr="0074655A">
              <w:rPr>
                <w:sz w:val="19"/>
                <w:szCs w:val="19"/>
              </w:rPr>
              <w:t xml:space="preserve">Establishes case law about compliance with the </w:t>
            </w:r>
            <w:r w:rsidR="00C601BE">
              <w:rPr>
                <w:sz w:val="19"/>
                <w:szCs w:val="19"/>
              </w:rPr>
              <w:t xml:space="preserve">Water </w:t>
            </w:r>
            <w:r w:rsidRPr="0074655A">
              <w:rPr>
                <w:sz w:val="19"/>
                <w:szCs w:val="19"/>
              </w:rPr>
              <w:t>Act</w:t>
            </w:r>
          </w:p>
        </w:tc>
      </w:tr>
      <w:tr w:rsidR="005F4F13" w:rsidRPr="001E37E6" w14:paraId="15A18362" w14:textId="77777777" w:rsidTr="0074655A">
        <w:tc>
          <w:tcPr>
            <w:tcW w:w="1985" w:type="dxa"/>
          </w:tcPr>
          <w:p w14:paraId="535EE6BA" w14:textId="640CA2A5" w:rsidR="004C28B8" w:rsidRPr="0074655A" w:rsidRDefault="005F4F13">
            <w:pPr>
              <w:rPr>
                <w:sz w:val="19"/>
                <w:szCs w:val="19"/>
              </w:rPr>
            </w:pPr>
            <w:r w:rsidRPr="0074655A">
              <w:rPr>
                <w:sz w:val="19"/>
                <w:szCs w:val="19"/>
              </w:rPr>
              <w:t>Injunctions</w:t>
            </w:r>
            <w:r w:rsidR="004C28B8" w:rsidRPr="0074655A">
              <w:rPr>
                <w:sz w:val="19"/>
                <w:szCs w:val="19"/>
              </w:rPr>
              <w:t xml:space="preserve"> (compliance only)</w:t>
            </w:r>
          </w:p>
        </w:tc>
        <w:tc>
          <w:tcPr>
            <w:tcW w:w="3118" w:type="dxa"/>
          </w:tcPr>
          <w:p w14:paraId="7AC64575" w14:textId="77777777" w:rsidR="005F4F13" w:rsidRPr="0074655A" w:rsidRDefault="005F4F13">
            <w:pPr>
              <w:rPr>
                <w:sz w:val="19"/>
                <w:szCs w:val="19"/>
              </w:rPr>
            </w:pPr>
            <w:r w:rsidRPr="0074655A">
              <w:rPr>
                <w:sz w:val="19"/>
                <w:szCs w:val="19"/>
              </w:rPr>
              <w:t>Application for a court order for person or agency to do or not do something</w:t>
            </w:r>
          </w:p>
        </w:tc>
        <w:tc>
          <w:tcPr>
            <w:tcW w:w="4525" w:type="dxa"/>
          </w:tcPr>
          <w:p w14:paraId="23639C2E" w14:textId="16CF35B2" w:rsidR="005F4F13" w:rsidRPr="0074655A" w:rsidRDefault="005F4F13">
            <w:pPr>
              <w:rPr>
                <w:sz w:val="19"/>
                <w:szCs w:val="19"/>
              </w:rPr>
            </w:pPr>
            <w:r w:rsidRPr="0074655A">
              <w:rPr>
                <w:sz w:val="19"/>
                <w:szCs w:val="19"/>
              </w:rPr>
              <w:t xml:space="preserve">Prevents or deters contraventions of the </w:t>
            </w:r>
            <w:r w:rsidR="00C601BE">
              <w:rPr>
                <w:sz w:val="19"/>
                <w:szCs w:val="19"/>
              </w:rPr>
              <w:t xml:space="preserve">Water </w:t>
            </w:r>
            <w:r w:rsidRPr="0074655A">
              <w:rPr>
                <w:sz w:val="19"/>
                <w:szCs w:val="19"/>
              </w:rPr>
              <w:t>Act</w:t>
            </w:r>
          </w:p>
          <w:p w14:paraId="3F6B6229" w14:textId="4CDDD788" w:rsidR="005F4F13" w:rsidRPr="0074655A" w:rsidRDefault="005F4F13">
            <w:pPr>
              <w:rPr>
                <w:sz w:val="19"/>
                <w:szCs w:val="19"/>
              </w:rPr>
            </w:pPr>
            <w:r w:rsidRPr="0074655A">
              <w:rPr>
                <w:sz w:val="19"/>
                <w:szCs w:val="19"/>
              </w:rPr>
              <w:t xml:space="preserve">Establishes case law about compliance with the </w:t>
            </w:r>
            <w:r w:rsidR="00C601BE">
              <w:rPr>
                <w:sz w:val="19"/>
                <w:szCs w:val="19"/>
              </w:rPr>
              <w:t xml:space="preserve">Water </w:t>
            </w:r>
            <w:r w:rsidRPr="0074655A">
              <w:rPr>
                <w:sz w:val="19"/>
                <w:szCs w:val="19"/>
              </w:rPr>
              <w:t>Act</w:t>
            </w:r>
          </w:p>
        </w:tc>
      </w:tr>
      <w:tr w:rsidR="005F4F13" w:rsidRPr="001E37E6" w14:paraId="0212CE97" w14:textId="77777777" w:rsidTr="0074655A">
        <w:tc>
          <w:tcPr>
            <w:tcW w:w="1985" w:type="dxa"/>
          </w:tcPr>
          <w:p w14:paraId="7039FAD3" w14:textId="334283BF" w:rsidR="005F4F13" w:rsidRPr="0074655A" w:rsidRDefault="005F4F13">
            <w:pPr>
              <w:rPr>
                <w:sz w:val="19"/>
                <w:szCs w:val="19"/>
              </w:rPr>
            </w:pPr>
            <w:r w:rsidRPr="0074655A">
              <w:rPr>
                <w:sz w:val="19"/>
                <w:szCs w:val="19"/>
              </w:rPr>
              <w:t>Prosecution</w:t>
            </w:r>
            <w:r w:rsidR="00452259" w:rsidRPr="0074655A">
              <w:rPr>
                <w:sz w:val="19"/>
                <w:szCs w:val="19"/>
              </w:rPr>
              <w:t>s</w:t>
            </w:r>
            <w:r w:rsidR="004C28B8" w:rsidRPr="0074655A">
              <w:rPr>
                <w:sz w:val="19"/>
                <w:szCs w:val="19"/>
              </w:rPr>
              <w:t xml:space="preserve"> (compliance only)</w:t>
            </w:r>
          </w:p>
        </w:tc>
        <w:tc>
          <w:tcPr>
            <w:tcW w:w="3118" w:type="dxa"/>
          </w:tcPr>
          <w:p w14:paraId="7B5861A4" w14:textId="77777777" w:rsidR="005F4F13" w:rsidRPr="0074655A" w:rsidRDefault="005F4F13">
            <w:pPr>
              <w:rPr>
                <w:sz w:val="19"/>
                <w:szCs w:val="19"/>
              </w:rPr>
            </w:pPr>
            <w:r w:rsidRPr="0074655A">
              <w:rPr>
                <w:sz w:val="19"/>
                <w:szCs w:val="19"/>
              </w:rPr>
              <w:t>Legal proceedings against a person who has allegedly committed an offence</w:t>
            </w:r>
          </w:p>
        </w:tc>
        <w:tc>
          <w:tcPr>
            <w:tcW w:w="4525" w:type="dxa"/>
          </w:tcPr>
          <w:p w14:paraId="08A6CD7D" w14:textId="77777777" w:rsidR="005F4F13" w:rsidRPr="0074655A" w:rsidRDefault="005F4F13">
            <w:pPr>
              <w:rPr>
                <w:sz w:val="19"/>
                <w:szCs w:val="19"/>
              </w:rPr>
            </w:pPr>
            <w:r w:rsidRPr="0074655A">
              <w:rPr>
                <w:sz w:val="19"/>
                <w:szCs w:val="19"/>
              </w:rPr>
              <w:t>Punishes the offender</w:t>
            </w:r>
          </w:p>
          <w:p w14:paraId="0225E019" w14:textId="77777777" w:rsidR="005F4F13" w:rsidRPr="0074655A" w:rsidRDefault="005F4F13">
            <w:pPr>
              <w:rPr>
                <w:sz w:val="19"/>
                <w:szCs w:val="19"/>
              </w:rPr>
            </w:pPr>
            <w:r w:rsidRPr="0074655A">
              <w:rPr>
                <w:sz w:val="19"/>
                <w:szCs w:val="19"/>
              </w:rPr>
              <w:t>Encourages future compliance and deters others from committing an offence</w:t>
            </w:r>
          </w:p>
        </w:tc>
      </w:tr>
      <w:tr w:rsidR="005F4F13" w:rsidRPr="001E37E6" w14:paraId="3E0933BA" w14:textId="77777777" w:rsidTr="0074655A">
        <w:tc>
          <w:tcPr>
            <w:tcW w:w="1985" w:type="dxa"/>
          </w:tcPr>
          <w:p w14:paraId="268C307B" w14:textId="72BF6E90" w:rsidR="005F4F13" w:rsidRPr="0074655A" w:rsidRDefault="005F4F13">
            <w:pPr>
              <w:rPr>
                <w:sz w:val="19"/>
                <w:szCs w:val="19"/>
              </w:rPr>
            </w:pPr>
            <w:r w:rsidRPr="0074655A">
              <w:rPr>
                <w:sz w:val="19"/>
                <w:szCs w:val="19"/>
              </w:rPr>
              <w:t>Enforcement notices</w:t>
            </w:r>
            <w:r w:rsidR="004C28B8" w:rsidRPr="0074655A">
              <w:rPr>
                <w:sz w:val="19"/>
                <w:szCs w:val="19"/>
              </w:rPr>
              <w:t xml:space="preserve"> (compliance only)</w:t>
            </w:r>
          </w:p>
        </w:tc>
        <w:tc>
          <w:tcPr>
            <w:tcW w:w="3118" w:type="dxa"/>
          </w:tcPr>
          <w:p w14:paraId="6B2C9CF1" w14:textId="77777777" w:rsidR="005F4F13" w:rsidRPr="0074655A" w:rsidRDefault="005F4F13">
            <w:pPr>
              <w:rPr>
                <w:sz w:val="19"/>
                <w:szCs w:val="19"/>
              </w:rPr>
            </w:pPr>
            <w:r w:rsidRPr="0074655A">
              <w:rPr>
                <w:sz w:val="19"/>
                <w:szCs w:val="19"/>
              </w:rPr>
              <w:t>A statutory notice which requires you to take action to remedy a contravention for which the Inspector–General is responsible for enforcing</w:t>
            </w:r>
          </w:p>
        </w:tc>
        <w:tc>
          <w:tcPr>
            <w:tcW w:w="4525" w:type="dxa"/>
          </w:tcPr>
          <w:p w14:paraId="298DBFF0" w14:textId="5D2863D1" w:rsidR="005F4F13" w:rsidRPr="0074655A" w:rsidRDefault="005F4F13">
            <w:pPr>
              <w:rPr>
                <w:sz w:val="19"/>
                <w:szCs w:val="19"/>
              </w:rPr>
            </w:pPr>
            <w:r w:rsidRPr="0074655A">
              <w:rPr>
                <w:sz w:val="19"/>
                <w:szCs w:val="19"/>
              </w:rPr>
              <w:t xml:space="preserve">Ensures compliance with the </w:t>
            </w:r>
            <w:r w:rsidR="00C601BE">
              <w:rPr>
                <w:sz w:val="19"/>
                <w:szCs w:val="19"/>
              </w:rPr>
              <w:t>Water</w:t>
            </w:r>
            <w:r w:rsidRPr="0074655A">
              <w:rPr>
                <w:sz w:val="19"/>
                <w:szCs w:val="19"/>
              </w:rPr>
              <w:t xml:space="preserve"> Act without instigating court processes</w:t>
            </w:r>
          </w:p>
        </w:tc>
      </w:tr>
      <w:tr w:rsidR="00ED0B2F" w:rsidRPr="001E37E6" w14:paraId="0753BF94" w14:textId="77777777" w:rsidTr="0074655A">
        <w:tc>
          <w:tcPr>
            <w:tcW w:w="1985" w:type="dxa"/>
          </w:tcPr>
          <w:p w14:paraId="579BC312" w14:textId="08D42E6B" w:rsidR="00ED0B2F" w:rsidRPr="007A7FC4" w:rsidRDefault="00ED0B2F" w:rsidP="00ED0B2F">
            <w:pPr>
              <w:rPr>
                <w:sz w:val="19"/>
                <w:szCs w:val="19"/>
              </w:rPr>
            </w:pPr>
            <w:r w:rsidRPr="007A7FC4">
              <w:rPr>
                <w:sz w:val="19"/>
                <w:szCs w:val="19"/>
              </w:rPr>
              <w:t>Compliance notices (compliance with Part 7A only)</w:t>
            </w:r>
          </w:p>
        </w:tc>
        <w:tc>
          <w:tcPr>
            <w:tcW w:w="3118" w:type="dxa"/>
          </w:tcPr>
          <w:p w14:paraId="0D976328" w14:textId="1A952918" w:rsidR="00ED0B2F" w:rsidRPr="007A7FC4" w:rsidRDefault="00ED0B2F" w:rsidP="00ED0B2F">
            <w:pPr>
              <w:rPr>
                <w:sz w:val="19"/>
                <w:szCs w:val="19"/>
              </w:rPr>
            </w:pPr>
            <w:r w:rsidRPr="007A7FC4">
              <w:rPr>
                <w:sz w:val="19"/>
                <w:szCs w:val="19"/>
              </w:rPr>
              <w:t>A statutory notice requiring you to rectify a contravention of a requirement of the Water Markets Data Standards</w:t>
            </w:r>
            <w:r w:rsidR="00DE6259" w:rsidRPr="003E0027">
              <w:rPr>
                <w:sz w:val="19"/>
                <w:szCs w:val="19"/>
              </w:rPr>
              <w:t>, once made</w:t>
            </w:r>
            <w:r w:rsidRPr="007A7FC4">
              <w:rPr>
                <w:sz w:val="19"/>
                <w:szCs w:val="19"/>
              </w:rPr>
              <w:t>, and comply with that requirement, within the time specified in the notice</w:t>
            </w:r>
          </w:p>
        </w:tc>
        <w:tc>
          <w:tcPr>
            <w:tcW w:w="4525" w:type="dxa"/>
          </w:tcPr>
          <w:p w14:paraId="03C3BDC4" w14:textId="3B67C918" w:rsidR="00ED0B2F" w:rsidRPr="0074655A" w:rsidRDefault="00ED0B2F" w:rsidP="00ED0B2F">
            <w:pPr>
              <w:rPr>
                <w:sz w:val="19"/>
                <w:szCs w:val="19"/>
              </w:rPr>
            </w:pPr>
            <w:r w:rsidRPr="007A7FC4">
              <w:rPr>
                <w:sz w:val="19"/>
                <w:szCs w:val="19"/>
              </w:rPr>
              <w:t>Ensures compliance with the Water Act without instigating court processes</w:t>
            </w:r>
          </w:p>
        </w:tc>
      </w:tr>
      <w:tr w:rsidR="00ED0B2F" w:rsidRPr="001E37E6" w14:paraId="0BA352F1" w14:textId="77777777" w:rsidTr="0074655A">
        <w:tc>
          <w:tcPr>
            <w:tcW w:w="1985" w:type="dxa"/>
          </w:tcPr>
          <w:p w14:paraId="021242BC" w14:textId="5C79A2F3" w:rsidR="00ED0B2F" w:rsidRPr="0074655A" w:rsidRDefault="00ED0B2F" w:rsidP="00ED0B2F">
            <w:pPr>
              <w:rPr>
                <w:sz w:val="19"/>
                <w:szCs w:val="19"/>
              </w:rPr>
            </w:pPr>
            <w:r w:rsidRPr="0074655A">
              <w:rPr>
                <w:sz w:val="19"/>
                <w:szCs w:val="19"/>
              </w:rPr>
              <w:t>Enforceable undertakings (compliance only)</w:t>
            </w:r>
          </w:p>
        </w:tc>
        <w:tc>
          <w:tcPr>
            <w:tcW w:w="3118" w:type="dxa"/>
          </w:tcPr>
          <w:p w14:paraId="1196E9CF" w14:textId="71B2727C" w:rsidR="00ED0B2F" w:rsidRPr="0074655A" w:rsidRDefault="00ED0B2F" w:rsidP="00ED0B2F">
            <w:pPr>
              <w:rPr>
                <w:sz w:val="19"/>
                <w:szCs w:val="19"/>
              </w:rPr>
            </w:pPr>
            <w:r w:rsidRPr="0074655A">
              <w:rPr>
                <w:sz w:val="19"/>
                <w:szCs w:val="19"/>
              </w:rPr>
              <w:t xml:space="preserve">Written undertaking from a person or agency setting out what they will do or not do to comply with the </w:t>
            </w:r>
            <w:r>
              <w:rPr>
                <w:sz w:val="19"/>
                <w:szCs w:val="19"/>
              </w:rPr>
              <w:t xml:space="preserve">Water </w:t>
            </w:r>
            <w:r w:rsidRPr="0074655A">
              <w:rPr>
                <w:sz w:val="19"/>
                <w:szCs w:val="19"/>
              </w:rPr>
              <w:t>Act</w:t>
            </w:r>
          </w:p>
        </w:tc>
        <w:tc>
          <w:tcPr>
            <w:tcW w:w="4525" w:type="dxa"/>
          </w:tcPr>
          <w:p w14:paraId="659476ED" w14:textId="77777777" w:rsidR="00ED0B2F" w:rsidRPr="0074655A" w:rsidRDefault="00ED0B2F" w:rsidP="00ED0B2F">
            <w:pPr>
              <w:rPr>
                <w:sz w:val="19"/>
                <w:szCs w:val="19"/>
              </w:rPr>
            </w:pPr>
            <w:r w:rsidRPr="0074655A">
              <w:rPr>
                <w:sz w:val="19"/>
                <w:szCs w:val="19"/>
              </w:rPr>
              <w:t>Voluntary action to encourage ongoing compliance</w:t>
            </w:r>
          </w:p>
        </w:tc>
      </w:tr>
      <w:tr w:rsidR="00ED0B2F" w:rsidRPr="001E37E6" w14:paraId="0340EE79" w14:textId="77777777" w:rsidTr="0074655A">
        <w:tc>
          <w:tcPr>
            <w:tcW w:w="1985" w:type="dxa"/>
          </w:tcPr>
          <w:p w14:paraId="13B1B029" w14:textId="58981C08" w:rsidR="00ED0B2F" w:rsidRPr="0074655A" w:rsidRDefault="00ED0B2F" w:rsidP="00ED0B2F">
            <w:pPr>
              <w:rPr>
                <w:sz w:val="19"/>
                <w:szCs w:val="19"/>
              </w:rPr>
            </w:pPr>
            <w:r w:rsidRPr="0074655A">
              <w:rPr>
                <w:sz w:val="19"/>
                <w:szCs w:val="19"/>
              </w:rPr>
              <w:t>Public warning notices (compliance only)</w:t>
            </w:r>
          </w:p>
        </w:tc>
        <w:tc>
          <w:tcPr>
            <w:tcW w:w="3118" w:type="dxa"/>
          </w:tcPr>
          <w:p w14:paraId="22BFC8BF" w14:textId="662885F7" w:rsidR="00ED0B2F" w:rsidRPr="0074655A" w:rsidRDefault="00ED0B2F" w:rsidP="00ED0B2F">
            <w:pPr>
              <w:rPr>
                <w:sz w:val="19"/>
                <w:szCs w:val="19"/>
              </w:rPr>
            </w:pPr>
            <w:r w:rsidRPr="0074655A">
              <w:rPr>
                <w:sz w:val="19"/>
                <w:szCs w:val="19"/>
              </w:rPr>
              <w:t xml:space="preserve">Notification that the conduct of a person or agency is or is likely to be a contravention of the </w:t>
            </w:r>
            <w:r>
              <w:rPr>
                <w:sz w:val="19"/>
                <w:szCs w:val="19"/>
              </w:rPr>
              <w:t xml:space="preserve">Water </w:t>
            </w:r>
            <w:r w:rsidRPr="0074655A">
              <w:rPr>
                <w:sz w:val="19"/>
                <w:szCs w:val="19"/>
              </w:rPr>
              <w:t>Act</w:t>
            </w:r>
          </w:p>
        </w:tc>
        <w:tc>
          <w:tcPr>
            <w:tcW w:w="4525" w:type="dxa"/>
          </w:tcPr>
          <w:p w14:paraId="3285158A" w14:textId="68262108" w:rsidR="00ED0B2F" w:rsidRPr="0074655A" w:rsidRDefault="00ED0B2F" w:rsidP="00ED0B2F">
            <w:pPr>
              <w:rPr>
                <w:sz w:val="19"/>
                <w:szCs w:val="19"/>
              </w:rPr>
            </w:pPr>
            <w:r w:rsidRPr="0074655A">
              <w:rPr>
                <w:sz w:val="19"/>
                <w:szCs w:val="19"/>
              </w:rPr>
              <w:t xml:space="preserve">Brings to attention the conduct of a person or agency of a possible or actual contravention of the </w:t>
            </w:r>
            <w:r>
              <w:rPr>
                <w:sz w:val="19"/>
                <w:szCs w:val="19"/>
              </w:rPr>
              <w:t xml:space="preserve">Water </w:t>
            </w:r>
            <w:r w:rsidRPr="0074655A">
              <w:rPr>
                <w:sz w:val="19"/>
                <w:szCs w:val="19"/>
              </w:rPr>
              <w:t>Act</w:t>
            </w:r>
          </w:p>
          <w:p w14:paraId="369813EB" w14:textId="77777777" w:rsidR="00ED0B2F" w:rsidRPr="0074655A" w:rsidRDefault="00ED0B2F" w:rsidP="00ED0B2F">
            <w:pPr>
              <w:rPr>
                <w:sz w:val="19"/>
                <w:szCs w:val="19"/>
              </w:rPr>
            </w:pPr>
            <w:r w:rsidRPr="0074655A">
              <w:rPr>
                <w:sz w:val="19"/>
                <w:szCs w:val="19"/>
              </w:rPr>
              <w:t>Timely intervention prior to unlawful conduct</w:t>
            </w:r>
          </w:p>
        </w:tc>
      </w:tr>
      <w:tr w:rsidR="00ED0B2F" w:rsidRPr="001E37E6" w14:paraId="43C1C71D" w14:textId="77777777" w:rsidTr="0074655A">
        <w:tc>
          <w:tcPr>
            <w:tcW w:w="1985" w:type="dxa"/>
          </w:tcPr>
          <w:p w14:paraId="6D095219" w14:textId="586510BD" w:rsidR="00ED0B2F" w:rsidRPr="0074655A" w:rsidRDefault="00ED0B2F" w:rsidP="003E0027">
            <w:pPr>
              <w:keepLines/>
              <w:rPr>
                <w:sz w:val="19"/>
                <w:szCs w:val="19"/>
              </w:rPr>
            </w:pPr>
            <w:r w:rsidRPr="0074655A">
              <w:rPr>
                <w:sz w:val="19"/>
                <w:szCs w:val="19"/>
              </w:rPr>
              <w:lastRenderedPageBreak/>
              <w:t>Warning letters (compliance only)</w:t>
            </w:r>
          </w:p>
        </w:tc>
        <w:tc>
          <w:tcPr>
            <w:tcW w:w="3118" w:type="dxa"/>
          </w:tcPr>
          <w:p w14:paraId="199F877E" w14:textId="5B9B263C" w:rsidR="00ED0B2F" w:rsidRPr="0074655A" w:rsidRDefault="00ED0B2F" w:rsidP="003E0027">
            <w:pPr>
              <w:keepLines/>
              <w:rPr>
                <w:sz w:val="19"/>
                <w:szCs w:val="19"/>
              </w:rPr>
            </w:pPr>
            <w:r w:rsidRPr="0074655A">
              <w:rPr>
                <w:sz w:val="19"/>
                <w:szCs w:val="19"/>
              </w:rPr>
              <w:t xml:space="preserve">Written guidance on contraventions of the Act and steps required to not be in contravention of the </w:t>
            </w:r>
            <w:r>
              <w:rPr>
                <w:sz w:val="19"/>
                <w:szCs w:val="19"/>
              </w:rPr>
              <w:t xml:space="preserve">Water </w:t>
            </w:r>
            <w:r w:rsidRPr="0074655A">
              <w:rPr>
                <w:sz w:val="19"/>
                <w:szCs w:val="19"/>
              </w:rPr>
              <w:t>Act</w:t>
            </w:r>
          </w:p>
        </w:tc>
        <w:tc>
          <w:tcPr>
            <w:tcW w:w="4525" w:type="dxa"/>
          </w:tcPr>
          <w:p w14:paraId="181DA14D" w14:textId="43F63DB6" w:rsidR="00ED0B2F" w:rsidRPr="0074655A" w:rsidRDefault="00ED0B2F" w:rsidP="003E0027">
            <w:pPr>
              <w:keepLines/>
              <w:rPr>
                <w:sz w:val="19"/>
                <w:szCs w:val="19"/>
              </w:rPr>
            </w:pPr>
            <w:r w:rsidRPr="0074655A">
              <w:rPr>
                <w:sz w:val="19"/>
                <w:szCs w:val="19"/>
              </w:rPr>
              <w:t xml:space="preserve">Educates regulated entities on how to comply with the </w:t>
            </w:r>
            <w:r>
              <w:rPr>
                <w:sz w:val="19"/>
                <w:szCs w:val="19"/>
              </w:rPr>
              <w:t xml:space="preserve">Water </w:t>
            </w:r>
            <w:r w:rsidRPr="0074655A">
              <w:rPr>
                <w:sz w:val="19"/>
                <w:szCs w:val="19"/>
              </w:rPr>
              <w:t>Act</w:t>
            </w:r>
          </w:p>
        </w:tc>
      </w:tr>
    </w:tbl>
    <w:p w14:paraId="36DFBFB1" w14:textId="65C5A0F7" w:rsidR="005F4F13" w:rsidRDefault="0056321D" w:rsidP="005F4F13">
      <w:r>
        <w:br/>
      </w:r>
      <w:r w:rsidR="005F4F13">
        <w:t xml:space="preserve">Where the Inspector–General is not the primary authority with respect to a matter, the matter may be referred to the appropriate agency. See </w:t>
      </w:r>
      <w:r w:rsidR="0015548C" w:rsidRPr="00C5292A">
        <w:rPr>
          <w:rStyle w:val="SubtleReference"/>
          <w:color w:val="3D7A92" w:themeColor="background1" w:themeShade="80"/>
        </w:rPr>
        <w:fldChar w:fldCharType="begin"/>
      </w:r>
      <w:r w:rsidR="0015548C" w:rsidRPr="00C5292A">
        <w:rPr>
          <w:rStyle w:val="SubtleReference"/>
          <w:color w:val="3D7A92" w:themeColor="background1" w:themeShade="80"/>
        </w:rPr>
        <w:instrText xml:space="preserve"> REF _Ref144966945 \h  \* MERGEFORMAT </w:instrText>
      </w:r>
      <w:r w:rsidR="0015548C" w:rsidRPr="00C5292A">
        <w:rPr>
          <w:rStyle w:val="SubtleReference"/>
          <w:color w:val="3D7A92" w:themeColor="background1" w:themeShade="80"/>
        </w:rPr>
      </w:r>
      <w:r w:rsidR="0015548C" w:rsidRPr="00C5292A">
        <w:rPr>
          <w:rStyle w:val="SubtleReference"/>
          <w:color w:val="3D7A92" w:themeColor="background1" w:themeShade="80"/>
        </w:rPr>
        <w:fldChar w:fldCharType="separate"/>
      </w:r>
      <w:r w:rsidR="0015548C" w:rsidRPr="00C5292A">
        <w:rPr>
          <w:rStyle w:val="SubtleReference"/>
          <w:color w:val="3D7A92" w:themeColor="background1" w:themeShade="80"/>
        </w:rPr>
        <w:t>Table 5. Referrals to other authorities</w:t>
      </w:r>
      <w:r w:rsidR="0015548C" w:rsidRPr="00C5292A">
        <w:rPr>
          <w:rStyle w:val="SubtleReference"/>
          <w:color w:val="3D7A92" w:themeColor="background1" w:themeShade="80"/>
        </w:rPr>
        <w:fldChar w:fldCharType="end"/>
      </w:r>
      <w:r w:rsidR="0015548C">
        <w:t xml:space="preserve"> </w:t>
      </w:r>
      <w:r w:rsidR="005F4F13">
        <w:t>for details. These referrals may relate to matters of compliance or performance.</w:t>
      </w:r>
    </w:p>
    <w:p w14:paraId="40C9AA44" w14:textId="1DFECAAD" w:rsidR="005F4F13" w:rsidRDefault="005F4F13" w:rsidP="005F4F13">
      <w:pPr>
        <w:pStyle w:val="TableHeading"/>
        <w:keepNext/>
      </w:pPr>
      <w:bookmarkStart w:id="59" w:name="_Ref144966945"/>
      <w:r>
        <w:t xml:space="preserve">Table </w:t>
      </w:r>
      <w:r>
        <w:fldChar w:fldCharType="begin"/>
      </w:r>
      <w:r>
        <w:instrText>SEQ Table \* ARABIC</w:instrText>
      </w:r>
      <w:r>
        <w:fldChar w:fldCharType="separate"/>
      </w:r>
      <w:r w:rsidR="0030522E">
        <w:rPr>
          <w:noProof/>
        </w:rPr>
        <w:t>5</w:t>
      </w:r>
      <w:r>
        <w:fldChar w:fldCharType="end"/>
      </w:r>
      <w:r>
        <w:t>. Referrals to other authorities</w:t>
      </w:r>
      <w:bookmarkEnd w:id="59"/>
    </w:p>
    <w:tbl>
      <w:tblPr>
        <w:tblStyle w:val="TableGridLight"/>
        <w:tblW w:w="0" w:type="auto"/>
        <w:tblLook w:val="04A0" w:firstRow="1" w:lastRow="0" w:firstColumn="1" w:lastColumn="0" w:noHBand="0" w:noVBand="1"/>
      </w:tblPr>
      <w:tblGrid>
        <w:gridCol w:w="1985"/>
        <w:gridCol w:w="3118"/>
        <w:gridCol w:w="4525"/>
      </w:tblGrid>
      <w:tr w:rsidR="005F4F13" w:rsidRPr="001E37E6" w14:paraId="7078CC94" w14:textId="77777777" w:rsidTr="0074655A">
        <w:trPr>
          <w:cnfStyle w:val="100000000000" w:firstRow="1" w:lastRow="0" w:firstColumn="0" w:lastColumn="0" w:oddVBand="0" w:evenVBand="0" w:oddHBand="0" w:evenHBand="0" w:firstRowFirstColumn="0" w:firstRowLastColumn="0" w:lastRowFirstColumn="0" w:lastRowLastColumn="0"/>
          <w:tblHeader/>
        </w:trPr>
        <w:tc>
          <w:tcPr>
            <w:tcW w:w="1985" w:type="dxa"/>
          </w:tcPr>
          <w:p w14:paraId="1395B8B0" w14:textId="77777777" w:rsidR="005F4F13" w:rsidRPr="001E37E6" w:rsidRDefault="005F4F13">
            <w:pPr>
              <w:pStyle w:val="TableHeader"/>
            </w:pPr>
            <w:r w:rsidRPr="001E37E6">
              <w:t>Type</w:t>
            </w:r>
          </w:p>
        </w:tc>
        <w:tc>
          <w:tcPr>
            <w:tcW w:w="3118" w:type="dxa"/>
          </w:tcPr>
          <w:p w14:paraId="71DB0470" w14:textId="77777777" w:rsidR="005F4F13" w:rsidRPr="001E37E6" w:rsidRDefault="005F4F13">
            <w:pPr>
              <w:pStyle w:val="TableHeader"/>
            </w:pPr>
            <w:r w:rsidRPr="001E37E6">
              <w:t>Description</w:t>
            </w:r>
          </w:p>
        </w:tc>
        <w:tc>
          <w:tcPr>
            <w:tcW w:w="4525" w:type="dxa"/>
          </w:tcPr>
          <w:p w14:paraId="7A4627FB" w14:textId="77777777" w:rsidR="005F4F13" w:rsidRPr="001E37E6" w:rsidRDefault="005F4F13">
            <w:pPr>
              <w:pStyle w:val="TableHeader"/>
            </w:pPr>
            <w:r w:rsidRPr="001E37E6">
              <w:t>Benefits</w:t>
            </w:r>
          </w:p>
        </w:tc>
      </w:tr>
      <w:tr w:rsidR="005F4F13" w:rsidRPr="001F1253" w14:paraId="76319347" w14:textId="77777777" w:rsidTr="0074655A">
        <w:tc>
          <w:tcPr>
            <w:tcW w:w="1985" w:type="dxa"/>
          </w:tcPr>
          <w:p w14:paraId="654D4878" w14:textId="4E67AE5D" w:rsidR="005F4F13" w:rsidRPr="0074655A" w:rsidRDefault="005F4F13">
            <w:pPr>
              <w:rPr>
                <w:sz w:val="19"/>
                <w:szCs w:val="19"/>
              </w:rPr>
            </w:pPr>
            <w:r w:rsidRPr="0074655A">
              <w:rPr>
                <w:sz w:val="19"/>
                <w:szCs w:val="19"/>
              </w:rPr>
              <w:t>Referral</w:t>
            </w:r>
            <w:r w:rsidR="00452259" w:rsidRPr="0074655A">
              <w:rPr>
                <w:sz w:val="19"/>
                <w:szCs w:val="19"/>
              </w:rPr>
              <w:t>s</w:t>
            </w:r>
            <w:r w:rsidRPr="0074655A">
              <w:rPr>
                <w:sz w:val="19"/>
                <w:szCs w:val="19"/>
              </w:rPr>
              <w:t xml:space="preserve"> to police</w:t>
            </w:r>
          </w:p>
        </w:tc>
        <w:tc>
          <w:tcPr>
            <w:tcW w:w="3118" w:type="dxa"/>
          </w:tcPr>
          <w:p w14:paraId="60E2036D" w14:textId="77777777" w:rsidR="005F4F13" w:rsidRPr="0074655A" w:rsidRDefault="005F4F13">
            <w:pPr>
              <w:rPr>
                <w:sz w:val="19"/>
                <w:szCs w:val="19"/>
              </w:rPr>
            </w:pPr>
            <w:r w:rsidRPr="0074655A">
              <w:rPr>
                <w:sz w:val="19"/>
                <w:szCs w:val="19"/>
              </w:rPr>
              <w:t>Referral of a person who has allegedly committed a crime</w:t>
            </w:r>
          </w:p>
        </w:tc>
        <w:tc>
          <w:tcPr>
            <w:tcW w:w="4525" w:type="dxa"/>
          </w:tcPr>
          <w:p w14:paraId="59AA52A6" w14:textId="77777777" w:rsidR="005F4F13" w:rsidRPr="0074655A" w:rsidRDefault="005F4F13">
            <w:pPr>
              <w:rPr>
                <w:sz w:val="19"/>
                <w:szCs w:val="19"/>
              </w:rPr>
            </w:pPr>
            <w:r w:rsidRPr="0074655A">
              <w:rPr>
                <w:sz w:val="19"/>
                <w:szCs w:val="19"/>
              </w:rPr>
              <w:t>Person is subject to criminal sanctions that are proportionate to the offence committed</w:t>
            </w:r>
          </w:p>
        </w:tc>
      </w:tr>
      <w:tr w:rsidR="005F4F13" w:rsidRPr="001F1253" w14:paraId="54F60471" w14:textId="77777777" w:rsidTr="0074655A">
        <w:tc>
          <w:tcPr>
            <w:tcW w:w="1985" w:type="dxa"/>
          </w:tcPr>
          <w:p w14:paraId="66EBF6FD" w14:textId="77777777" w:rsidR="005F4F13" w:rsidRPr="0074655A" w:rsidRDefault="005F4F13">
            <w:pPr>
              <w:rPr>
                <w:sz w:val="19"/>
                <w:szCs w:val="19"/>
              </w:rPr>
            </w:pPr>
            <w:r w:rsidRPr="0074655A">
              <w:rPr>
                <w:sz w:val="19"/>
                <w:szCs w:val="19"/>
              </w:rPr>
              <w:t>Referrals to another authority</w:t>
            </w:r>
          </w:p>
        </w:tc>
        <w:tc>
          <w:tcPr>
            <w:tcW w:w="3118" w:type="dxa"/>
          </w:tcPr>
          <w:p w14:paraId="056F2CD8" w14:textId="77777777" w:rsidR="005F4F13" w:rsidRPr="0074655A" w:rsidRDefault="005F4F13">
            <w:pPr>
              <w:rPr>
                <w:sz w:val="19"/>
                <w:szCs w:val="19"/>
              </w:rPr>
            </w:pPr>
            <w:r w:rsidRPr="0074655A">
              <w:rPr>
                <w:sz w:val="19"/>
                <w:szCs w:val="19"/>
              </w:rPr>
              <w:t>Referral to relevant regulator or integrity authority (e.g., anti–corruption commissions)</w:t>
            </w:r>
          </w:p>
        </w:tc>
        <w:tc>
          <w:tcPr>
            <w:tcW w:w="4525" w:type="dxa"/>
          </w:tcPr>
          <w:p w14:paraId="15180149" w14:textId="77777777" w:rsidR="005F4F13" w:rsidRPr="0074655A" w:rsidRDefault="005F4F13">
            <w:pPr>
              <w:rPr>
                <w:sz w:val="19"/>
                <w:szCs w:val="19"/>
              </w:rPr>
            </w:pPr>
            <w:r w:rsidRPr="0074655A">
              <w:rPr>
                <w:sz w:val="19"/>
                <w:szCs w:val="19"/>
              </w:rPr>
              <w:t xml:space="preserve">Refers matters to those empowered to </w:t>
            </w:r>
            <w:proofErr w:type="gramStart"/>
            <w:r w:rsidRPr="0074655A">
              <w:rPr>
                <w:sz w:val="19"/>
                <w:szCs w:val="19"/>
              </w:rPr>
              <w:t>take action</w:t>
            </w:r>
            <w:proofErr w:type="gramEnd"/>
          </w:p>
        </w:tc>
      </w:tr>
      <w:tr w:rsidR="005F4F13" w:rsidRPr="001F1253" w14:paraId="2FDB4ABA" w14:textId="77777777" w:rsidTr="0074655A">
        <w:tc>
          <w:tcPr>
            <w:tcW w:w="1985" w:type="dxa"/>
          </w:tcPr>
          <w:p w14:paraId="7D15425B" w14:textId="77777777" w:rsidR="005F4F13" w:rsidRPr="0074655A" w:rsidRDefault="005F4F13">
            <w:pPr>
              <w:rPr>
                <w:sz w:val="19"/>
                <w:szCs w:val="19"/>
              </w:rPr>
            </w:pPr>
            <w:r w:rsidRPr="0074655A">
              <w:rPr>
                <w:sz w:val="19"/>
                <w:szCs w:val="19"/>
              </w:rPr>
              <w:t>Advise relevant oversight body</w:t>
            </w:r>
          </w:p>
        </w:tc>
        <w:tc>
          <w:tcPr>
            <w:tcW w:w="3118" w:type="dxa"/>
          </w:tcPr>
          <w:p w14:paraId="339F9F0F" w14:textId="77777777" w:rsidR="005F4F13" w:rsidRPr="0074655A" w:rsidRDefault="005F4F13">
            <w:pPr>
              <w:rPr>
                <w:sz w:val="19"/>
                <w:szCs w:val="19"/>
              </w:rPr>
            </w:pPr>
            <w:r w:rsidRPr="0074655A">
              <w:rPr>
                <w:sz w:val="19"/>
                <w:szCs w:val="19"/>
              </w:rPr>
              <w:t>Referral to relevant agency (e.g., Minister, Committee, Parliament, etc.)</w:t>
            </w:r>
          </w:p>
        </w:tc>
        <w:tc>
          <w:tcPr>
            <w:tcW w:w="4525" w:type="dxa"/>
          </w:tcPr>
          <w:p w14:paraId="0DA5E1FC" w14:textId="77777777" w:rsidR="005F4F13" w:rsidRPr="0074655A" w:rsidRDefault="005F4F13">
            <w:pPr>
              <w:rPr>
                <w:sz w:val="19"/>
                <w:szCs w:val="19"/>
              </w:rPr>
            </w:pPr>
            <w:r w:rsidRPr="0074655A">
              <w:rPr>
                <w:sz w:val="19"/>
                <w:szCs w:val="19"/>
              </w:rPr>
              <w:t>Refers matters to those to whom the person or agency is accountable, where relevant or appropriate</w:t>
            </w:r>
          </w:p>
        </w:tc>
      </w:tr>
    </w:tbl>
    <w:p w14:paraId="4012AC27" w14:textId="77777777" w:rsidR="006B47A7" w:rsidRPr="001E37E6" w:rsidRDefault="006B47A7" w:rsidP="00FE54C5"/>
    <w:p w14:paraId="0B43091F" w14:textId="77777777" w:rsidR="00C45428" w:rsidRDefault="00C45428" w:rsidP="00550E2D">
      <w:pPr>
        <w:pStyle w:val="Heading2"/>
      </w:pPr>
      <w:bookmarkStart w:id="60" w:name="_Ref127352575"/>
      <w:bookmarkStart w:id="61" w:name="_Toc128484155"/>
      <w:bookmarkStart w:id="62" w:name="_Toc137125818"/>
      <w:bookmarkStart w:id="63" w:name="_Toc139551385"/>
      <w:bookmarkStart w:id="64" w:name="_Toc161834747"/>
      <w:r>
        <w:t>Guidelines and standards</w:t>
      </w:r>
      <w:bookmarkEnd w:id="60"/>
      <w:bookmarkEnd w:id="61"/>
      <w:bookmarkEnd w:id="62"/>
      <w:bookmarkEnd w:id="63"/>
      <w:bookmarkEnd w:id="64"/>
    </w:p>
    <w:p w14:paraId="25C196EC" w14:textId="0D1D2CD0" w:rsidR="00C45428" w:rsidRDefault="00C45428" w:rsidP="00C45428">
      <w:r>
        <w:t xml:space="preserve">Guidelines and standards may be issued by the Inspector–General under the </w:t>
      </w:r>
      <w:r w:rsidR="00905FE8">
        <w:t xml:space="preserve">Water </w:t>
      </w:r>
      <w:r>
        <w:t xml:space="preserve">Act and are tools that may be used by the Inspector–General to </w:t>
      </w:r>
      <w:r w:rsidR="00FA10C3">
        <w:t xml:space="preserve">drive </w:t>
      </w:r>
      <w:r w:rsidRPr="0020080B">
        <w:rPr>
          <w:rStyle w:val="IntenseEmphasis"/>
        </w:rPr>
        <w:t>improvements</w:t>
      </w:r>
      <w:r>
        <w:t xml:space="preserve"> in the management of Basin water resources. Guidelines and standards are regulatory tools that are used by the Inspector–General </w:t>
      </w:r>
      <w:r w:rsidR="000E481C">
        <w:t>regarding</w:t>
      </w:r>
      <w:r w:rsidR="000E481C" w:rsidRPr="00E65CD3">
        <w:t xml:space="preserve"> </w:t>
      </w:r>
      <w:r>
        <w:t xml:space="preserve">actions that may be taken by relevant government agencies to better achieve the intended operation of the </w:t>
      </w:r>
      <w:r w:rsidR="00905FE8">
        <w:t xml:space="preserve">Water </w:t>
      </w:r>
      <w:r>
        <w:t xml:space="preserve">Act, rather than relating to compliance with the </w:t>
      </w:r>
      <w:r w:rsidR="00905FE8">
        <w:t xml:space="preserve">Water </w:t>
      </w:r>
      <w:r>
        <w:t xml:space="preserve">Act directly. However, a failure of relevant government agencies to have regard to relevant guidelines and standards in performing their obligations under the </w:t>
      </w:r>
      <w:r w:rsidR="00905FE8">
        <w:t xml:space="preserve">Water </w:t>
      </w:r>
      <w:r>
        <w:t xml:space="preserve">Act, may be a contravention of the </w:t>
      </w:r>
      <w:r w:rsidR="00905FE8">
        <w:t xml:space="preserve">Water </w:t>
      </w:r>
      <w:r>
        <w:t>Act and, therefore, subject to compliance tools</w:t>
      </w:r>
      <w:r w:rsidR="00905FE8">
        <w:t xml:space="preserve"> (see below)</w:t>
      </w:r>
      <w:r>
        <w:t>.</w:t>
      </w:r>
    </w:p>
    <w:p w14:paraId="0EC7991B" w14:textId="28AA9B43" w:rsidR="00C45428" w:rsidRDefault="00C45428" w:rsidP="00C45428">
      <w:pPr>
        <w:pStyle w:val="TableHeading"/>
      </w:pPr>
      <w:r>
        <w:t xml:space="preserve">Table </w:t>
      </w:r>
      <w:r>
        <w:fldChar w:fldCharType="begin"/>
      </w:r>
      <w:r>
        <w:instrText>SEQ Table \* ARABIC</w:instrText>
      </w:r>
      <w:r>
        <w:fldChar w:fldCharType="separate"/>
      </w:r>
      <w:r w:rsidR="0030522E">
        <w:rPr>
          <w:noProof/>
        </w:rPr>
        <w:t>6</w:t>
      </w:r>
      <w:r>
        <w:fldChar w:fldCharType="end"/>
      </w:r>
      <w:r>
        <w:t>. Guidelines and standards</w:t>
      </w:r>
    </w:p>
    <w:tbl>
      <w:tblPr>
        <w:tblStyle w:val="TableGridLight"/>
        <w:tblW w:w="0" w:type="auto"/>
        <w:tblLook w:val="04A0" w:firstRow="1" w:lastRow="0" w:firstColumn="1" w:lastColumn="0" w:noHBand="0" w:noVBand="1"/>
      </w:tblPr>
      <w:tblGrid>
        <w:gridCol w:w="1985"/>
        <w:gridCol w:w="3118"/>
        <w:gridCol w:w="4525"/>
      </w:tblGrid>
      <w:tr w:rsidR="00C45428" w:rsidRPr="001E37E6" w14:paraId="788E007D" w14:textId="77777777" w:rsidTr="00F9014F">
        <w:trPr>
          <w:cnfStyle w:val="100000000000" w:firstRow="1" w:lastRow="0" w:firstColumn="0" w:lastColumn="0" w:oddVBand="0" w:evenVBand="0" w:oddHBand="0" w:evenHBand="0" w:firstRowFirstColumn="0" w:firstRowLastColumn="0" w:lastRowFirstColumn="0" w:lastRowLastColumn="0"/>
          <w:tblHeader/>
        </w:trPr>
        <w:tc>
          <w:tcPr>
            <w:tcW w:w="1985" w:type="dxa"/>
          </w:tcPr>
          <w:p w14:paraId="1A494B38" w14:textId="77777777" w:rsidR="00C45428" w:rsidRPr="001E37E6" w:rsidRDefault="00C45428">
            <w:pPr>
              <w:pStyle w:val="TableHeader"/>
            </w:pPr>
            <w:r w:rsidRPr="001E37E6">
              <w:t>Type</w:t>
            </w:r>
          </w:p>
        </w:tc>
        <w:tc>
          <w:tcPr>
            <w:tcW w:w="3118" w:type="dxa"/>
          </w:tcPr>
          <w:p w14:paraId="08D775D8" w14:textId="77777777" w:rsidR="00C45428" w:rsidRPr="001E37E6" w:rsidRDefault="00C45428">
            <w:pPr>
              <w:pStyle w:val="TableHeader"/>
            </w:pPr>
            <w:r w:rsidRPr="001E37E6">
              <w:t>Description</w:t>
            </w:r>
          </w:p>
        </w:tc>
        <w:tc>
          <w:tcPr>
            <w:tcW w:w="4525" w:type="dxa"/>
          </w:tcPr>
          <w:p w14:paraId="4CD0926B" w14:textId="77777777" w:rsidR="00C45428" w:rsidRPr="001E37E6" w:rsidRDefault="00C45428">
            <w:pPr>
              <w:pStyle w:val="TableHeader"/>
            </w:pPr>
            <w:r w:rsidRPr="001E37E6">
              <w:t>Benefits</w:t>
            </w:r>
          </w:p>
        </w:tc>
      </w:tr>
      <w:tr w:rsidR="00C45428" w:rsidRPr="00083D54" w14:paraId="5A9D9659" w14:textId="77777777" w:rsidTr="00F9014F">
        <w:tc>
          <w:tcPr>
            <w:tcW w:w="1985" w:type="dxa"/>
          </w:tcPr>
          <w:p w14:paraId="7AB5B1A5" w14:textId="77777777" w:rsidR="00C45428" w:rsidRPr="00F9014F" w:rsidRDefault="00C45428">
            <w:pPr>
              <w:rPr>
                <w:sz w:val="19"/>
                <w:szCs w:val="19"/>
              </w:rPr>
            </w:pPr>
            <w:r w:rsidRPr="00F9014F">
              <w:rPr>
                <w:sz w:val="19"/>
                <w:szCs w:val="19"/>
              </w:rPr>
              <w:t>Guidelines</w:t>
            </w:r>
          </w:p>
        </w:tc>
        <w:tc>
          <w:tcPr>
            <w:tcW w:w="3118" w:type="dxa"/>
          </w:tcPr>
          <w:p w14:paraId="276CF90F" w14:textId="05ECEBD0" w:rsidR="00C45428" w:rsidRPr="00F9014F" w:rsidRDefault="00C45428">
            <w:pPr>
              <w:rPr>
                <w:sz w:val="19"/>
                <w:szCs w:val="19"/>
              </w:rPr>
            </w:pPr>
            <w:r w:rsidRPr="00F9014F">
              <w:rPr>
                <w:sz w:val="19"/>
                <w:szCs w:val="19"/>
              </w:rPr>
              <w:t xml:space="preserve">Administrative documents relevant Commonwealth and Basin State agencies must consider in performing their obligations under the </w:t>
            </w:r>
            <w:r w:rsidR="00C601BE">
              <w:rPr>
                <w:sz w:val="19"/>
                <w:szCs w:val="19"/>
              </w:rPr>
              <w:t xml:space="preserve">Water </w:t>
            </w:r>
            <w:r w:rsidRPr="00F9014F">
              <w:rPr>
                <w:sz w:val="19"/>
                <w:szCs w:val="19"/>
              </w:rPr>
              <w:t>Act</w:t>
            </w:r>
          </w:p>
        </w:tc>
        <w:tc>
          <w:tcPr>
            <w:tcW w:w="4525" w:type="dxa"/>
          </w:tcPr>
          <w:p w14:paraId="1A9B8081" w14:textId="297426E1" w:rsidR="00C45428" w:rsidRPr="00F9014F" w:rsidRDefault="00C45428">
            <w:pPr>
              <w:rPr>
                <w:sz w:val="19"/>
                <w:szCs w:val="19"/>
              </w:rPr>
            </w:pPr>
            <w:r w:rsidRPr="00F9014F">
              <w:rPr>
                <w:sz w:val="19"/>
                <w:szCs w:val="19"/>
              </w:rPr>
              <w:t xml:space="preserve">Addresses impediments to achieving the objectives of the </w:t>
            </w:r>
            <w:r w:rsidR="00C601BE">
              <w:rPr>
                <w:sz w:val="19"/>
                <w:szCs w:val="19"/>
              </w:rPr>
              <w:t xml:space="preserve">Water </w:t>
            </w:r>
            <w:r w:rsidRPr="00F9014F">
              <w:rPr>
                <w:sz w:val="19"/>
                <w:szCs w:val="19"/>
              </w:rPr>
              <w:t xml:space="preserve">Act and/ or </w:t>
            </w:r>
            <w:r w:rsidR="00C601BE">
              <w:rPr>
                <w:sz w:val="19"/>
                <w:szCs w:val="19"/>
              </w:rPr>
              <w:t xml:space="preserve">Basin </w:t>
            </w:r>
            <w:r w:rsidRPr="00F9014F">
              <w:rPr>
                <w:sz w:val="19"/>
                <w:szCs w:val="19"/>
              </w:rPr>
              <w:t xml:space="preserve">Plan, where government agencies are </w:t>
            </w:r>
            <w:proofErr w:type="gramStart"/>
            <w:r w:rsidRPr="00F9014F">
              <w:rPr>
                <w:sz w:val="19"/>
                <w:szCs w:val="19"/>
              </w:rPr>
              <w:t>best–placed</w:t>
            </w:r>
            <w:proofErr w:type="gramEnd"/>
            <w:r w:rsidRPr="00F9014F">
              <w:rPr>
                <w:sz w:val="19"/>
                <w:szCs w:val="19"/>
              </w:rPr>
              <w:t xml:space="preserve"> to act</w:t>
            </w:r>
          </w:p>
        </w:tc>
      </w:tr>
      <w:tr w:rsidR="00C45428" w:rsidRPr="00083D54" w14:paraId="32A8F0BA" w14:textId="77777777" w:rsidTr="00F9014F">
        <w:tc>
          <w:tcPr>
            <w:tcW w:w="1985" w:type="dxa"/>
          </w:tcPr>
          <w:p w14:paraId="6A9DCB17" w14:textId="77777777" w:rsidR="00C45428" w:rsidRPr="00F9014F" w:rsidRDefault="00C45428">
            <w:pPr>
              <w:rPr>
                <w:sz w:val="19"/>
                <w:szCs w:val="19"/>
              </w:rPr>
            </w:pPr>
            <w:r w:rsidRPr="00F9014F">
              <w:rPr>
                <w:sz w:val="19"/>
                <w:szCs w:val="19"/>
              </w:rPr>
              <w:t>Standards</w:t>
            </w:r>
          </w:p>
        </w:tc>
        <w:tc>
          <w:tcPr>
            <w:tcW w:w="3118" w:type="dxa"/>
          </w:tcPr>
          <w:p w14:paraId="42852DBD" w14:textId="17E77BB3" w:rsidR="00C45428" w:rsidRPr="00F9014F" w:rsidRDefault="00C45428">
            <w:pPr>
              <w:rPr>
                <w:sz w:val="19"/>
                <w:szCs w:val="19"/>
              </w:rPr>
            </w:pPr>
            <w:r w:rsidRPr="00F9014F">
              <w:rPr>
                <w:sz w:val="19"/>
                <w:szCs w:val="19"/>
              </w:rPr>
              <w:t>Legislative instruments relating to the measurement of Basin water resource</w:t>
            </w:r>
            <w:r w:rsidR="00B174C8">
              <w:rPr>
                <w:sz w:val="19"/>
                <w:szCs w:val="19"/>
              </w:rPr>
              <w:t>s</w:t>
            </w:r>
            <w:r w:rsidRPr="00F9014F">
              <w:rPr>
                <w:sz w:val="19"/>
                <w:szCs w:val="19"/>
              </w:rPr>
              <w:t xml:space="preserve"> relevant </w:t>
            </w:r>
            <w:r w:rsidR="00B174C8">
              <w:rPr>
                <w:sz w:val="19"/>
                <w:szCs w:val="19"/>
              </w:rPr>
              <w:t xml:space="preserve">government </w:t>
            </w:r>
            <w:r w:rsidRPr="00F9014F">
              <w:rPr>
                <w:sz w:val="19"/>
                <w:szCs w:val="19"/>
              </w:rPr>
              <w:t xml:space="preserve">agencies must consider in performing their obligations under the </w:t>
            </w:r>
            <w:r w:rsidR="00C601BE">
              <w:rPr>
                <w:sz w:val="19"/>
                <w:szCs w:val="19"/>
              </w:rPr>
              <w:t xml:space="preserve">Water </w:t>
            </w:r>
            <w:r w:rsidRPr="00F9014F">
              <w:rPr>
                <w:sz w:val="19"/>
                <w:szCs w:val="19"/>
              </w:rPr>
              <w:t>Act</w:t>
            </w:r>
          </w:p>
        </w:tc>
        <w:tc>
          <w:tcPr>
            <w:tcW w:w="4525" w:type="dxa"/>
          </w:tcPr>
          <w:p w14:paraId="0A387338" w14:textId="5889D8D1" w:rsidR="00C45428" w:rsidRPr="00F9014F" w:rsidRDefault="00C45428">
            <w:pPr>
              <w:rPr>
                <w:sz w:val="19"/>
                <w:szCs w:val="19"/>
              </w:rPr>
            </w:pPr>
            <w:r w:rsidRPr="00F9014F">
              <w:rPr>
                <w:sz w:val="19"/>
                <w:szCs w:val="19"/>
              </w:rPr>
              <w:t xml:space="preserve">Sets minimum requirements where there are deficiencies in measurement or market information that are or may compromise delivering the objectives of the </w:t>
            </w:r>
            <w:r w:rsidR="00C601BE">
              <w:rPr>
                <w:sz w:val="19"/>
                <w:szCs w:val="19"/>
              </w:rPr>
              <w:t xml:space="preserve">Water </w:t>
            </w:r>
            <w:r w:rsidRPr="00F9014F">
              <w:rPr>
                <w:sz w:val="19"/>
                <w:szCs w:val="19"/>
              </w:rPr>
              <w:t xml:space="preserve">Act and/ or </w:t>
            </w:r>
            <w:r w:rsidR="00C601BE">
              <w:rPr>
                <w:sz w:val="19"/>
                <w:szCs w:val="19"/>
              </w:rPr>
              <w:t>Basin</w:t>
            </w:r>
            <w:r w:rsidRPr="00F9014F">
              <w:rPr>
                <w:sz w:val="19"/>
                <w:szCs w:val="19"/>
              </w:rPr>
              <w:t xml:space="preserve"> Plan</w:t>
            </w:r>
          </w:p>
        </w:tc>
      </w:tr>
    </w:tbl>
    <w:p w14:paraId="155765A1" w14:textId="3C50F8B9" w:rsidR="00C45428" w:rsidRDefault="00C45428" w:rsidP="00C45428">
      <w:r>
        <w:lastRenderedPageBreak/>
        <w:t>Guidelines and standards are regulatory interventions affecting the application of the legislative frameworks relevant government agencies administer, apply or comply with (as appropriate). As such,</w:t>
      </w:r>
      <w:r w:rsidRPr="00E65CD3">
        <w:t xml:space="preserve"> </w:t>
      </w:r>
      <w:r w:rsidR="00662078">
        <w:t>and</w:t>
      </w:r>
      <w:r>
        <w:t xml:space="preserve"> in line with expectations of other national standard setting bodies, the Inspector–General’s decision to issue guidelines and standards is informed by</w:t>
      </w:r>
      <w:r w:rsidR="0009153E">
        <w:t xml:space="preserve"> a</w:t>
      </w:r>
      <w:r>
        <w:t xml:space="preserve"> regulatory impact analysis</w:t>
      </w:r>
      <w:r w:rsidR="0009153E">
        <w:t xml:space="preserve"> proportionate to the </w:t>
      </w:r>
      <w:r w:rsidR="0073160B">
        <w:t>potential implications of the intervention</w:t>
      </w:r>
      <w:r>
        <w:t>.</w:t>
      </w:r>
      <w:r>
        <w:rPr>
          <w:rStyle w:val="EndnoteReference"/>
        </w:rPr>
        <w:endnoteReference w:id="6"/>
      </w:r>
      <w:r>
        <w:t xml:space="preserve"> </w:t>
      </w:r>
    </w:p>
    <w:p w14:paraId="42D9D66E" w14:textId="7F2B793F" w:rsidR="006B101E" w:rsidRDefault="006B101E" w:rsidP="006E78CB">
      <w:pPr>
        <w:pStyle w:val="Heading2"/>
      </w:pPr>
      <w:bookmarkStart w:id="65" w:name="_Toc137125819"/>
      <w:bookmarkStart w:id="66" w:name="_Toc139551386"/>
      <w:bookmarkStart w:id="67" w:name="_Ref145487394"/>
      <w:bookmarkStart w:id="68" w:name="_Toc161834748"/>
      <w:r>
        <w:t xml:space="preserve">Compliance </w:t>
      </w:r>
      <w:r w:rsidR="008279E8">
        <w:t>approach</w:t>
      </w:r>
      <w:bookmarkEnd w:id="65"/>
      <w:bookmarkEnd w:id="66"/>
      <w:bookmarkEnd w:id="67"/>
      <w:bookmarkEnd w:id="68"/>
    </w:p>
    <w:p w14:paraId="7DC7B2D0" w14:textId="07FB7583" w:rsidR="00C40835" w:rsidRDefault="00C40835" w:rsidP="00C40835">
      <w:r>
        <w:t>The following sets out the Inspector–General’s responsive approach and the regulatory tools available to the Inspector–General in performing their compliance and enforcement functions.</w:t>
      </w:r>
    </w:p>
    <w:p w14:paraId="46DB6B56" w14:textId="2BCE144F" w:rsidR="00D43197" w:rsidRDefault="00D43197" w:rsidP="00D43197">
      <w:r>
        <w:t>The Inspector–General in deciding whether to use compliance tools</w:t>
      </w:r>
      <w:r w:rsidR="00EF7D43">
        <w:t xml:space="preserve"> and, if so, which one, has regard to the following</w:t>
      </w:r>
      <w:r>
        <w:t xml:space="preserve">: </w:t>
      </w:r>
    </w:p>
    <w:p w14:paraId="6AB18B38" w14:textId="77777777" w:rsidR="00D43197" w:rsidRDefault="00D43197" w:rsidP="00D43197">
      <w:pPr>
        <w:pStyle w:val="ListBullet"/>
      </w:pPr>
      <w:r>
        <w:t>Whether the matter is within the Inspector–General’s jurisdiction or whether it should be referred to another agency</w:t>
      </w:r>
    </w:p>
    <w:p w14:paraId="3836E066" w14:textId="77777777" w:rsidR="00D43197" w:rsidRDefault="00D43197" w:rsidP="00D43197">
      <w:pPr>
        <w:pStyle w:val="ListBullet"/>
      </w:pPr>
      <w:r>
        <w:t>Whether it relates to one of the Inspector–General’s targeted priorities</w:t>
      </w:r>
    </w:p>
    <w:p w14:paraId="2C4B88F7" w14:textId="77777777" w:rsidR="00D43197" w:rsidRDefault="00D43197" w:rsidP="00D43197">
      <w:pPr>
        <w:pStyle w:val="ListBullet"/>
      </w:pPr>
      <w:r>
        <w:t>Whether there are other activities or processes, conducted by the Inspector–General or other agencies, that could be leveraged off or that duplicate the activity</w:t>
      </w:r>
    </w:p>
    <w:p w14:paraId="68D23263" w14:textId="77777777" w:rsidR="00D43197" w:rsidRDefault="00D43197" w:rsidP="00D43197">
      <w:pPr>
        <w:pStyle w:val="ListBullet"/>
      </w:pPr>
      <w:r>
        <w:t>The prospects of successful intervention on the matter</w:t>
      </w:r>
    </w:p>
    <w:p w14:paraId="62E3E4D1" w14:textId="77777777" w:rsidR="00D43197" w:rsidRDefault="00D43197" w:rsidP="00D43197">
      <w:pPr>
        <w:pStyle w:val="ListBullet"/>
      </w:pPr>
      <w:r>
        <w:t>The most appropriate pathway of escalations for dealing with the specific matter</w:t>
      </w:r>
    </w:p>
    <w:p w14:paraId="7B4E4DFC" w14:textId="7B5886E9" w:rsidR="005E4712" w:rsidRDefault="005E4712" w:rsidP="00D43197">
      <w:pPr>
        <w:pStyle w:val="ListBullet"/>
      </w:pPr>
      <w:r>
        <w:t>The attitude of the regulated entity to compliance</w:t>
      </w:r>
    </w:p>
    <w:p w14:paraId="5BCE127F" w14:textId="77777777" w:rsidR="00D43197" w:rsidRDefault="00D43197" w:rsidP="00D43197">
      <w:pPr>
        <w:pStyle w:val="ListBullet"/>
      </w:pPr>
      <w:r>
        <w:t xml:space="preserve">The capacity of the Inspector–General to undertake the action </w:t>
      </w:r>
      <w:proofErr w:type="gramStart"/>
      <w:r>
        <w:t>in light of</w:t>
      </w:r>
      <w:proofErr w:type="gramEnd"/>
      <w:r>
        <w:t xml:space="preserve"> their resourcing and other priorities.</w:t>
      </w:r>
    </w:p>
    <w:p w14:paraId="024FD578" w14:textId="5E1F2553" w:rsidR="003D7F67" w:rsidRDefault="00D43197" w:rsidP="00C40835">
      <w:r>
        <w:t xml:space="preserve">The Inspector–General notes that consideration of the above will be driven by the circumstances relating to the </w:t>
      </w:r>
      <w:proofErr w:type="gramStart"/>
      <w:r>
        <w:t>particular matter</w:t>
      </w:r>
      <w:proofErr w:type="gramEnd"/>
      <w:r>
        <w:t xml:space="preserve"> of concern. This may mean that some or </w:t>
      </w:r>
      <w:proofErr w:type="gramStart"/>
      <w:r>
        <w:t>all of</w:t>
      </w:r>
      <w:proofErr w:type="gramEnd"/>
      <w:r>
        <w:t xml:space="preserve"> the above factors may be relevant considerations in determining their specific regulatory </w:t>
      </w:r>
      <w:r w:rsidR="002D6BF7">
        <w:t>response</w:t>
      </w:r>
      <w:r>
        <w:t>.</w:t>
      </w:r>
      <w:r w:rsidR="003D7F67">
        <w:t xml:space="preserve"> </w:t>
      </w:r>
    </w:p>
    <w:p w14:paraId="49EFC059" w14:textId="0D896FF2" w:rsidR="004D26C8" w:rsidRDefault="004D26C8" w:rsidP="004D26C8">
      <w:r>
        <w:t>In line with the Inspector–General’s broader responsive regulatory approach, the appropriate action is based on a compliance pyramid (see Figure 6 below).</w:t>
      </w:r>
    </w:p>
    <w:p w14:paraId="463188FB" w14:textId="77777777" w:rsidR="00C80077" w:rsidRDefault="00C80077" w:rsidP="00C80077">
      <w:pPr>
        <w:pStyle w:val="ListBullet"/>
        <w:numPr>
          <w:ilvl w:val="0"/>
          <w:numId w:val="0"/>
        </w:numPr>
      </w:pPr>
      <w:r>
        <w:t xml:space="preserve">Figure </w:t>
      </w:r>
      <w:r>
        <w:fldChar w:fldCharType="begin"/>
      </w:r>
      <w:r>
        <w:instrText xml:space="preserve"> SEQ Figure \* ARABIC </w:instrText>
      </w:r>
      <w:r>
        <w:fldChar w:fldCharType="separate"/>
      </w:r>
      <w:r>
        <w:rPr>
          <w:noProof/>
        </w:rPr>
        <w:t>6</w:t>
      </w:r>
      <w:r>
        <w:fldChar w:fldCharType="end"/>
      </w:r>
      <w:r>
        <w:t>. Compliance pyramid</w:t>
      </w:r>
    </w:p>
    <w:p w14:paraId="7560E756" w14:textId="77777777" w:rsidR="00C80077" w:rsidRDefault="00C80077" w:rsidP="00C80077">
      <w:pPr>
        <w:pStyle w:val="ListBullet"/>
        <w:numPr>
          <w:ilvl w:val="0"/>
          <w:numId w:val="0"/>
        </w:numPr>
      </w:pPr>
      <w:r>
        <w:rPr>
          <w:noProof/>
        </w:rPr>
        <w:drawing>
          <wp:inline distT="0" distB="0" distL="0" distR="0" wp14:anchorId="2197CC80" wp14:editId="578D0086">
            <wp:extent cx="5911200" cy="2869200"/>
            <wp:effectExtent l="0" t="0" r="0" b="7620"/>
            <wp:docPr id="1858034618" name="Picture 1858034618" descr="Compliance pyramid that, from bottom to top, covers support and engage, educate and assist, deter and correct (through inspections) and activity pursue (through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ompliance pyramid that, from bottom to top, covers support and engage, educate and assist, deter and correct (through inspections) and activity pursue (through enforc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1200" cy="2869200"/>
                    </a:xfrm>
                    <a:prstGeom prst="rect">
                      <a:avLst/>
                    </a:prstGeom>
                    <a:noFill/>
                  </pic:spPr>
                </pic:pic>
              </a:graphicData>
            </a:graphic>
          </wp:inline>
        </w:drawing>
      </w:r>
    </w:p>
    <w:p w14:paraId="5A0B481A" w14:textId="3346EFB8" w:rsidR="00564BF2" w:rsidRDefault="00564BF2" w:rsidP="00564BF2">
      <w:pPr>
        <w:pStyle w:val="Heading2"/>
      </w:pPr>
      <w:bookmarkStart w:id="69" w:name="_Toc137125820"/>
      <w:bookmarkStart w:id="70" w:name="_Toc139551387"/>
      <w:bookmarkStart w:id="71" w:name="_Ref145487399"/>
      <w:bookmarkStart w:id="72" w:name="_Toc161834749"/>
      <w:r>
        <w:lastRenderedPageBreak/>
        <w:t>Performance approach</w:t>
      </w:r>
      <w:bookmarkEnd w:id="69"/>
      <w:bookmarkEnd w:id="70"/>
      <w:bookmarkEnd w:id="71"/>
      <w:bookmarkEnd w:id="72"/>
    </w:p>
    <w:p w14:paraId="7DD9E8A2" w14:textId="38C7AEB2" w:rsidR="00564BF2" w:rsidRDefault="00564BF2" w:rsidP="00564BF2">
      <w:r>
        <w:t>The following sets out the Inspector–General’s responsive approach and the regulatory tools available to the Inspector–General in performing their monitoring and independent oversight functions.</w:t>
      </w:r>
    </w:p>
    <w:tbl>
      <w:tblPr>
        <w:tblStyle w:val="TableGridLight"/>
        <w:tblW w:w="0" w:type="auto"/>
        <w:tblLook w:val="04A0" w:firstRow="1" w:lastRow="0" w:firstColumn="1" w:lastColumn="0" w:noHBand="0" w:noVBand="1"/>
      </w:tblPr>
      <w:tblGrid>
        <w:gridCol w:w="2122"/>
        <w:gridCol w:w="5103"/>
        <w:gridCol w:w="1791"/>
      </w:tblGrid>
      <w:tr w:rsidR="00EB7A38" w:rsidRPr="000C3BFF" w14:paraId="0DD00284" w14:textId="77777777" w:rsidTr="00EB7A38">
        <w:trPr>
          <w:cnfStyle w:val="100000000000" w:firstRow="1" w:lastRow="0" w:firstColumn="0" w:lastColumn="0" w:oddVBand="0" w:evenVBand="0" w:oddHBand="0" w:evenHBand="0" w:firstRowFirstColumn="0" w:firstRowLastColumn="0" w:lastRowFirstColumn="0" w:lastRowLastColumn="0"/>
        </w:trPr>
        <w:tc>
          <w:tcPr>
            <w:tcW w:w="2122" w:type="dxa"/>
          </w:tcPr>
          <w:p w14:paraId="102804C5" w14:textId="77777777" w:rsidR="000C3BFF" w:rsidRPr="000C3BFF" w:rsidRDefault="000C3BFF" w:rsidP="003E0027">
            <w:pPr>
              <w:pStyle w:val="TableHeader"/>
            </w:pPr>
            <w:r w:rsidRPr="000C3BFF">
              <w:t>Principle</w:t>
            </w:r>
          </w:p>
        </w:tc>
        <w:tc>
          <w:tcPr>
            <w:tcW w:w="5103" w:type="dxa"/>
          </w:tcPr>
          <w:p w14:paraId="6A4BB1D6" w14:textId="77777777" w:rsidR="000C3BFF" w:rsidRPr="000C3BFF" w:rsidRDefault="000C3BFF" w:rsidP="003E0027">
            <w:pPr>
              <w:pStyle w:val="TableHeader"/>
            </w:pPr>
            <w:r w:rsidRPr="000C3BFF">
              <w:t>Description</w:t>
            </w:r>
          </w:p>
        </w:tc>
        <w:tc>
          <w:tcPr>
            <w:tcW w:w="1791" w:type="dxa"/>
          </w:tcPr>
          <w:p w14:paraId="74F24863" w14:textId="63D209DA" w:rsidR="000C3BFF" w:rsidRPr="000C3BFF" w:rsidRDefault="000C3BFF" w:rsidP="003E0027">
            <w:pPr>
              <w:pStyle w:val="TableHeader"/>
            </w:pPr>
            <w:r w:rsidRPr="000C3BFF">
              <w:t xml:space="preserve">Strategic </w:t>
            </w:r>
            <w:r w:rsidR="00FD7F06">
              <w:t>outcome</w:t>
            </w:r>
          </w:p>
        </w:tc>
      </w:tr>
      <w:tr w:rsidR="00580A6A" w:rsidRPr="000C3BFF" w14:paraId="5F26355A" w14:textId="77777777" w:rsidTr="00580A6A">
        <w:tc>
          <w:tcPr>
            <w:tcW w:w="2122" w:type="dxa"/>
          </w:tcPr>
          <w:p w14:paraId="5C623242" w14:textId="77777777" w:rsidR="00580A6A" w:rsidRPr="000C3BFF" w:rsidRDefault="00580A6A" w:rsidP="004507C5">
            <w:pPr>
              <w:pStyle w:val="TableText"/>
            </w:pPr>
            <w:r>
              <w:t>Maximise integrity</w:t>
            </w:r>
          </w:p>
        </w:tc>
        <w:tc>
          <w:tcPr>
            <w:tcW w:w="5103" w:type="dxa"/>
          </w:tcPr>
          <w:p w14:paraId="3E2EF800" w14:textId="77777777" w:rsidR="00580A6A" w:rsidRPr="000C3BFF" w:rsidRDefault="00580A6A" w:rsidP="004507C5">
            <w:pPr>
              <w:pStyle w:val="TableText"/>
            </w:pPr>
            <w:r>
              <w:t>Inform evidence-based, transparent and accountable water management in the Basin</w:t>
            </w:r>
          </w:p>
        </w:tc>
        <w:tc>
          <w:tcPr>
            <w:tcW w:w="1791" w:type="dxa"/>
          </w:tcPr>
          <w:p w14:paraId="2AECF2AA" w14:textId="77777777" w:rsidR="00580A6A" w:rsidRPr="000C3BFF" w:rsidRDefault="00580A6A" w:rsidP="004507C5">
            <w:pPr>
              <w:pStyle w:val="TableText"/>
            </w:pPr>
            <w:r w:rsidRPr="000C3BFF">
              <w:t>Make it better</w:t>
            </w:r>
          </w:p>
        </w:tc>
      </w:tr>
      <w:tr w:rsidR="000C3BFF" w:rsidRPr="000C3BFF" w14:paraId="7D033868" w14:textId="77777777" w:rsidTr="00580A6A">
        <w:tc>
          <w:tcPr>
            <w:tcW w:w="2122" w:type="dxa"/>
          </w:tcPr>
          <w:p w14:paraId="7FFD41DD" w14:textId="2718C2F2" w:rsidR="000C3BFF" w:rsidRPr="000C3BFF" w:rsidRDefault="00516C82" w:rsidP="003E0027">
            <w:pPr>
              <w:pStyle w:val="TableText"/>
            </w:pPr>
            <w:r>
              <w:t>W</w:t>
            </w:r>
            <w:r w:rsidR="000C3BFF" w:rsidRPr="000C3BFF">
              <w:t>hole-of-Basin perspective</w:t>
            </w:r>
          </w:p>
        </w:tc>
        <w:tc>
          <w:tcPr>
            <w:tcW w:w="5103" w:type="dxa"/>
          </w:tcPr>
          <w:p w14:paraId="31D4B92A" w14:textId="1683F09F" w:rsidR="000C3BFF" w:rsidRPr="000C3BFF" w:rsidRDefault="000C3BFF" w:rsidP="003E0027">
            <w:pPr>
              <w:pStyle w:val="TableText"/>
            </w:pPr>
            <w:r w:rsidRPr="000C3BFF">
              <w:t xml:space="preserve">Comparing performance and making findings relevant to multiple stakeholders across the </w:t>
            </w:r>
            <w:r w:rsidR="00516C82">
              <w:t>Basin</w:t>
            </w:r>
            <w:r w:rsidRPr="000C3BFF">
              <w:t xml:space="preserve">, with national interest guiding </w:t>
            </w:r>
            <w:r w:rsidR="00021029">
              <w:t xml:space="preserve">identification of </w:t>
            </w:r>
            <w:r w:rsidRPr="000C3BFF">
              <w:t>improvement</w:t>
            </w:r>
            <w:r w:rsidR="00021029">
              <w:t>s</w:t>
            </w:r>
          </w:p>
        </w:tc>
        <w:tc>
          <w:tcPr>
            <w:tcW w:w="1791" w:type="dxa"/>
          </w:tcPr>
          <w:p w14:paraId="48D06017" w14:textId="77777777" w:rsidR="000C3BFF" w:rsidRPr="000C3BFF" w:rsidRDefault="000C3BFF" w:rsidP="003E0027">
            <w:pPr>
              <w:pStyle w:val="TableText"/>
            </w:pPr>
            <w:r w:rsidRPr="000C3BFF">
              <w:t>Do it better</w:t>
            </w:r>
          </w:p>
        </w:tc>
      </w:tr>
      <w:tr w:rsidR="000C3BFF" w:rsidRPr="000C3BFF" w14:paraId="6CA5EC80" w14:textId="77777777" w:rsidTr="00580A6A">
        <w:tc>
          <w:tcPr>
            <w:tcW w:w="2122" w:type="dxa"/>
          </w:tcPr>
          <w:p w14:paraId="7F97D6C1" w14:textId="77777777" w:rsidR="000C3BFF" w:rsidRPr="000C3BFF" w:rsidRDefault="000C3BFF" w:rsidP="003E0027">
            <w:pPr>
              <w:pStyle w:val="TableText"/>
            </w:pPr>
            <w:r w:rsidRPr="000C3BFF">
              <w:t>Complementing compliance</w:t>
            </w:r>
          </w:p>
        </w:tc>
        <w:tc>
          <w:tcPr>
            <w:tcW w:w="5103" w:type="dxa"/>
          </w:tcPr>
          <w:p w14:paraId="7F169662" w14:textId="11B89027" w:rsidR="000C3BFF" w:rsidRPr="000C3BFF" w:rsidRDefault="000C3BFF" w:rsidP="003E0027">
            <w:pPr>
              <w:pStyle w:val="TableText"/>
            </w:pPr>
            <w:r w:rsidRPr="000C3BFF">
              <w:t xml:space="preserve">Moving </w:t>
            </w:r>
            <w:r w:rsidR="008F768C">
              <w:t xml:space="preserve">toward </w:t>
            </w:r>
            <w:r w:rsidRPr="000C3BFF">
              <w:t xml:space="preserve">adding value to compliance </w:t>
            </w:r>
            <w:r w:rsidR="00460C3D">
              <w:t>by looking at delivery of intended outcomes</w:t>
            </w:r>
          </w:p>
        </w:tc>
        <w:tc>
          <w:tcPr>
            <w:tcW w:w="1791" w:type="dxa"/>
          </w:tcPr>
          <w:p w14:paraId="20941993" w14:textId="77777777" w:rsidR="000C3BFF" w:rsidRPr="000C3BFF" w:rsidRDefault="000C3BFF" w:rsidP="003E0027">
            <w:pPr>
              <w:pStyle w:val="TableText"/>
            </w:pPr>
            <w:r w:rsidRPr="000C3BFF">
              <w:t>Do it better</w:t>
            </w:r>
          </w:p>
        </w:tc>
      </w:tr>
      <w:tr w:rsidR="000C3BFF" w:rsidRPr="000C3BFF" w14:paraId="08903FDA" w14:textId="77777777" w:rsidTr="00580A6A">
        <w:tc>
          <w:tcPr>
            <w:tcW w:w="2122" w:type="dxa"/>
          </w:tcPr>
          <w:p w14:paraId="2C0C7A91" w14:textId="44BDF518" w:rsidR="000C3BFF" w:rsidRPr="000C3BFF" w:rsidRDefault="000C3BFF" w:rsidP="003E0027">
            <w:pPr>
              <w:pStyle w:val="TableText"/>
            </w:pPr>
            <w:r w:rsidRPr="000C3BFF">
              <w:t xml:space="preserve">Enhancing public </w:t>
            </w:r>
            <w:r w:rsidR="00052D15">
              <w:t>assurance</w:t>
            </w:r>
          </w:p>
        </w:tc>
        <w:tc>
          <w:tcPr>
            <w:tcW w:w="5103" w:type="dxa"/>
          </w:tcPr>
          <w:p w14:paraId="75C6E038" w14:textId="0C95EB31" w:rsidR="000C3BFF" w:rsidRPr="000C3BFF" w:rsidRDefault="00CB7CBD" w:rsidP="003E0027">
            <w:pPr>
              <w:pStyle w:val="TableText"/>
            </w:pPr>
            <w:r>
              <w:t xml:space="preserve">Publicly </w:t>
            </w:r>
            <w:r w:rsidRPr="000C3BFF">
              <w:t xml:space="preserve">reporting on </w:t>
            </w:r>
            <w:r>
              <w:t>findings, outcomes, possible improvements and recommendations from overseeing governments</w:t>
            </w:r>
          </w:p>
        </w:tc>
        <w:tc>
          <w:tcPr>
            <w:tcW w:w="1791" w:type="dxa"/>
          </w:tcPr>
          <w:p w14:paraId="6994B27C" w14:textId="75FBBECA" w:rsidR="000C3BFF" w:rsidRPr="000C3BFF" w:rsidRDefault="000C3BFF" w:rsidP="003E0027">
            <w:pPr>
              <w:pStyle w:val="TableText"/>
            </w:pPr>
            <w:r w:rsidRPr="000C3BFF">
              <w:t>Ensure its visible</w:t>
            </w:r>
          </w:p>
        </w:tc>
      </w:tr>
      <w:tr w:rsidR="000C3BFF" w:rsidRPr="000C3BFF" w14:paraId="64916CE6" w14:textId="77777777" w:rsidTr="00580A6A">
        <w:tc>
          <w:tcPr>
            <w:tcW w:w="2122" w:type="dxa"/>
          </w:tcPr>
          <w:p w14:paraId="20EE4AE4" w14:textId="7DDA8D2B" w:rsidR="000C3BFF" w:rsidRPr="000C3BFF" w:rsidRDefault="00FB10CA" w:rsidP="003E0027">
            <w:pPr>
              <w:pStyle w:val="TableText"/>
            </w:pPr>
            <w:r>
              <w:t>Continual improvement</w:t>
            </w:r>
          </w:p>
        </w:tc>
        <w:tc>
          <w:tcPr>
            <w:tcW w:w="5103" w:type="dxa"/>
          </w:tcPr>
          <w:p w14:paraId="70BBC53F" w14:textId="7E352460" w:rsidR="000C3BFF" w:rsidRPr="000C3BFF" w:rsidRDefault="00FB10CA" w:rsidP="003E0027">
            <w:pPr>
              <w:pStyle w:val="TableText"/>
            </w:pPr>
            <w:r>
              <w:t xml:space="preserve">Ensuring </w:t>
            </w:r>
            <w:r w:rsidR="009B0902">
              <w:t>adaptive management and continual improvement to water management in the Basin</w:t>
            </w:r>
            <w:r w:rsidR="00D80DAC">
              <w:t xml:space="preserve"> </w:t>
            </w:r>
            <w:proofErr w:type="gramStart"/>
            <w:r w:rsidR="00D80DAC">
              <w:t>in light of</w:t>
            </w:r>
            <w:proofErr w:type="gramEnd"/>
            <w:r w:rsidR="00D80DAC">
              <w:t xml:space="preserve"> changing climate and outcomes</w:t>
            </w:r>
          </w:p>
        </w:tc>
        <w:tc>
          <w:tcPr>
            <w:tcW w:w="1791" w:type="dxa"/>
          </w:tcPr>
          <w:p w14:paraId="6E8AF978" w14:textId="003DB971" w:rsidR="000C3BFF" w:rsidRPr="000C3BFF" w:rsidRDefault="00D80DAC" w:rsidP="003E0027">
            <w:pPr>
              <w:pStyle w:val="TableText"/>
            </w:pPr>
            <w:r>
              <w:t>Make it better</w:t>
            </w:r>
          </w:p>
        </w:tc>
      </w:tr>
    </w:tbl>
    <w:p w14:paraId="510E1A56" w14:textId="77777777" w:rsidR="000C3BFF" w:rsidRDefault="000C3BFF" w:rsidP="00564BF2"/>
    <w:p w14:paraId="2BBE81DE" w14:textId="44BE3BEF" w:rsidR="00564BF2" w:rsidRDefault="00564BF2" w:rsidP="00564BF2">
      <w:r>
        <w:t xml:space="preserve">The Inspector–General in deciding whether to use </w:t>
      </w:r>
      <w:r w:rsidR="0069249C">
        <w:t xml:space="preserve">performance </w:t>
      </w:r>
      <w:r>
        <w:t xml:space="preserve">tools and, if so, which one, has regard to the following: </w:t>
      </w:r>
    </w:p>
    <w:p w14:paraId="4688F498" w14:textId="2920FB45" w:rsidR="00564BF2" w:rsidRDefault="00564BF2" w:rsidP="00564BF2">
      <w:pPr>
        <w:pStyle w:val="ListBullet"/>
      </w:pPr>
      <w:r>
        <w:t xml:space="preserve">Whether the matter </w:t>
      </w:r>
      <w:r w:rsidR="00A91576">
        <w:t xml:space="preserve">relates to the management of Basin water resources under the national frameworks and </w:t>
      </w:r>
      <w:r>
        <w:t>is</w:t>
      </w:r>
      <w:r w:rsidR="00A91576">
        <w:t>, therefore,</w:t>
      </w:r>
      <w:r>
        <w:t xml:space="preserve"> within the Inspector–General’s jurisdiction </w:t>
      </w:r>
    </w:p>
    <w:p w14:paraId="0F1C47FC" w14:textId="77777777" w:rsidR="00564BF2" w:rsidRDefault="00564BF2" w:rsidP="00564BF2">
      <w:pPr>
        <w:pStyle w:val="ListBullet"/>
      </w:pPr>
      <w:r>
        <w:t>Whether it relates to one of the Inspector–General’s targeted priorities</w:t>
      </w:r>
    </w:p>
    <w:p w14:paraId="4B023D14" w14:textId="77777777" w:rsidR="00564BF2" w:rsidRDefault="00564BF2" w:rsidP="00564BF2">
      <w:pPr>
        <w:pStyle w:val="ListBullet"/>
      </w:pPr>
      <w:r>
        <w:t>Whether there are other activities or processes, conducted by the Inspector–General or other agencies, that could be leveraged off or that duplicate the activity</w:t>
      </w:r>
    </w:p>
    <w:p w14:paraId="57AB84CD" w14:textId="6C4F6023" w:rsidR="00564BF2" w:rsidRDefault="00564BF2" w:rsidP="00564BF2">
      <w:pPr>
        <w:pStyle w:val="ListBullet"/>
      </w:pPr>
      <w:r>
        <w:t xml:space="preserve">The </w:t>
      </w:r>
      <w:r w:rsidR="00D73038">
        <w:t>matur</w:t>
      </w:r>
      <w:r w:rsidR="008749A1">
        <w:t xml:space="preserve">ity </w:t>
      </w:r>
      <w:r w:rsidR="009F21D8">
        <w:t>of the relevant entit</w:t>
      </w:r>
      <w:r w:rsidR="00871792">
        <w:t>y(</w:t>
      </w:r>
      <w:proofErr w:type="spellStart"/>
      <w:r w:rsidR="009F21D8">
        <w:t>ies</w:t>
      </w:r>
      <w:proofErr w:type="spellEnd"/>
      <w:r w:rsidR="00871792">
        <w:t>)</w:t>
      </w:r>
    </w:p>
    <w:p w14:paraId="6A128855" w14:textId="483CD6EA" w:rsidR="00564BF2" w:rsidRDefault="00564BF2" w:rsidP="00564BF2">
      <w:pPr>
        <w:pStyle w:val="ListBullet"/>
      </w:pPr>
      <w:r>
        <w:t xml:space="preserve">The attitude of the </w:t>
      </w:r>
      <w:r w:rsidR="00871792">
        <w:t xml:space="preserve">relevant </w:t>
      </w:r>
      <w:r>
        <w:t>entity</w:t>
      </w:r>
      <w:r w:rsidR="00871792">
        <w:t>(</w:t>
      </w:r>
      <w:proofErr w:type="spellStart"/>
      <w:r w:rsidR="00871792">
        <w:t>ies</w:t>
      </w:r>
      <w:proofErr w:type="spellEnd"/>
      <w:r w:rsidR="00871792">
        <w:t>)</w:t>
      </w:r>
      <w:r>
        <w:t xml:space="preserve"> </w:t>
      </w:r>
      <w:r w:rsidR="00871792">
        <w:t xml:space="preserve">to </w:t>
      </w:r>
      <w:r w:rsidR="009E40D5">
        <w:t>giving effect to the national frameworks and/ or relevant intergovernmental agreements</w:t>
      </w:r>
    </w:p>
    <w:p w14:paraId="6405193E" w14:textId="77777777" w:rsidR="00564BF2" w:rsidRDefault="00564BF2" w:rsidP="00564BF2">
      <w:pPr>
        <w:pStyle w:val="ListBullet"/>
      </w:pPr>
      <w:r>
        <w:t xml:space="preserve">The capacity of the Inspector–General to undertake the action </w:t>
      </w:r>
      <w:proofErr w:type="gramStart"/>
      <w:r>
        <w:t>in light of</w:t>
      </w:r>
      <w:proofErr w:type="gramEnd"/>
      <w:r>
        <w:t xml:space="preserve"> their resourcing and other priorities.</w:t>
      </w:r>
    </w:p>
    <w:p w14:paraId="32A63CBC" w14:textId="16EB9C0E" w:rsidR="00564BF2" w:rsidRDefault="00564BF2" w:rsidP="00564BF2">
      <w:r>
        <w:t xml:space="preserve">The Inspector–General notes that consideration of the above will be driven by the circumstances relating to the </w:t>
      </w:r>
      <w:proofErr w:type="gramStart"/>
      <w:r>
        <w:t>particular matter</w:t>
      </w:r>
      <w:proofErr w:type="gramEnd"/>
      <w:r>
        <w:t xml:space="preserve"> of concern. This may mean that some or </w:t>
      </w:r>
      <w:proofErr w:type="gramStart"/>
      <w:r>
        <w:t>all of</w:t>
      </w:r>
      <w:proofErr w:type="gramEnd"/>
      <w:r>
        <w:t xml:space="preserve"> the above factors may be relevant considerations in determining their specific regulatory </w:t>
      </w:r>
      <w:r w:rsidR="002D6BF7">
        <w:t>response</w:t>
      </w:r>
      <w:r>
        <w:t xml:space="preserve">. </w:t>
      </w:r>
    </w:p>
    <w:p w14:paraId="574F0BBF" w14:textId="09B16717" w:rsidR="00F61BAF" w:rsidRDefault="00F61BAF" w:rsidP="00564BF2">
      <w:r>
        <w:t xml:space="preserve">Other factors that may </w:t>
      </w:r>
      <w:r w:rsidR="00FE3A62">
        <w:t xml:space="preserve">be relevant </w:t>
      </w:r>
      <w:r w:rsidR="004B6623">
        <w:t xml:space="preserve">for </w:t>
      </w:r>
      <w:r w:rsidR="00FE3A62">
        <w:t>consider</w:t>
      </w:r>
      <w:r w:rsidR="004B6623">
        <w:t>ation</w:t>
      </w:r>
      <w:r w:rsidR="00FE3A62">
        <w:t xml:space="preserve"> by the Inspector-General in performing their oversight functions include:</w:t>
      </w:r>
    </w:p>
    <w:p w14:paraId="060A7B37" w14:textId="5C0B347C" w:rsidR="006461FD" w:rsidRDefault="006461FD">
      <w:pPr>
        <w:pStyle w:val="ListBullet"/>
      </w:pPr>
      <w:r>
        <w:t xml:space="preserve">Where assessment of performance is more appropriate </w:t>
      </w:r>
      <w:r w:rsidR="002E0900">
        <w:t>and has the potential to be more effective than determinations of compliance with relevant laws</w:t>
      </w:r>
    </w:p>
    <w:p w14:paraId="0CF747A5" w14:textId="6C29435F" w:rsidR="00154BEB" w:rsidRPr="00154BEB" w:rsidRDefault="00B86CE6" w:rsidP="003E0027">
      <w:pPr>
        <w:pStyle w:val="ListBullet"/>
      </w:pPr>
      <w:r>
        <w:t xml:space="preserve">Experience with or increased focus on </w:t>
      </w:r>
      <w:r w:rsidR="00061E51">
        <w:t xml:space="preserve">management of water </w:t>
      </w:r>
      <w:r w:rsidR="005337D0">
        <w:t xml:space="preserve">due to a specific event (e.g., </w:t>
      </w:r>
      <w:r w:rsidR="00154BEB" w:rsidRPr="00154BEB">
        <w:t>drought</w:t>
      </w:r>
      <w:r w:rsidR="005337D0">
        <w:t xml:space="preserve">, flood, fish kill, </w:t>
      </w:r>
      <w:r w:rsidR="005C1E81">
        <w:t>access to safe drinking water, etc.)</w:t>
      </w:r>
    </w:p>
    <w:p w14:paraId="05843E1E" w14:textId="7E327808" w:rsidR="00154BEB" w:rsidRPr="00154BEB" w:rsidRDefault="005C1E81" w:rsidP="003E0027">
      <w:pPr>
        <w:pStyle w:val="ListBullet"/>
      </w:pPr>
      <w:r>
        <w:lastRenderedPageBreak/>
        <w:t xml:space="preserve">Legislated </w:t>
      </w:r>
      <w:r w:rsidR="00154BEB" w:rsidRPr="00154BEB">
        <w:t xml:space="preserve">milestones </w:t>
      </w:r>
      <w:r>
        <w:t xml:space="preserve">(e.g., </w:t>
      </w:r>
      <w:r w:rsidR="004D73FF">
        <w:t>delivery of infrastructure projects, sustainable diversion limit reconciliation, reviews, etc.)</w:t>
      </w:r>
    </w:p>
    <w:p w14:paraId="3D4FA8B7" w14:textId="4C8BDFB1" w:rsidR="00154BEB" w:rsidRPr="00154BEB" w:rsidRDefault="00F74659" w:rsidP="003E0027">
      <w:pPr>
        <w:pStyle w:val="ListBullet"/>
      </w:pPr>
      <w:r>
        <w:t>Administrative matters (e.g., new intergovernmental agreements, deadlines for existing intergovernmental agreements)</w:t>
      </w:r>
    </w:p>
    <w:p w14:paraId="34084794" w14:textId="5C6EB3B6" w:rsidR="00154BEB" w:rsidRPr="00154BEB" w:rsidRDefault="004600D9" w:rsidP="003E0027">
      <w:pPr>
        <w:pStyle w:val="ListBullet"/>
      </w:pPr>
      <w:r>
        <w:t>Broader water governance and institutional reforms</w:t>
      </w:r>
      <w:r w:rsidR="00154BEB" w:rsidRPr="00154BEB">
        <w:t>.</w:t>
      </w:r>
    </w:p>
    <w:p w14:paraId="2E74D0A4" w14:textId="261E0A4B" w:rsidR="00564BF2" w:rsidRDefault="00564BF2" w:rsidP="00564BF2">
      <w:r>
        <w:t xml:space="preserve">In line with the Inspector–General’s broader responsive regulatory approach, the appropriate action is based on a pyramid </w:t>
      </w:r>
      <w:r w:rsidR="008C01E6">
        <w:t xml:space="preserve">of regulatory responses </w:t>
      </w:r>
      <w:r>
        <w:t xml:space="preserve">(see Figure </w:t>
      </w:r>
      <w:r w:rsidR="00987E0C">
        <w:t>7</w:t>
      </w:r>
      <w:r w:rsidR="00987E0C" w:rsidRPr="00E65CD3">
        <w:t xml:space="preserve"> </w:t>
      </w:r>
      <w:r>
        <w:t>below).</w:t>
      </w:r>
    </w:p>
    <w:p w14:paraId="5274DCF9" w14:textId="0070AB3A" w:rsidR="00564BF2" w:rsidRDefault="00EA2EBF" w:rsidP="00564BF2">
      <w:pPr>
        <w:pStyle w:val="FigureHeading"/>
      </w:pPr>
      <w:r>
        <w:t xml:space="preserve">Figure </w:t>
      </w:r>
      <w:r>
        <w:fldChar w:fldCharType="begin"/>
      </w:r>
      <w:r>
        <w:instrText xml:space="preserve"> SEQ Figure \* ARABIC </w:instrText>
      </w:r>
      <w:r>
        <w:fldChar w:fldCharType="separate"/>
      </w:r>
      <w:r>
        <w:rPr>
          <w:noProof/>
        </w:rPr>
        <w:t>7</w:t>
      </w:r>
      <w:r>
        <w:fldChar w:fldCharType="end"/>
      </w:r>
      <w:r>
        <w:t xml:space="preserve">. </w:t>
      </w:r>
      <w:r w:rsidR="008C01E6">
        <w:t>Performance</w:t>
      </w:r>
      <w:r w:rsidR="00564BF2">
        <w:t xml:space="preserve"> pyramid</w:t>
      </w:r>
    </w:p>
    <w:p w14:paraId="29A8EC0E" w14:textId="0CF5C147" w:rsidR="0069249C" w:rsidRDefault="00A80740" w:rsidP="003D7F67">
      <w:r>
        <w:rPr>
          <w:noProof/>
        </w:rPr>
        <w:drawing>
          <wp:inline distT="0" distB="0" distL="0" distR="0" wp14:anchorId="00620E2A" wp14:editId="5D19BD9C">
            <wp:extent cx="5954400" cy="2858400"/>
            <wp:effectExtent l="0" t="0" r="8255" b="0"/>
            <wp:docPr id="1397617941" name="Picture 1" descr="Performance pyramid that, from bottom to top, covers engage and communicate, monitor and assurance, performance and oversight, and assess and evaluate (through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17941" name="Picture 1" descr="Performance pyramid that, from bottom to top, covers engage and communicate, monitor and assurance, performance and oversight, and assess and evaluate (through inquir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4400" cy="2858400"/>
                    </a:xfrm>
                    <a:prstGeom prst="rect">
                      <a:avLst/>
                    </a:prstGeom>
                    <a:noFill/>
                  </pic:spPr>
                </pic:pic>
              </a:graphicData>
            </a:graphic>
          </wp:inline>
        </w:drawing>
      </w:r>
    </w:p>
    <w:p w14:paraId="33865F70" w14:textId="2B451EDB" w:rsidR="00644780" w:rsidRDefault="00F65125" w:rsidP="00F65125">
      <w:pPr>
        <w:pStyle w:val="Heading1"/>
      </w:pPr>
      <w:bookmarkStart w:id="73" w:name="_Toc137125821"/>
      <w:bookmarkStart w:id="74" w:name="_Toc139551388"/>
      <w:bookmarkStart w:id="75" w:name="_Toc161834750"/>
      <w:r>
        <w:lastRenderedPageBreak/>
        <w:t>Review of policy</w:t>
      </w:r>
      <w:bookmarkEnd w:id="73"/>
      <w:bookmarkEnd w:id="74"/>
      <w:bookmarkEnd w:id="75"/>
    </w:p>
    <w:p w14:paraId="23EA4E74" w14:textId="56A315E6" w:rsidR="00F65125" w:rsidRDefault="00F65125" w:rsidP="00C45428">
      <w:r>
        <w:t xml:space="preserve">The Inspector–General intends for this policy to be reviewed following </w:t>
      </w:r>
      <w:r w:rsidR="00000B02">
        <w:t xml:space="preserve">legislative </w:t>
      </w:r>
      <w:r>
        <w:t>reforms to the Water Act</w:t>
      </w:r>
      <w:r w:rsidR="00000B02">
        <w:t xml:space="preserve"> or Basin Plan or, in any case, </w:t>
      </w:r>
      <w:r w:rsidR="00591495">
        <w:t xml:space="preserve">in 5 </w:t>
      </w:r>
      <w:r w:rsidR="00000B02">
        <w:t xml:space="preserve">years of </w:t>
      </w:r>
      <w:r w:rsidR="00CC73D5">
        <w:t>its publication.</w:t>
      </w:r>
    </w:p>
    <w:p w14:paraId="2E167A5F" w14:textId="73479A9F" w:rsidR="000455D5" w:rsidRDefault="00FC25D0" w:rsidP="003E0027">
      <w:pPr>
        <w:pStyle w:val="Heading2"/>
      </w:pPr>
      <w:bookmarkStart w:id="76" w:name="_Toc161834751"/>
      <w:r>
        <w:t>Version history</w:t>
      </w:r>
      <w:bookmarkEnd w:id="76"/>
    </w:p>
    <w:tbl>
      <w:tblPr>
        <w:tblStyle w:val="TableGridLight"/>
        <w:tblW w:w="0" w:type="auto"/>
        <w:tblLook w:val="04A0" w:firstRow="1" w:lastRow="0" w:firstColumn="1" w:lastColumn="0" w:noHBand="0" w:noVBand="1"/>
      </w:tblPr>
      <w:tblGrid>
        <w:gridCol w:w="1134"/>
        <w:gridCol w:w="2268"/>
        <w:gridCol w:w="6236"/>
      </w:tblGrid>
      <w:tr w:rsidR="00184498" w14:paraId="6196D071" w14:textId="77777777" w:rsidTr="0033386D">
        <w:trPr>
          <w:cnfStyle w:val="100000000000" w:firstRow="1" w:lastRow="0" w:firstColumn="0" w:lastColumn="0" w:oddVBand="0" w:evenVBand="0" w:oddHBand="0" w:evenHBand="0" w:firstRowFirstColumn="0" w:firstRowLastColumn="0" w:lastRowFirstColumn="0" w:lastRowLastColumn="0"/>
        </w:trPr>
        <w:tc>
          <w:tcPr>
            <w:tcW w:w="1134" w:type="dxa"/>
          </w:tcPr>
          <w:p w14:paraId="66DE5802" w14:textId="51365198" w:rsidR="00184498" w:rsidRDefault="0033386D" w:rsidP="0033386D">
            <w:pPr>
              <w:pStyle w:val="TableHeader"/>
            </w:pPr>
            <w:r>
              <w:t>Version</w:t>
            </w:r>
          </w:p>
        </w:tc>
        <w:tc>
          <w:tcPr>
            <w:tcW w:w="2268" w:type="dxa"/>
          </w:tcPr>
          <w:p w14:paraId="7AE32BD3" w14:textId="1BEB2CEB" w:rsidR="00184498" w:rsidRDefault="0033386D" w:rsidP="0033386D">
            <w:pPr>
              <w:pStyle w:val="TableHeader"/>
            </w:pPr>
            <w:r>
              <w:t>Date</w:t>
            </w:r>
          </w:p>
        </w:tc>
        <w:tc>
          <w:tcPr>
            <w:tcW w:w="6236" w:type="dxa"/>
          </w:tcPr>
          <w:p w14:paraId="78153B74" w14:textId="5932E97C" w:rsidR="00184498" w:rsidRDefault="00B74072" w:rsidP="0033386D">
            <w:pPr>
              <w:pStyle w:val="TableHeader"/>
            </w:pPr>
            <w:r>
              <w:t>Revisions</w:t>
            </w:r>
          </w:p>
        </w:tc>
      </w:tr>
      <w:tr w:rsidR="00184498" w14:paraId="4577970F" w14:textId="77777777" w:rsidTr="0033386D">
        <w:tc>
          <w:tcPr>
            <w:tcW w:w="1134" w:type="dxa"/>
          </w:tcPr>
          <w:p w14:paraId="71C77044" w14:textId="5E95ADFD" w:rsidR="00184498" w:rsidRDefault="0033386D" w:rsidP="0033386D">
            <w:pPr>
              <w:pStyle w:val="TableText"/>
            </w:pPr>
            <w:r>
              <w:t>1.0</w:t>
            </w:r>
          </w:p>
        </w:tc>
        <w:tc>
          <w:tcPr>
            <w:tcW w:w="2268" w:type="dxa"/>
          </w:tcPr>
          <w:p w14:paraId="0B2ACC27" w14:textId="3335BEF9" w:rsidR="00184498" w:rsidRDefault="002F4222" w:rsidP="0033386D">
            <w:pPr>
              <w:pStyle w:val="TableText"/>
            </w:pPr>
            <w:r>
              <w:t xml:space="preserve">31 </w:t>
            </w:r>
            <w:r w:rsidR="0033386D">
              <w:t>October 2023</w:t>
            </w:r>
          </w:p>
        </w:tc>
        <w:tc>
          <w:tcPr>
            <w:tcW w:w="6236" w:type="dxa"/>
          </w:tcPr>
          <w:p w14:paraId="03E6B9EE" w14:textId="6922F4D6" w:rsidR="00184498" w:rsidRDefault="0033386D" w:rsidP="0033386D">
            <w:pPr>
              <w:pStyle w:val="TableText"/>
            </w:pPr>
            <w:r>
              <w:t>Initi</w:t>
            </w:r>
            <w:r w:rsidR="00B15D14">
              <w:t xml:space="preserve">al </w:t>
            </w:r>
            <w:r w:rsidR="000875F5">
              <w:t>Regulatory Policy</w:t>
            </w:r>
          </w:p>
        </w:tc>
      </w:tr>
      <w:tr w:rsidR="00184498" w14:paraId="35A019EE" w14:textId="77777777" w:rsidTr="0033386D">
        <w:tc>
          <w:tcPr>
            <w:tcW w:w="1134" w:type="dxa"/>
          </w:tcPr>
          <w:p w14:paraId="17EAEBC0" w14:textId="4807B18F" w:rsidR="00184498" w:rsidRDefault="00B15D14" w:rsidP="0033386D">
            <w:pPr>
              <w:pStyle w:val="TableText"/>
            </w:pPr>
            <w:r>
              <w:t>2.0</w:t>
            </w:r>
          </w:p>
        </w:tc>
        <w:tc>
          <w:tcPr>
            <w:tcW w:w="2268" w:type="dxa"/>
          </w:tcPr>
          <w:p w14:paraId="2A62DB4D" w14:textId="307142A6" w:rsidR="00184498" w:rsidRDefault="00B15D14" w:rsidP="0033386D">
            <w:pPr>
              <w:pStyle w:val="TableText"/>
            </w:pPr>
            <w:r>
              <w:t>1 July 2024</w:t>
            </w:r>
          </w:p>
        </w:tc>
        <w:tc>
          <w:tcPr>
            <w:tcW w:w="6236" w:type="dxa"/>
          </w:tcPr>
          <w:p w14:paraId="2D83D571" w14:textId="2710C556" w:rsidR="00184498" w:rsidRDefault="00B15D14" w:rsidP="0033386D">
            <w:pPr>
              <w:pStyle w:val="TableText"/>
            </w:pPr>
            <w:r>
              <w:t xml:space="preserve">Updated to reflect the changes arising from the </w:t>
            </w:r>
            <w:r>
              <w:rPr>
                <w:i/>
                <w:iCs/>
              </w:rPr>
              <w:t xml:space="preserve">Water Amendments (Restoring our Rivers) Act 2023 </w:t>
            </w:r>
            <w:r>
              <w:t xml:space="preserve">that commenced on </w:t>
            </w:r>
            <w:r w:rsidRPr="002B1055">
              <w:t>7 December 2023</w:t>
            </w:r>
            <w:r w:rsidRPr="003E0027">
              <w:t xml:space="preserve"> and </w:t>
            </w:r>
            <w:r w:rsidRPr="002B1055">
              <w:t>1 July 2024</w:t>
            </w:r>
          </w:p>
        </w:tc>
      </w:tr>
    </w:tbl>
    <w:p w14:paraId="0768E6FA" w14:textId="77777777" w:rsidR="005C395B" w:rsidRDefault="005C395B" w:rsidP="00C45428"/>
    <w:p w14:paraId="286D4B65" w14:textId="4297373C" w:rsidR="006F330D" w:rsidRPr="00884362" w:rsidRDefault="00D72AEE" w:rsidP="00D72AEE">
      <w:pPr>
        <w:pStyle w:val="Heading1"/>
      </w:pPr>
      <w:bookmarkStart w:id="77" w:name="_Toc137125824"/>
      <w:bookmarkStart w:id="78" w:name="_Toc139551392"/>
      <w:bookmarkStart w:id="79" w:name="_Toc161834752"/>
      <w:r>
        <w:lastRenderedPageBreak/>
        <w:t>References</w:t>
      </w:r>
      <w:bookmarkEnd w:id="77"/>
      <w:bookmarkEnd w:id="78"/>
      <w:bookmarkEnd w:id="79"/>
    </w:p>
    <w:sectPr w:rsidR="006F330D" w:rsidRPr="00884362" w:rsidSect="00E90F6B">
      <w:footnotePr>
        <w:numFmt w:val="lowerRoman"/>
      </w:footnotePr>
      <w:endnotePr>
        <w:numFmt w:val="decimal"/>
      </w:endnotePr>
      <w:pgSz w:w="11906" w:h="16838"/>
      <w:pgMar w:top="1284" w:right="1134" w:bottom="816" w:left="1134" w:header="425" w:footer="9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D3521" w14:textId="77777777" w:rsidR="00877C55" w:rsidRDefault="00877C55">
      <w:r>
        <w:separator/>
      </w:r>
    </w:p>
  </w:endnote>
  <w:endnote w:type="continuationSeparator" w:id="0">
    <w:p w14:paraId="7EDA67B5" w14:textId="77777777" w:rsidR="00877C55" w:rsidRDefault="00877C55">
      <w:r>
        <w:continuationSeparator/>
      </w:r>
    </w:p>
  </w:endnote>
  <w:endnote w:type="continuationNotice" w:id="1">
    <w:p w14:paraId="1E12A8AF" w14:textId="77777777" w:rsidR="00877C55" w:rsidRDefault="00877C55">
      <w:pPr>
        <w:spacing w:after="0"/>
      </w:pPr>
    </w:p>
  </w:endnote>
  <w:endnote w:id="2">
    <w:p w14:paraId="48CBE02B" w14:textId="755BF5D2" w:rsidR="00A2128A" w:rsidRPr="00507BC5" w:rsidRDefault="00A2128A" w:rsidP="00A2128A">
      <w:pPr>
        <w:pStyle w:val="EndnoteText"/>
        <w:spacing w:after="200"/>
        <w:rPr>
          <w:rFonts w:ascii="Verdana" w:hAnsi="Verdana"/>
        </w:rPr>
      </w:pPr>
      <w:r w:rsidRPr="00507BC5">
        <w:rPr>
          <w:rStyle w:val="EndnoteReference"/>
          <w:rFonts w:ascii="Verdana" w:hAnsi="Verdana"/>
        </w:rPr>
        <w:endnoteRef/>
      </w:r>
      <w:r w:rsidRPr="00507BC5">
        <w:rPr>
          <w:rFonts w:ascii="Verdana" w:hAnsi="Verdana"/>
        </w:rPr>
        <w:t xml:space="preserve"> </w:t>
      </w:r>
      <w:r>
        <w:rPr>
          <w:rFonts w:ascii="Verdana" w:hAnsi="Verdana"/>
        </w:rPr>
        <w:t>Inspector–General</w:t>
      </w:r>
      <w:r w:rsidRPr="00507BC5">
        <w:rPr>
          <w:rFonts w:ascii="Verdana" w:hAnsi="Verdana"/>
        </w:rPr>
        <w:t xml:space="preserve"> of Water Compliance, </w:t>
      </w:r>
      <w:r w:rsidRPr="00507BC5">
        <w:rPr>
          <w:rFonts w:ascii="Verdana" w:hAnsi="Verdana"/>
          <w:i/>
          <w:iCs/>
        </w:rPr>
        <w:t>Regulatory Policy Discussion Paper</w:t>
      </w:r>
      <w:r w:rsidRPr="00507BC5">
        <w:rPr>
          <w:rFonts w:ascii="Verdana" w:hAnsi="Verdana"/>
        </w:rPr>
        <w:t xml:space="preserve">, March 2023, </w:t>
      </w:r>
      <w:r w:rsidR="00A61DCB" w:rsidRPr="00A61DCB">
        <w:rPr>
          <w:rStyle w:val="Hyperlink"/>
          <w:rFonts w:ascii="Verdana" w:hAnsi="Verdana"/>
        </w:rPr>
        <w:t>https://www.igwc.gov.au/consultations/previous-consultations</w:t>
      </w:r>
      <w:r w:rsidRPr="00507BC5">
        <w:rPr>
          <w:rFonts w:ascii="Verdana" w:hAnsi="Verdana"/>
        </w:rPr>
        <w:t xml:space="preserve">, accessed </w:t>
      </w:r>
      <w:r w:rsidR="00A61DCB">
        <w:rPr>
          <w:rFonts w:ascii="Verdana" w:hAnsi="Verdana"/>
        </w:rPr>
        <w:t xml:space="preserve">13 September </w:t>
      </w:r>
      <w:r>
        <w:rPr>
          <w:rFonts w:ascii="Verdana" w:hAnsi="Verdana"/>
        </w:rPr>
        <w:t>2023</w:t>
      </w:r>
      <w:r w:rsidRPr="00507BC5">
        <w:rPr>
          <w:rFonts w:ascii="Verdana" w:hAnsi="Verdana"/>
        </w:rPr>
        <w:t>.</w:t>
      </w:r>
    </w:p>
  </w:endnote>
  <w:endnote w:id="3">
    <w:p w14:paraId="35A20531" w14:textId="5D8F3887" w:rsidR="001A3771" w:rsidRPr="001A3771" w:rsidRDefault="001A3771" w:rsidP="001A3771">
      <w:pPr>
        <w:pStyle w:val="EndnoteText"/>
        <w:spacing w:after="200"/>
        <w:rPr>
          <w:rStyle w:val="EndnoteReference"/>
          <w:rFonts w:ascii="Verdana" w:hAnsi="Verdana"/>
        </w:rPr>
      </w:pPr>
      <w:r w:rsidRPr="001A3771">
        <w:rPr>
          <w:rStyle w:val="EndnoteReference"/>
          <w:rFonts w:ascii="Verdana" w:hAnsi="Verdana"/>
        </w:rPr>
        <w:endnoteRef/>
      </w:r>
      <w:r w:rsidRPr="001A3771">
        <w:rPr>
          <w:rStyle w:val="EndnoteReference"/>
          <w:rFonts w:ascii="Verdana" w:hAnsi="Verdana"/>
        </w:rPr>
        <w:t xml:space="preserve"> </w:t>
      </w:r>
      <w:r w:rsidRPr="001A3771">
        <w:rPr>
          <w:rStyle w:val="EndnoteReference"/>
          <w:rFonts w:ascii="Verdana" w:hAnsi="Verdana"/>
          <w:vertAlign w:val="baseline"/>
        </w:rPr>
        <w:t xml:space="preserve">Section 15, </w:t>
      </w:r>
      <w:r w:rsidRPr="001A3771">
        <w:rPr>
          <w:rStyle w:val="EndnoteReference"/>
          <w:rFonts w:ascii="Verdana" w:hAnsi="Verdana"/>
          <w:i/>
          <w:iCs/>
          <w:vertAlign w:val="baseline"/>
        </w:rPr>
        <w:t xml:space="preserve">National </w:t>
      </w:r>
      <w:proofErr w:type="spellStart"/>
      <w:r w:rsidRPr="001A3771">
        <w:rPr>
          <w:rStyle w:val="EndnoteReference"/>
          <w:rFonts w:ascii="Verdana" w:hAnsi="Verdana"/>
          <w:i/>
          <w:iCs/>
          <w:vertAlign w:val="baseline"/>
        </w:rPr>
        <w:t>Anti Corruption</w:t>
      </w:r>
      <w:proofErr w:type="spellEnd"/>
      <w:r w:rsidRPr="001A3771">
        <w:rPr>
          <w:rStyle w:val="EndnoteReference"/>
          <w:rFonts w:ascii="Verdana" w:hAnsi="Verdana"/>
          <w:i/>
          <w:iCs/>
          <w:vertAlign w:val="baseline"/>
        </w:rPr>
        <w:t xml:space="preserve"> Commission Act 2022</w:t>
      </w:r>
      <w:r w:rsidRPr="001A3771">
        <w:rPr>
          <w:rStyle w:val="EndnoteReference"/>
          <w:rFonts w:ascii="Verdana" w:hAnsi="Verdana"/>
          <w:vertAlign w:val="baseline"/>
        </w:rPr>
        <w:t xml:space="preserve"> (</w:t>
      </w:r>
      <w:proofErr w:type="spellStart"/>
      <w:r w:rsidRPr="001A3771">
        <w:rPr>
          <w:rStyle w:val="EndnoteReference"/>
          <w:rFonts w:ascii="Verdana" w:hAnsi="Verdana"/>
          <w:vertAlign w:val="baseline"/>
        </w:rPr>
        <w:t>Cth</w:t>
      </w:r>
      <w:proofErr w:type="spellEnd"/>
      <w:r w:rsidRPr="001A3771">
        <w:rPr>
          <w:rStyle w:val="EndnoteReference"/>
          <w:rFonts w:ascii="Verdana" w:hAnsi="Verdana"/>
          <w:vertAlign w:val="baseline"/>
        </w:rPr>
        <w:t>)</w:t>
      </w:r>
      <w:r>
        <w:rPr>
          <w:rStyle w:val="EndnoteReference"/>
          <w:rFonts w:ascii="Verdana" w:hAnsi="Verdana"/>
          <w:vertAlign w:val="baseline"/>
        </w:rPr>
        <w:t xml:space="preserve"> </w:t>
      </w:r>
      <w:r>
        <w:rPr>
          <w:rFonts w:ascii="Verdana" w:hAnsi="Verdana"/>
        </w:rPr>
        <w:t>(</w:t>
      </w:r>
      <w:hyperlink r:id="rId1" w:history="1">
        <w:r w:rsidR="005B056C" w:rsidRPr="00196E4A">
          <w:rPr>
            <w:rStyle w:val="Hyperlink"/>
            <w:rFonts w:ascii="Verdana" w:hAnsi="Verdana"/>
          </w:rPr>
          <w:t>https://www.legislation.gov.au/Details/C2022A00088</w:t>
        </w:r>
      </w:hyperlink>
      <w:r w:rsidR="005B056C">
        <w:rPr>
          <w:rFonts w:ascii="Verdana" w:hAnsi="Verdana"/>
        </w:rPr>
        <w:t>, accessed 3 July 2023</w:t>
      </w:r>
      <w:r w:rsidR="00A231CE">
        <w:rPr>
          <w:rFonts w:ascii="Verdana" w:hAnsi="Verdana"/>
        </w:rPr>
        <w:t>)</w:t>
      </w:r>
      <w:r>
        <w:rPr>
          <w:rFonts w:ascii="Verdana" w:hAnsi="Verdana"/>
        </w:rPr>
        <w:t>.</w:t>
      </w:r>
    </w:p>
  </w:endnote>
  <w:endnote w:id="4">
    <w:p w14:paraId="03A5BA46" w14:textId="3212A391" w:rsidR="00021758" w:rsidRPr="007C4B5B" w:rsidRDefault="00021758" w:rsidP="007C4B5B">
      <w:pPr>
        <w:pStyle w:val="EndnoteText"/>
        <w:spacing w:after="200"/>
        <w:rPr>
          <w:rFonts w:ascii="Verdana" w:hAnsi="Verdana"/>
        </w:rPr>
      </w:pPr>
      <w:r w:rsidRPr="007C4B5B">
        <w:rPr>
          <w:rStyle w:val="EndnoteReference"/>
          <w:rFonts w:ascii="Verdana" w:hAnsi="Verdana"/>
        </w:rPr>
        <w:endnoteRef/>
      </w:r>
      <w:r w:rsidRPr="007C4B5B">
        <w:rPr>
          <w:rFonts w:ascii="Verdana" w:hAnsi="Verdana"/>
        </w:rPr>
        <w:t xml:space="preserve"> </w:t>
      </w:r>
      <w:r w:rsidRPr="007C4B5B">
        <w:rPr>
          <w:rFonts w:ascii="Verdana" w:hAnsi="Verdana"/>
          <w:lang w:val="x-none"/>
        </w:rPr>
        <w:t>I. Ayres and J. Braithwaite,</w:t>
      </w:r>
      <w:r w:rsidRPr="007C4B5B">
        <w:rPr>
          <w:rFonts w:ascii="Verdana" w:hAnsi="Verdana"/>
        </w:rPr>
        <w:t xml:space="preserve"> </w:t>
      </w:r>
      <w:r w:rsidRPr="007C4B5B">
        <w:rPr>
          <w:rFonts w:ascii="Verdana" w:hAnsi="Verdana"/>
          <w:i/>
          <w:lang w:val="x-none"/>
        </w:rPr>
        <w:t xml:space="preserve">Responsive Regulation: Transcending the Deregulation Debate, </w:t>
      </w:r>
      <w:r w:rsidRPr="007C4B5B">
        <w:rPr>
          <w:rFonts w:ascii="Verdana" w:hAnsi="Verdana"/>
          <w:lang w:val="x-none"/>
        </w:rPr>
        <w:t>Oxford</w:t>
      </w:r>
      <w:r w:rsidR="003C395E" w:rsidRPr="007C4B5B">
        <w:rPr>
          <w:rFonts w:ascii="Verdana" w:hAnsi="Verdana"/>
        </w:rPr>
        <w:t xml:space="preserve"> </w:t>
      </w:r>
      <w:r w:rsidRPr="007C4B5B">
        <w:rPr>
          <w:rFonts w:ascii="Verdana" w:hAnsi="Verdana"/>
          <w:lang w:val="x-none"/>
        </w:rPr>
        <w:t>University Press, Oxford, 1992</w:t>
      </w:r>
      <w:r w:rsidRPr="007C4B5B">
        <w:rPr>
          <w:rFonts w:ascii="Verdana" w:hAnsi="Verdana"/>
        </w:rPr>
        <w:t>.</w:t>
      </w:r>
    </w:p>
  </w:endnote>
  <w:endnote w:id="5">
    <w:p w14:paraId="6C19DCF2" w14:textId="77777777" w:rsidR="00E722A4" w:rsidRPr="00507BC5" w:rsidRDefault="00E722A4" w:rsidP="00507BC5">
      <w:r w:rsidRPr="00507BC5">
        <w:rPr>
          <w:rStyle w:val="EndnoteReference"/>
        </w:rPr>
        <w:endnoteRef/>
      </w:r>
      <w:r w:rsidRPr="00507BC5">
        <w:t xml:space="preserve"> Inspector–General of Water Compliance, </w:t>
      </w:r>
      <w:r w:rsidRPr="00507BC5">
        <w:rPr>
          <w:i/>
          <w:iCs/>
        </w:rPr>
        <w:t>Work Plans</w:t>
      </w:r>
      <w:r w:rsidRPr="00507BC5">
        <w:t xml:space="preserve"> (</w:t>
      </w:r>
      <w:hyperlink r:id="rId2" w:history="1">
        <w:r w:rsidRPr="00507BC5">
          <w:rPr>
            <w:rStyle w:val="Hyperlink"/>
          </w:rPr>
          <w:t>https://www.igwc.gov.au/governance</w:t>
        </w:r>
      </w:hyperlink>
      <w:r w:rsidRPr="00507BC5">
        <w:t xml:space="preserve">). </w:t>
      </w:r>
    </w:p>
  </w:endnote>
  <w:endnote w:id="6">
    <w:p w14:paraId="6EFD000C" w14:textId="6FE43CA8" w:rsidR="00956CFF" w:rsidRPr="00731D9E" w:rsidRDefault="00C45428" w:rsidP="00C45428">
      <w:r>
        <w:rPr>
          <w:rStyle w:val="EndnoteReference"/>
        </w:rPr>
        <w:endnoteRef/>
      </w:r>
      <w:r>
        <w:t xml:space="preserve"> Office of Impact Analysis, May 2021. </w:t>
      </w:r>
      <w:r>
        <w:rPr>
          <w:i/>
          <w:iCs/>
        </w:rPr>
        <w:t>R</w:t>
      </w:r>
      <w:r w:rsidRPr="00731D9E">
        <w:rPr>
          <w:i/>
          <w:iCs/>
        </w:rPr>
        <w:t xml:space="preserve">egulatory </w:t>
      </w:r>
      <w:r>
        <w:rPr>
          <w:i/>
          <w:iCs/>
        </w:rPr>
        <w:t>I</w:t>
      </w:r>
      <w:r w:rsidRPr="00731D9E">
        <w:rPr>
          <w:i/>
          <w:iCs/>
        </w:rPr>
        <w:t xml:space="preserve">mpact </w:t>
      </w:r>
      <w:r>
        <w:rPr>
          <w:i/>
          <w:iCs/>
        </w:rPr>
        <w:t>A</w:t>
      </w:r>
      <w:r w:rsidRPr="00731D9E">
        <w:rPr>
          <w:i/>
          <w:iCs/>
        </w:rPr>
        <w:t xml:space="preserve">nalysis </w:t>
      </w:r>
      <w:r>
        <w:rPr>
          <w:i/>
          <w:iCs/>
        </w:rPr>
        <w:t>G</w:t>
      </w:r>
      <w:r w:rsidRPr="00731D9E">
        <w:rPr>
          <w:i/>
          <w:iCs/>
        </w:rPr>
        <w:t xml:space="preserve">uide for </w:t>
      </w:r>
      <w:r>
        <w:rPr>
          <w:i/>
          <w:iCs/>
        </w:rPr>
        <w:t>M</w:t>
      </w:r>
      <w:r w:rsidRPr="00731D9E">
        <w:rPr>
          <w:i/>
          <w:iCs/>
        </w:rPr>
        <w:t xml:space="preserve">inisters’ </w:t>
      </w:r>
      <w:r>
        <w:rPr>
          <w:i/>
          <w:iCs/>
        </w:rPr>
        <w:t>M</w:t>
      </w:r>
      <w:r w:rsidRPr="00731D9E">
        <w:rPr>
          <w:i/>
          <w:iCs/>
        </w:rPr>
        <w:t xml:space="preserve">eetings and </w:t>
      </w:r>
      <w:r>
        <w:rPr>
          <w:i/>
          <w:iCs/>
        </w:rPr>
        <w:t>N</w:t>
      </w:r>
      <w:r w:rsidRPr="00731D9E">
        <w:rPr>
          <w:i/>
          <w:iCs/>
        </w:rPr>
        <w:t xml:space="preserve">ational </w:t>
      </w:r>
      <w:r>
        <w:rPr>
          <w:i/>
          <w:iCs/>
        </w:rPr>
        <w:t>S</w:t>
      </w:r>
      <w:r w:rsidRPr="00731D9E">
        <w:rPr>
          <w:i/>
          <w:iCs/>
        </w:rPr>
        <w:t xml:space="preserve">tandard </w:t>
      </w:r>
      <w:r>
        <w:rPr>
          <w:i/>
          <w:iCs/>
        </w:rPr>
        <w:t>S</w:t>
      </w:r>
      <w:r w:rsidRPr="00731D9E">
        <w:rPr>
          <w:i/>
          <w:iCs/>
        </w:rPr>
        <w:t xml:space="preserve">etting </w:t>
      </w:r>
      <w:r>
        <w:rPr>
          <w:i/>
          <w:iCs/>
        </w:rPr>
        <w:t>B</w:t>
      </w:r>
      <w:r w:rsidRPr="00731D9E">
        <w:rPr>
          <w:i/>
          <w:iCs/>
        </w:rPr>
        <w:t>odies</w:t>
      </w:r>
      <w:r>
        <w:t xml:space="preserve">, </w:t>
      </w:r>
      <w:hyperlink r:id="rId3" w:history="1">
        <w:r w:rsidRPr="008A12CF">
          <w:rPr>
            <w:rStyle w:val="Hyperlink"/>
          </w:rPr>
          <w:t>https://oia.pmc.gov.au/sites/default/files/2021</w:t>
        </w:r>
        <w:r w:rsidR="00F5717B">
          <w:rPr>
            <w:rStyle w:val="Hyperlink"/>
          </w:rPr>
          <w:t>–</w:t>
        </w:r>
        <w:r w:rsidRPr="008A12CF">
          <w:rPr>
            <w:rStyle w:val="Hyperlink"/>
          </w:rPr>
          <w:t>06/regulator</w:t>
        </w:r>
        <w:r w:rsidR="00F5717B">
          <w:rPr>
            <w:rStyle w:val="Hyperlink"/>
          </w:rPr>
          <w:t>–</w:t>
        </w:r>
        <w:r w:rsidRPr="008A12CF">
          <w:rPr>
            <w:rStyle w:val="Hyperlink"/>
          </w:rPr>
          <w:t>analysis</w:t>
        </w:r>
        <w:r w:rsidR="00F5717B">
          <w:rPr>
            <w:rStyle w:val="Hyperlink"/>
          </w:rPr>
          <w:t>–</w:t>
        </w:r>
        <w:r w:rsidRPr="008A12CF">
          <w:rPr>
            <w:rStyle w:val="Hyperlink"/>
          </w:rPr>
          <w:t>guide.pdf</w:t>
        </w:r>
      </w:hyperlink>
      <w:r>
        <w:t>, accessed 15 February 2023.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l?r ??u!??I"/>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c Grotesk">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7A2FB" w14:textId="7B32878D" w:rsidR="00C25829" w:rsidRDefault="00DD276C">
    <w:pPr>
      <w:pStyle w:val="Footer"/>
    </w:pPr>
    <w:r>
      <w:rPr>
        <w:noProof/>
      </w:rPr>
      <mc:AlternateContent>
        <mc:Choice Requires="wps">
          <w:drawing>
            <wp:anchor distT="0" distB="0" distL="0" distR="0" simplePos="0" relativeHeight="251687939" behindDoc="0" locked="0" layoutInCell="1" allowOverlap="1" wp14:anchorId="5C8728D4" wp14:editId="7D154CE0">
              <wp:simplePos x="635" y="635"/>
              <wp:positionH relativeFrom="page">
                <wp:align>center</wp:align>
              </wp:positionH>
              <wp:positionV relativeFrom="page">
                <wp:align>bottom</wp:align>
              </wp:positionV>
              <wp:extent cx="551815" cy="376555"/>
              <wp:effectExtent l="0" t="0" r="635" b="0"/>
              <wp:wrapNone/>
              <wp:docPr id="15550713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0E4EC93" w14:textId="4954A1E3"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728D4" id="_x0000_t202" coordsize="21600,21600" o:spt="202" path="m,l,21600r21600,l21600,xe">
              <v:stroke joinstyle="miter"/>
              <v:path gradientshapeok="t" o:connecttype="rect"/>
            </v:shapetype>
            <v:shape id="Text Box 11" o:spid="_x0000_s1029" type="#_x0000_t202" alt="OFFICIAL" style="position:absolute;margin-left:0;margin-top:0;width:43.45pt;height:29.65pt;z-index:2516879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60E4EC93" w14:textId="4954A1E3"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3409E" w14:textId="03FBA009" w:rsidR="003B25AF" w:rsidRDefault="00DD276C" w:rsidP="003311FB">
    <w:pPr>
      <w:pStyle w:val="Footer"/>
      <w:tabs>
        <w:tab w:val="clear" w:pos="4513"/>
        <w:tab w:val="clear" w:pos="9026"/>
        <w:tab w:val="right" w:pos="9638"/>
      </w:tabs>
    </w:pPr>
    <w:r>
      <w:rPr>
        <w:noProof/>
      </w:rPr>
      <mc:AlternateContent>
        <mc:Choice Requires="wps">
          <w:drawing>
            <wp:anchor distT="0" distB="0" distL="0" distR="0" simplePos="0" relativeHeight="251688963" behindDoc="0" locked="0" layoutInCell="1" allowOverlap="1" wp14:anchorId="6737312A" wp14:editId="200A0631">
              <wp:simplePos x="720725" y="9811385"/>
              <wp:positionH relativeFrom="page">
                <wp:align>center</wp:align>
              </wp:positionH>
              <wp:positionV relativeFrom="page">
                <wp:align>bottom</wp:align>
              </wp:positionV>
              <wp:extent cx="551815" cy="376555"/>
              <wp:effectExtent l="0" t="0" r="635" b="0"/>
              <wp:wrapNone/>
              <wp:docPr id="213031300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3EB1964" w14:textId="0D39CF4C"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37312A" id="_x0000_t202" coordsize="21600,21600" o:spt="202" path="m,l,21600r21600,l21600,xe">
              <v:stroke joinstyle="miter"/>
              <v:path gradientshapeok="t" o:connecttype="rect"/>
            </v:shapetype>
            <v:shape id="Text Box 12" o:spid="_x0000_s1030" type="#_x0000_t202" alt="OFFICIAL" style="position:absolute;margin-left:0;margin-top:0;width:43.45pt;height:29.65pt;z-index:2516889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23EB1964" w14:textId="0D39CF4C"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v:textbox>
              <w10:wrap anchorx="page" anchory="page"/>
            </v:shape>
          </w:pict>
        </mc:Fallback>
      </mc:AlternateContent>
    </w:r>
  </w:p>
  <w:p w14:paraId="73EBA466" w14:textId="1CB35344" w:rsidR="008A072C" w:rsidRDefault="00E57D54" w:rsidP="003311FB">
    <w:pPr>
      <w:pStyle w:val="Footer"/>
      <w:tabs>
        <w:tab w:val="clear" w:pos="4513"/>
        <w:tab w:val="clear" w:pos="9026"/>
        <w:tab w:val="right" w:pos="9638"/>
      </w:tabs>
    </w:pPr>
    <w:r>
      <w:t>Inspector–General</w:t>
    </w:r>
    <w:r w:rsidR="00682917">
      <w:t xml:space="preserve"> of Water Compliance</w:t>
    </w:r>
    <w:r w:rsidR="0068291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E4A9C" w14:textId="64972C6E" w:rsidR="00B25458" w:rsidRPr="002C07A5" w:rsidRDefault="00DD276C" w:rsidP="002C07A5">
    <w:pPr>
      <w:pStyle w:val="Footer"/>
      <w:tabs>
        <w:tab w:val="clear" w:pos="4513"/>
        <w:tab w:val="clear" w:pos="9026"/>
        <w:tab w:val="right" w:pos="9638"/>
      </w:tabs>
      <w:rPr>
        <w:color w:val="FFFFFF"/>
      </w:rPr>
    </w:pPr>
    <w:r>
      <w:rPr>
        <w:noProof/>
        <w:color w:val="FFFFFF"/>
      </w:rPr>
      <mc:AlternateContent>
        <mc:Choice Requires="wps">
          <w:drawing>
            <wp:anchor distT="0" distB="0" distL="0" distR="0" simplePos="0" relativeHeight="251686915" behindDoc="0" locked="0" layoutInCell="1" allowOverlap="1" wp14:anchorId="169073AC" wp14:editId="35CC04A9">
              <wp:simplePos x="723900" y="9937750"/>
              <wp:positionH relativeFrom="page">
                <wp:align>center</wp:align>
              </wp:positionH>
              <wp:positionV relativeFrom="page">
                <wp:align>bottom</wp:align>
              </wp:positionV>
              <wp:extent cx="551815" cy="376555"/>
              <wp:effectExtent l="0" t="0" r="635" b="0"/>
              <wp:wrapNone/>
              <wp:docPr id="538806636"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6CF1669" w14:textId="619B9841"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9073AC"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869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56CF1669" w14:textId="619B9841"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5F66D" w14:textId="4A841A5F" w:rsidR="00C25829" w:rsidRDefault="00DD276C">
    <w:pPr>
      <w:pStyle w:val="Footer"/>
    </w:pPr>
    <w:r>
      <w:rPr>
        <w:noProof/>
      </w:rPr>
      <mc:AlternateContent>
        <mc:Choice Requires="wps">
          <w:drawing>
            <wp:anchor distT="0" distB="0" distL="0" distR="0" simplePos="0" relativeHeight="251691011" behindDoc="0" locked="0" layoutInCell="1" allowOverlap="1" wp14:anchorId="48F47DEF" wp14:editId="2F80528A">
              <wp:simplePos x="635" y="635"/>
              <wp:positionH relativeFrom="page">
                <wp:align>center</wp:align>
              </wp:positionH>
              <wp:positionV relativeFrom="page">
                <wp:align>bottom</wp:align>
              </wp:positionV>
              <wp:extent cx="551815" cy="376555"/>
              <wp:effectExtent l="0" t="0" r="635" b="0"/>
              <wp:wrapNone/>
              <wp:docPr id="1745395761"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688EBC" w14:textId="1D38A92D"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F47DEF" id="_x0000_t202" coordsize="21600,21600" o:spt="202" path="m,l,21600r21600,l21600,xe">
              <v:stroke joinstyle="miter"/>
              <v:path gradientshapeok="t" o:connecttype="rect"/>
            </v:shapetype>
            <v:shape id="Text Box 14" o:spid="_x0000_s1035" type="#_x0000_t202" alt="OFFICIAL" style="position:absolute;margin-left:0;margin-top:0;width:43.45pt;height:29.65pt;z-index:2516910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43688EBC" w14:textId="1D38A92D"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3666D" w14:textId="26B1AF43" w:rsidR="00752075" w:rsidRDefault="00DD276C" w:rsidP="003311FB">
    <w:pPr>
      <w:pStyle w:val="Footer"/>
      <w:tabs>
        <w:tab w:val="clear" w:pos="4513"/>
        <w:tab w:val="clear" w:pos="9026"/>
        <w:tab w:val="right" w:pos="9638"/>
      </w:tabs>
    </w:pPr>
    <w:r>
      <w:rPr>
        <w:noProof/>
      </w:rPr>
      <mc:AlternateContent>
        <mc:Choice Requires="wps">
          <w:drawing>
            <wp:anchor distT="0" distB="0" distL="0" distR="0" simplePos="0" relativeHeight="251692035" behindDoc="0" locked="0" layoutInCell="1" allowOverlap="1" wp14:anchorId="099D547E" wp14:editId="4A95515A">
              <wp:simplePos x="635" y="635"/>
              <wp:positionH relativeFrom="page">
                <wp:align>center</wp:align>
              </wp:positionH>
              <wp:positionV relativeFrom="page">
                <wp:align>bottom</wp:align>
              </wp:positionV>
              <wp:extent cx="551815" cy="376555"/>
              <wp:effectExtent l="0" t="0" r="635" b="0"/>
              <wp:wrapNone/>
              <wp:docPr id="800771204"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36C929E" w14:textId="774171C4"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9D547E" id="_x0000_t202" coordsize="21600,21600" o:spt="202" path="m,l,21600r21600,l21600,xe">
              <v:stroke joinstyle="miter"/>
              <v:path gradientshapeok="t" o:connecttype="rect"/>
            </v:shapetype>
            <v:shape id="Text Box 15" o:spid="_x0000_s1036" type="#_x0000_t202" alt="OFFICIAL" style="position:absolute;margin-left:0;margin-top:0;width:43.45pt;height:29.65pt;z-index:2516920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036C929E" w14:textId="774171C4"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v:textbox>
              <w10:wrap anchorx="page" anchory="page"/>
            </v:shape>
          </w:pict>
        </mc:Fallback>
      </mc:AlternateContent>
    </w:r>
  </w:p>
  <w:p w14:paraId="43DD125A" w14:textId="36016AD6" w:rsidR="00752075" w:rsidRDefault="00E57D54" w:rsidP="003311FB">
    <w:pPr>
      <w:pStyle w:val="Footer"/>
      <w:tabs>
        <w:tab w:val="clear" w:pos="4513"/>
        <w:tab w:val="clear" w:pos="9026"/>
        <w:tab w:val="right" w:pos="9638"/>
      </w:tabs>
    </w:pPr>
    <w:r>
      <w:t>Inspector–General</w:t>
    </w:r>
    <w:r w:rsidR="00752075">
      <w:t xml:space="preserve"> of Water Compliance</w:t>
    </w:r>
    <w:r w:rsidR="00752075">
      <w:tab/>
    </w:r>
    <w:r w:rsidR="00752075">
      <w:fldChar w:fldCharType="begin"/>
    </w:r>
    <w:r w:rsidR="00752075">
      <w:instrText xml:space="preserve"> PAGE   \* MERGEFORMAT </w:instrText>
    </w:r>
    <w:r w:rsidR="00752075">
      <w:fldChar w:fldCharType="separate"/>
    </w:r>
    <w:r w:rsidR="00752075">
      <w:t>2</w:t>
    </w:r>
    <w:r w:rsidR="00752075">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96F8E" w14:textId="763F4894" w:rsidR="00C25829" w:rsidRDefault="00DD276C">
    <w:pPr>
      <w:pStyle w:val="Footer"/>
    </w:pPr>
    <w:r>
      <w:rPr>
        <w:noProof/>
      </w:rPr>
      <mc:AlternateContent>
        <mc:Choice Requires="wps">
          <w:drawing>
            <wp:anchor distT="0" distB="0" distL="0" distR="0" simplePos="0" relativeHeight="251689987" behindDoc="0" locked="0" layoutInCell="1" allowOverlap="1" wp14:anchorId="74D04FF9" wp14:editId="785FDB7B">
              <wp:simplePos x="635" y="635"/>
              <wp:positionH relativeFrom="page">
                <wp:align>center</wp:align>
              </wp:positionH>
              <wp:positionV relativeFrom="page">
                <wp:align>bottom</wp:align>
              </wp:positionV>
              <wp:extent cx="551815" cy="376555"/>
              <wp:effectExtent l="0" t="0" r="635" b="0"/>
              <wp:wrapNone/>
              <wp:docPr id="693034615"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E9ED49" w14:textId="4340E30F"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D04FF9" id="_x0000_t202" coordsize="21600,21600" o:spt="202" path="m,l,21600r21600,l21600,xe">
              <v:stroke joinstyle="miter"/>
              <v:path gradientshapeok="t" o:connecttype="rect"/>
            </v:shapetype>
            <v:shape id="Text Box 13" o:spid="_x0000_s1038" type="#_x0000_t202" alt="OFFICIAL" style="position:absolute;margin-left:0;margin-top:0;width:43.45pt;height:29.65pt;z-index:2516899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62E9ED49" w14:textId="4340E30F"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FE026" w14:textId="3498B716" w:rsidR="00C25829" w:rsidRDefault="00DD276C">
    <w:pPr>
      <w:pStyle w:val="Footer"/>
    </w:pPr>
    <w:r>
      <w:rPr>
        <w:noProof/>
      </w:rPr>
      <mc:AlternateContent>
        <mc:Choice Requires="wps">
          <w:drawing>
            <wp:anchor distT="0" distB="0" distL="0" distR="0" simplePos="0" relativeHeight="251694083" behindDoc="0" locked="0" layoutInCell="1" allowOverlap="1" wp14:anchorId="61B4937E" wp14:editId="29E22822">
              <wp:simplePos x="635" y="635"/>
              <wp:positionH relativeFrom="page">
                <wp:align>center</wp:align>
              </wp:positionH>
              <wp:positionV relativeFrom="page">
                <wp:align>bottom</wp:align>
              </wp:positionV>
              <wp:extent cx="551815" cy="376555"/>
              <wp:effectExtent l="0" t="0" r="635" b="0"/>
              <wp:wrapNone/>
              <wp:docPr id="256146973"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597493" w14:textId="1CDA03AC"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B4937E" id="_x0000_t202" coordsize="21600,21600" o:spt="202" path="m,l,21600r21600,l21600,xe">
              <v:stroke joinstyle="miter"/>
              <v:path gradientshapeok="t" o:connecttype="rect"/>
            </v:shapetype>
            <v:shape id="Text Box 17" o:spid="_x0000_s1041" type="#_x0000_t202" alt="OFFICIAL" style="position:absolute;margin-left:0;margin-top:0;width:43.45pt;height:29.65pt;z-index:2516940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fill o:detectmouseclick="t"/>
              <v:textbox style="mso-fit-shape-to-text:t" inset="0,0,0,15pt">
                <w:txbxContent>
                  <w:p w14:paraId="62597493" w14:textId="1CDA03AC"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E36A6" w14:textId="4AC9F08D" w:rsidR="00AB56BB" w:rsidRDefault="00DD276C" w:rsidP="003311FB">
    <w:pPr>
      <w:pStyle w:val="Footer"/>
      <w:tabs>
        <w:tab w:val="clear" w:pos="4513"/>
        <w:tab w:val="clear" w:pos="9026"/>
        <w:tab w:val="right" w:pos="9638"/>
      </w:tabs>
    </w:pPr>
    <w:r>
      <w:rPr>
        <w:noProof/>
      </w:rPr>
      <mc:AlternateContent>
        <mc:Choice Requires="wps">
          <w:drawing>
            <wp:anchor distT="0" distB="0" distL="0" distR="0" simplePos="0" relativeHeight="251695107" behindDoc="0" locked="0" layoutInCell="1" allowOverlap="1" wp14:anchorId="401E3E2B" wp14:editId="540B88B8">
              <wp:simplePos x="635" y="635"/>
              <wp:positionH relativeFrom="page">
                <wp:align>center</wp:align>
              </wp:positionH>
              <wp:positionV relativeFrom="page">
                <wp:align>bottom</wp:align>
              </wp:positionV>
              <wp:extent cx="551815" cy="376555"/>
              <wp:effectExtent l="0" t="0" r="635" b="0"/>
              <wp:wrapNone/>
              <wp:docPr id="2042691641"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C62A68E" w14:textId="2F9C769F"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1E3E2B" id="_x0000_t202" coordsize="21600,21600" o:spt="202" path="m,l,21600r21600,l21600,xe">
              <v:stroke joinstyle="miter"/>
              <v:path gradientshapeok="t" o:connecttype="rect"/>
            </v:shapetype>
            <v:shape id="Text Box 18" o:spid="_x0000_s1042" type="#_x0000_t202" alt="OFFICIAL" style="position:absolute;margin-left:0;margin-top:0;width:43.45pt;height:29.65pt;z-index:2516951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3C62A68E" w14:textId="2F9C769F"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v:textbox>
              <w10:wrap anchorx="page" anchory="page"/>
            </v:shape>
          </w:pict>
        </mc:Fallback>
      </mc:AlternateContent>
    </w:r>
  </w:p>
  <w:p w14:paraId="6B635CA3" w14:textId="2BAC7636" w:rsidR="00AB56BB" w:rsidRDefault="00E57D54" w:rsidP="003311FB">
    <w:pPr>
      <w:pStyle w:val="Footer"/>
      <w:tabs>
        <w:tab w:val="clear" w:pos="4513"/>
        <w:tab w:val="clear" w:pos="9026"/>
        <w:tab w:val="right" w:pos="9638"/>
      </w:tabs>
    </w:pPr>
    <w:r>
      <w:t>Inspector–General</w:t>
    </w:r>
    <w:r w:rsidR="00AB56BB">
      <w:t xml:space="preserve"> of Water Compliance</w:t>
    </w:r>
    <w:r w:rsidR="00AB56BB">
      <w:tab/>
    </w:r>
    <w:r w:rsidR="00AB56BB">
      <w:fldChar w:fldCharType="begin"/>
    </w:r>
    <w:r w:rsidR="00AB56BB">
      <w:instrText xml:space="preserve"> PAGE   \* MERGEFORMAT </w:instrText>
    </w:r>
    <w:r w:rsidR="00AB56BB">
      <w:fldChar w:fldCharType="separate"/>
    </w:r>
    <w:r w:rsidR="00AB56BB">
      <w:t>2</w:t>
    </w:r>
    <w:r w:rsidR="00AB56BB">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77AFC" w14:textId="1A884D87" w:rsidR="00C25829" w:rsidRDefault="00DD276C">
    <w:pPr>
      <w:pStyle w:val="Footer"/>
    </w:pPr>
    <w:r>
      <w:rPr>
        <w:noProof/>
      </w:rPr>
      <mc:AlternateContent>
        <mc:Choice Requires="wps">
          <w:drawing>
            <wp:anchor distT="0" distB="0" distL="0" distR="0" simplePos="0" relativeHeight="251693059" behindDoc="0" locked="0" layoutInCell="1" allowOverlap="1" wp14:anchorId="7A12E6EB" wp14:editId="342C05E7">
              <wp:simplePos x="635" y="635"/>
              <wp:positionH relativeFrom="page">
                <wp:align>center</wp:align>
              </wp:positionH>
              <wp:positionV relativeFrom="page">
                <wp:align>bottom</wp:align>
              </wp:positionV>
              <wp:extent cx="551815" cy="376555"/>
              <wp:effectExtent l="0" t="0" r="635" b="0"/>
              <wp:wrapNone/>
              <wp:docPr id="900795705"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6A13654" w14:textId="71ADE750"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12E6EB" id="_x0000_t202" coordsize="21600,21600" o:spt="202" path="m,l,21600r21600,l21600,xe">
              <v:stroke joinstyle="miter"/>
              <v:path gradientshapeok="t" o:connecttype="rect"/>
            </v:shapetype>
            <v:shape id="Text Box 16" o:spid="_x0000_s1044" type="#_x0000_t202" alt="OFFICIAL" style="position:absolute;margin-left:0;margin-top:0;width:43.45pt;height:29.65pt;z-index:2516930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GYDwIAAB0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dg95+m9rfQHHEqB+PCveWrDmuvmQ9PzOGGcRBU&#10;bXjEQyroawoni5IW3M+/+WM+Eo9RSnpUTE0NSpoS9d3gQqK4JsNNxjYZxZe8zDFu9voOUIcFPgnL&#10;k4leF9RkSgf6BfW8jIUwxAzHcjXdTuZdGKWL74GL5TIloY4sC2uzsTxCR74imc/DC3P2xHjAVT3A&#10;JCdWvSF+zI03vV3uA9KfthK5HYk8UY4aTHs9vZco8tf/Kevyqhe/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dGBmA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06A13654" w14:textId="71ADE750"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EBB565" w14:textId="77777777" w:rsidR="00877C55" w:rsidRDefault="00877C55">
      <w:r>
        <w:separator/>
      </w:r>
    </w:p>
  </w:footnote>
  <w:footnote w:type="continuationSeparator" w:id="0">
    <w:p w14:paraId="6054F3DF" w14:textId="77777777" w:rsidR="00877C55" w:rsidRDefault="00877C55">
      <w:r>
        <w:continuationSeparator/>
      </w:r>
    </w:p>
  </w:footnote>
  <w:footnote w:type="continuationNotice" w:id="1">
    <w:p w14:paraId="048389F4" w14:textId="77777777" w:rsidR="00877C55" w:rsidRDefault="00877C5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E056A" w14:textId="4F06AA73" w:rsidR="00C25829" w:rsidRDefault="00DD276C">
    <w:pPr>
      <w:pStyle w:val="Header"/>
    </w:pPr>
    <w:r>
      <w:rPr>
        <w:noProof/>
      </w:rPr>
      <mc:AlternateContent>
        <mc:Choice Requires="wps">
          <w:drawing>
            <wp:anchor distT="0" distB="0" distL="0" distR="0" simplePos="0" relativeHeight="251678723" behindDoc="0" locked="0" layoutInCell="1" allowOverlap="1" wp14:anchorId="4DC5CC3A" wp14:editId="7D87048F">
              <wp:simplePos x="635" y="635"/>
              <wp:positionH relativeFrom="page">
                <wp:align>center</wp:align>
              </wp:positionH>
              <wp:positionV relativeFrom="page">
                <wp:align>top</wp:align>
              </wp:positionV>
              <wp:extent cx="551815" cy="376555"/>
              <wp:effectExtent l="0" t="0" r="635" b="4445"/>
              <wp:wrapNone/>
              <wp:docPr id="201188593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16D9E8C" w14:textId="156842DE"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C5CC3A" id="_x0000_t202" coordsize="21600,21600" o:spt="202" path="m,l,21600r21600,l21600,xe">
              <v:stroke joinstyle="miter"/>
              <v:path gradientshapeok="t" o:connecttype="rect"/>
            </v:shapetype>
            <v:shape id="Text Box 2" o:spid="_x0000_s1027" type="#_x0000_t202" alt="OFFICIAL" style="position:absolute;margin-left:0;margin-top:0;width:43.45pt;height:29.65pt;z-index:2516787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716D9E8C" w14:textId="156842DE"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861FC" w14:textId="4AE78F09" w:rsidR="00C25829" w:rsidRDefault="00DD276C">
    <w:pPr>
      <w:pStyle w:val="Header"/>
    </w:pPr>
    <w:r>
      <w:rPr>
        <w:noProof/>
      </w:rPr>
      <mc:AlternateContent>
        <mc:Choice Requires="wps">
          <w:drawing>
            <wp:anchor distT="0" distB="0" distL="0" distR="0" simplePos="0" relativeHeight="251679747" behindDoc="0" locked="0" layoutInCell="1" allowOverlap="1" wp14:anchorId="306735C5" wp14:editId="3FABC031">
              <wp:simplePos x="720725" y="270510"/>
              <wp:positionH relativeFrom="page">
                <wp:align>center</wp:align>
              </wp:positionH>
              <wp:positionV relativeFrom="page">
                <wp:align>top</wp:align>
              </wp:positionV>
              <wp:extent cx="551815" cy="376555"/>
              <wp:effectExtent l="0" t="0" r="635" b="4445"/>
              <wp:wrapNone/>
              <wp:docPr id="149924651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0549803" w14:textId="48585487"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6735C5" id="_x0000_t202" coordsize="21600,21600" o:spt="202" path="m,l,21600r21600,l21600,xe">
              <v:stroke joinstyle="miter"/>
              <v:path gradientshapeok="t" o:connecttype="rect"/>
            </v:shapetype>
            <v:shape id="Text Box 3" o:spid="_x0000_s1028" type="#_x0000_t202" alt="OFFICIAL" style="position:absolute;margin-left:0;margin-top:0;width:43.45pt;height:29.65pt;z-index:2516797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00549803" w14:textId="48585487"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64AE5" w14:textId="4F7BADF3" w:rsidR="008112D5" w:rsidRDefault="00DD276C" w:rsidP="00071327">
    <w:pPr>
      <w:rPr>
        <w:color w:val="00B050"/>
      </w:rPr>
    </w:pPr>
    <w:r>
      <w:rPr>
        <w:noProof/>
      </w:rPr>
      <mc:AlternateContent>
        <mc:Choice Requires="wps">
          <w:drawing>
            <wp:anchor distT="0" distB="0" distL="0" distR="0" simplePos="0" relativeHeight="251677699" behindDoc="0" locked="0" layoutInCell="1" allowOverlap="1" wp14:anchorId="25942AF6" wp14:editId="0B0C26DE">
              <wp:simplePos x="723900" y="273050"/>
              <wp:positionH relativeFrom="page">
                <wp:align>center</wp:align>
              </wp:positionH>
              <wp:positionV relativeFrom="page">
                <wp:align>top</wp:align>
              </wp:positionV>
              <wp:extent cx="551815" cy="376555"/>
              <wp:effectExtent l="0" t="0" r="635" b="4445"/>
              <wp:wrapNone/>
              <wp:docPr id="81401150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5077610" w14:textId="5A48F7F6"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942AF6" id="_x0000_t202" coordsize="21600,21600" o:spt="202" path="m,l,21600r21600,l21600,xe">
              <v:stroke joinstyle="miter"/>
              <v:path gradientshapeok="t" o:connecttype="rect"/>
            </v:shapetype>
            <v:shape id="Text Box 1" o:spid="_x0000_s1031" type="#_x0000_t202" alt="OFFICIAL" style="position:absolute;margin-left:0;margin-top:0;width:43.45pt;height:29.65pt;z-index:2516776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15077610" w14:textId="5A48F7F6"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v:textbox>
              <w10:wrap anchorx="page" anchory="page"/>
            </v:shape>
          </w:pict>
        </mc:Fallback>
      </mc:AlternateContent>
    </w:r>
  </w:p>
  <w:p w14:paraId="53F71194" w14:textId="6134C06C" w:rsidR="008112D5" w:rsidRDefault="008112D5" w:rsidP="00071327">
    <w:pPr>
      <w:rPr>
        <w:color w:val="00B050"/>
      </w:rPr>
    </w:pPr>
  </w:p>
  <w:p w14:paraId="123E1F86" w14:textId="16A2438F" w:rsidR="008112D5" w:rsidRDefault="008112D5" w:rsidP="00071327">
    <w:pPr>
      <w:rPr>
        <w:color w:val="00B050"/>
      </w:rPr>
    </w:pPr>
  </w:p>
  <w:p w14:paraId="1B0F88F2" w14:textId="7D9A7F57" w:rsidR="008112D5" w:rsidRDefault="008112D5" w:rsidP="00071327">
    <w:pPr>
      <w:rPr>
        <w:color w:val="00B050"/>
      </w:rPr>
    </w:pPr>
  </w:p>
  <w:p w14:paraId="7A148007" w14:textId="0DDA474E" w:rsidR="008112D5" w:rsidRDefault="008112D5" w:rsidP="00071327">
    <w:pPr>
      <w:rPr>
        <w:color w:val="00B050"/>
      </w:rPr>
    </w:pPr>
  </w:p>
  <w:p w14:paraId="10DC741B" w14:textId="46DB5C64" w:rsidR="008112D5" w:rsidRDefault="008112D5" w:rsidP="00071327">
    <w:pPr>
      <w:rPr>
        <w:color w:val="00B050"/>
      </w:rPr>
    </w:pPr>
  </w:p>
  <w:p w14:paraId="3941D862" w14:textId="4519F8BA" w:rsidR="008112D5" w:rsidRDefault="008112D5" w:rsidP="00071327">
    <w:pPr>
      <w:rPr>
        <w:color w:val="00B050"/>
      </w:rPr>
    </w:pPr>
  </w:p>
  <w:p w14:paraId="1067C859" w14:textId="77777777" w:rsidR="008112D5" w:rsidRDefault="008112D5" w:rsidP="00071327">
    <w:pPr>
      <w:rPr>
        <w:color w:val="00B050"/>
      </w:rPr>
    </w:pPr>
  </w:p>
  <w:p w14:paraId="595BFD6C" w14:textId="7291241F" w:rsidR="002C07A5" w:rsidRPr="00DC6237" w:rsidRDefault="002C07A5" w:rsidP="00071327">
    <w:pPr>
      <w:rPr>
        <w:color w:val="00B05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ED25E" w14:textId="66CF1E30" w:rsidR="00C25829" w:rsidRDefault="00DD276C">
    <w:pPr>
      <w:pStyle w:val="Header"/>
    </w:pPr>
    <w:r>
      <w:rPr>
        <w:noProof/>
      </w:rPr>
      <mc:AlternateContent>
        <mc:Choice Requires="wps">
          <w:drawing>
            <wp:anchor distT="0" distB="0" distL="0" distR="0" simplePos="0" relativeHeight="251681795" behindDoc="0" locked="0" layoutInCell="1" allowOverlap="1" wp14:anchorId="32C5F4E0" wp14:editId="56A24330">
              <wp:simplePos x="635" y="635"/>
              <wp:positionH relativeFrom="page">
                <wp:align>center</wp:align>
              </wp:positionH>
              <wp:positionV relativeFrom="page">
                <wp:align>top</wp:align>
              </wp:positionV>
              <wp:extent cx="551815" cy="376555"/>
              <wp:effectExtent l="0" t="0" r="635" b="4445"/>
              <wp:wrapNone/>
              <wp:docPr id="27525851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A8D435F" w14:textId="485E73CB"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C5F4E0" id="_x0000_t202" coordsize="21600,21600" o:spt="202" path="m,l,21600r21600,l21600,xe">
              <v:stroke joinstyle="miter"/>
              <v:path gradientshapeok="t" o:connecttype="rect"/>
            </v:shapetype>
            <v:shape id="Text Box 5" o:spid="_x0000_s1033" type="#_x0000_t202" alt="OFFICIAL" style="position:absolute;margin-left:0;margin-top:0;width:43.45pt;height:29.65pt;z-index:2516817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6A8D435F" w14:textId="485E73CB"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C5DD5" w14:textId="3A7CFCD8" w:rsidR="00C25829" w:rsidRDefault="00DD276C">
    <w:pPr>
      <w:pStyle w:val="Header"/>
    </w:pPr>
    <w:r>
      <w:rPr>
        <w:noProof/>
      </w:rPr>
      <mc:AlternateContent>
        <mc:Choice Requires="wps">
          <w:drawing>
            <wp:anchor distT="0" distB="0" distL="0" distR="0" simplePos="0" relativeHeight="251682819" behindDoc="0" locked="0" layoutInCell="1" allowOverlap="1" wp14:anchorId="67FCB1E0" wp14:editId="55879A4C">
              <wp:simplePos x="635" y="635"/>
              <wp:positionH relativeFrom="page">
                <wp:align>center</wp:align>
              </wp:positionH>
              <wp:positionV relativeFrom="page">
                <wp:align>top</wp:align>
              </wp:positionV>
              <wp:extent cx="551815" cy="376555"/>
              <wp:effectExtent l="0" t="0" r="635" b="4445"/>
              <wp:wrapNone/>
              <wp:docPr id="100044839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28040CD" w14:textId="2D42B744"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FCB1E0" id="_x0000_t202" coordsize="21600,21600" o:spt="202" path="m,l,21600r21600,l21600,xe">
              <v:stroke joinstyle="miter"/>
              <v:path gradientshapeok="t" o:connecttype="rect"/>
            </v:shapetype>
            <v:shape id="Text Box 6" o:spid="_x0000_s1034" type="#_x0000_t202" alt="OFFICIAL" style="position:absolute;margin-left:0;margin-top:0;width:43.45pt;height:29.65pt;z-index:2516828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fill o:detectmouseclick="t"/>
              <v:textbox style="mso-fit-shape-to-text:t" inset="0,15pt,0,0">
                <w:txbxContent>
                  <w:p w14:paraId="228040CD" w14:textId="2D42B744"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0C68E" w14:textId="7A527E25" w:rsidR="00752075" w:rsidRDefault="00DD276C" w:rsidP="00071327">
    <w:pPr>
      <w:rPr>
        <w:color w:val="00B050"/>
      </w:rPr>
    </w:pPr>
    <w:r>
      <w:rPr>
        <w:noProof/>
      </w:rPr>
      <mc:AlternateContent>
        <mc:Choice Requires="wps">
          <w:drawing>
            <wp:anchor distT="0" distB="0" distL="0" distR="0" simplePos="0" relativeHeight="251680771" behindDoc="0" locked="0" layoutInCell="1" allowOverlap="1" wp14:anchorId="49BE4CB3" wp14:editId="4D759B92">
              <wp:simplePos x="635" y="635"/>
              <wp:positionH relativeFrom="page">
                <wp:align>center</wp:align>
              </wp:positionH>
              <wp:positionV relativeFrom="page">
                <wp:align>top</wp:align>
              </wp:positionV>
              <wp:extent cx="551815" cy="376555"/>
              <wp:effectExtent l="0" t="0" r="635" b="4445"/>
              <wp:wrapNone/>
              <wp:docPr id="192600945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3800B82" w14:textId="12467856"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BE4CB3" id="_x0000_t202" coordsize="21600,21600" o:spt="202" path="m,l,21600r21600,l21600,xe">
              <v:stroke joinstyle="miter"/>
              <v:path gradientshapeok="t" o:connecttype="rect"/>
            </v:shapetype>
            <v:shape id="Text Box 4" o:spid="_x0000_s1037" type="#_x0000_t202" alt="OFFICIAL" style="position:absolute;margin-left:0;margin-top:0;width:43.45pt;height:29.65pt;z-index:2516807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73800B82" w14:textId="12467856"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v:textbox>
              <w10:wrap anchorx="page" anchory="page"/>
            </v:shape>
          </w:pict>
        </mc:Fallback>
      </mc:AlternateContent>
    </w:r>
    <w:r w:rsidR="00752075" w:rsidRPr="003A6733">
      <w:rPr>
        <w:noProof/>
      </w:rPr>
      <w:drawing>
        <wp:anchor distT="0" distB="0" distL="114300" distR="114300" simplePos="0" relativeHeight="251658242" behindDoc="1" locked="0" layoutInCell="1" allowOverlap="1" wp14:anchorId="0B9C0D04" wp14:editId="76617637">
          <wp:simplePos x="0" y="0"/>
          <wp:positionH relativeFrom="column">
            <wp:posOffset>-709295</wp:posOffset>
          </wp:positionH>
          <wp:positionV relativeFrom="paragraph">
            <wp:posOffset>-272143</wp:posOffset>
          </wp:positionV>
          <wp:extent cx="7597588" cy="10751549"/>
          <wp:effectExtent l="0" t="0" r="0" b="5715"/>
          <wp:wrapNone/>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7588" cy="10751549"/>
                  </a:xfrm>
                  <a:prstGeom prst="rect">
                    <a:avLst/>
                  </a:prstGeom>
                </pic:spPr>
              </pic:pic>
            </a:graphicData>
          </a:graphic>
          <wp14:sizeRelH relativeFrom="page">
            <wp14:pctWidth>0</wp14:pctWidth>
          </wp14:sizeRelH>
          <wp14:sizeRelV relativeFrom="page">
            <wp14:pctHeight>0</wp14:pctHeight>
          </wp14:sizeRelV>
        </wp:anchor>
      </w:drawing>
    </w:r>
  </w:p>
  <w:p w14:paraId="46DE0F80" w14:textId="77777777" w:rsidR="00752075" w:rsidRDefault="00752075" w:rsidP="00071327">
    <w:pPr>
      <w:rPr>
        <w:color w:val="00B050"/>
      </w:rPr>
    </w:pPr>
  </w:p>
  <w:p w14:paraId="50057A24" w14:textId="77777777" w:rsidR="00752075" w:rsidRDefault="00752075" w:rsidP="00071327">
    <w:pPr>
      <w:rPr>
        <w:color w:val="00B050"/>
      </w:rPr>
    </w:pPr>
  </w:p>
  <w:p w14:paraId="7D2B8C58" w14:textId="77777777" w:rsidR="00752075" w:rsidRDefault="00752075" w:rsidP="00071327">
    <w:pPr>
      <w:rPr>
        <w:color w:val="00B050"/>
      </w:rPr>
    </w:pPr>
  </w:p>
  <w:p w14:paraId="0AB400EF" w14:textId="77777777" w:rsidR="00752075" w:rsidRDefault="00752075" w:rsidP="00071327">
    <w:pPr>
      <w:rPr>
        <w:color w:val="00B050"/>
      </w:rPr>
    </w:pPr>
  </w:p>
  <w:p w14:paraId="36949922" w14:textId="77777777" w:rsidR="00752075" w:rsidRDefault="00752075" w:rsidP="00071327">
    <w:pPr>
      <w:rPr>
        <w:color w:val="00B050"/>
      </w:rPr>
    </w:pPr>
  </w:p>
  <w:p w14:paraId="7DC36BB0" w14:textId="77777777" w:rsidR="00752075" w:rsidRDefault="00752075" w:rsidP="00071327">
    <w:pPr>
      <w:rPr>
        <w:color w:val="00B050"/>
      </w:rPr>
    </w:pPr>
  </w:p>
  <w:p w14:paraId="4D0743EF" w14:textId="77777777" w:rsidR="00752075" w:rsidRDefault="00752075" w:rsidP="00071327">
    <w:pPr>
      <w:rPr>
        <w:color w:val="00B050"/>
      </w:rPr>
    </w:pPr>
  </w:p>
  <w:p w14:paraId="2AC6118D" w14:textId="77777777" w:rsidR="00752075" w:rsidRPr="00DC6237" w:rsidRDefault="00752075" w:rsidP="00071327">
    <w:pPr>
      <w:rPr>
        <w:color w:val="00B050"/>
      </w:rPr>
    </w:pPr>
    <w:r>
      <w:rPr>
        <w:noProof/>
      </w:rPr>
      <w:drawing>
        <wp:anchor distT="0" distB="0" distL="114300" distR="114300" simplePos="0" relativeHeight="251658243" behindDoc="1" locked="0" layoutInCell="1" allowOverlap="1" wp14:anchorId="6FA87EE8" wp14:editId="3F8BEF20">
          <wp:simplePos x="0" y="0"/>
          <wp:positionH relativeFrom="page">
            <wp:posOffset>720090</wp:posOffset>
          </wp:positionH>
          <wp:positionV relativeFrom="page">
            <wp:posOffset>269240</wp:posOffset>
          </wp:positionV>
          <wp:extent cx="3600450" cy="1040130"/>
          <wp:effectExtent l="0" t="0" r="0" b="0"/>
          <wp:wrapNone/>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360045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878C8" w14:textId="43EB5BA3" w:rsidR="00C25829" w:rsidRDefault="00DD276C">
    <w:pPr>
      <w:pStyle w:val="Header"/>
    </w:pPr>
    <w:r>
      <w:rPr>
        <w:noProof/>
      </w:rPr>
      <mc:AlternateContent>
        <mc:Choice Requires="wps">
          <w:drawing>
            <wp:anchor distT="0" distB="0" distL="0" distR="0" simplePos="0" relativeHeight="251684867" behindDoc="0" locked="0" layoutInCell="1" allowOverlap="1" wp14:anchorId="372767ED" wp14:editId="6D040618">
              <wp:simplePos x="635" y="635"/>
              <wp:positionH relativeFrom="page">
                <wp:align>center</wp:align>
              </wp:positionH>
              <wp:positionV relativeFrom="page">
                <wp:align>top</wp:align>
              </wp:positionV>
              <wp:extent cx="551815" cy="376555"/>
              <wp:effectExtent l="0" t="0" r="635" b="4445"/>
              <wp:wrapNone/>
              <wp:docPr id="62981562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549AADA" w14:textId="562C5D5D"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2767ED" id="_x0000_t202" coordsize="21600,21600" o:spt="202" path="m,l,21600r21600,l21600,xe">
              <v:stroke joinstyle="miter"/>
              <v:path gradientshapeok="t" o:connecttype="rect"/>
            </v:shapetype>
            <v:shape id="Text Box 8" o:spid="_x0000_s1039" type="#_x0000_t202" alt="OFFICIAL" style="position:absolute;margin-left:0;margin-top:0;width:43.45pt;height:29.65pt;z-index:2516848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oKs2cDgIAAB0E&#10;AAAOAAAAAAAAAAAAAAAAAC4CAABkcnMvZTJvRG9jLnhtbFBLAQItABQABgAIAAAAIQDDiR132gAA&#10;AAMBAAAPAAAAAAAAAAAAAAAAAGgEAABkcnMvZG93bnJldi54bWxQSwUGAAAAAAQABADzAAAAbwUA&#10;AAAA&#10;" filled="f" stroked="f">
              <v:fill o:detectmouseclick="t"/>
              <v:textbox style="mso-fit-shape-to-text:t" inset="0,15pt,0,0">
                <w:txbxContent>
                  <w:p w14:paraId="6549AADA" w14:textId="562C5D5D"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DEAF8" w14:textId="701C2BF7" w:rsidR="00C25829" w:rsidRDefault="00DD276C">
    <w:pPr>
      <w:pStyle w:val="Header"/>
    </w:pPr>
    <w:r>
      <w:rPr>
        <w:noProof/>
      </w:rPr>
      <mc:AlternateContent>
        <mc:Choice Requires="wps">
          <w:drawing>
            <wp:anchor distT="0" distB="0" distL="0" distR="0" simplePos="0" relativeHeight="251685891" behindDoc="0" locked="0" layoutInCell="1" allowOverlap="1" wp14:anchorId="03CF844B" wp14:editId="27A038BB">
              <wp:simplePos x="635" y="635"/>
              <wp:positionH relativeFrom="page">
                <wp:align>center</wp:align>
              </wp:positionH>
              <wp:positionV relativeFrom="page">
                <wp:align>top</wp:align>
              </wp:positionV>
              <wp:extent cx="551815" cy="376555"/>
              <wp:effectExtent l="0" t="0" r="635" b="4445"/>
              <wp:wrapNone/>
              <wp:docPr id="267813970"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FD7FFD" w14:textId="3723D31E"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CF844B" id="_x0000_t202" coordsize="21600,21600" o:spt="202" path="m,l,21600r21600,l21600,xe">
              <v:stroke joinstyle="miter"/>
              <v:path gradientshapeok="t" o:connecttype="rect"/>
            </v:shapetype>
            <v:shape id="Text Box 9" o:spid="_x0000_s1040" type="#_x0000_t202" alt="OFFICIAL" style="position:absolute;margin-left:0;margin-top:0;width:43.45pt;height:29.65pt;z-index:2516858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fill o:detectmouseclick="t"/>
              <v:textbox style="mso-fit-shape-to-text:t" inset="0,15pt,0,0">
                <w:txbxContent>
                  <w:p w14:paraId="2BFD7FFD" w14:textId="3723D31E"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32E12" w14:textId="3954872F" w:rsidR="00C25829" w:rsidRDefault="00DD276C">
    <w:pPr>
      <w:pStyle w:val="Header"/>
    </w:pPr>
    <w:r>
      <w:rPr>
        <w:noProof/>
      </w:rPr>
      <mc:AlternateContent>
        <mc:Choice Requires="wps">
          <w:drawing>
            <wp:anchor distT="0" distB="0" distL="0" distR="0" simplePos="0" relativeHeight="251683843" behindDoc="0" locked="0" layoutInCell="1" allowOverlap="1" wp14:anchorId="7AD2FA53" wp14:editId="01861D05">
              <wp:simplePos x="635" y="635"/>
              <wp:positionH relativeFrom="page">
                <wp:align>center</wp:align>
              </wp:positionH>
              <wp:positionV relativeFrom="page">
                <wp:align>top</wp:align>
              </wp:positionV>
              <wp:extent cx="551815" cy="376555"/>
              <wp:effectExtent l="0" t="0" r="635" b="4445"/>
              <wp:wrapNone/>
              <wp:docPr id="1142311736"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2642C7A" w14:textId="080B273B"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D2FA53" id="_x0000_t202" coordsize="21600,21600" o:spt="202" path="m,l,21600r21600,l21600,xe">
              <v:stroke joinstyle="miter"/>
              <v:path gradientshapeok="t" o:connecttype="rect"/>
            </v:shapetype>
            <v:shape id="Text Box 7" o:spid="_x0000_s1043" type="#_x0000_t202" alt="OFFICIAL" style="position:absolute;margin-left:0;margin-top:0;width:43.45pt;height:29.65pt;z-index:2516838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fill o:detectmouseclick="t"/>
              <v:textbox style="mso-fit-shape-to-text:t" inset="0,15pt,0,0">
                <w:txbxContent>
                  <w:p w14:paraId="72642C7A" w14:textId="080B273B" w:rsidR="00DD276C" w:rsidRPr="00DD276C" w:rsidRDefault="00DD276C" w:rsidP="00DD276C">
                    <w:pPr>
                      <w:spacing w:after="0"/>
                      <w:rPr>
                        <w:rFonts w:ascii="Calibri" w:hAnsi="Calibri" w:cs="Calibri"/>
                        <w:noProof/>
                        <w:color w:val="FF0000"/>
                        <w:sz w:val="24"/>
                        <w:szCs w:val="24"/>
                      </w:rPr>
                    </w:pPr>
                    <w:r w:rsidRPr="00DD276C">
                      <w:rPr>
                        <w:rFonts w:ascii="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0B46DA9A"/>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032DB9"/>
    <w:multiLevelType w:val="multilevel"/>
    <w:tmpl w:val="E3F846D4"/>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0DD3E51"/>
    <w:multiLevelType w:val="hybridMultilevel"/>
    <w:tmpl w:val="CB262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500B94"/>
    <w:multiLevelType w:val="multilevel"/>
    <w:tmpl w:val="35B24AE4"/>
    <w:styleLink w:val="CUNumber"/>
    <w:lvl w:ilvl="0">
      <w:start w:val="1"/>
      <w:numFmt w:val="decimal"/>
      <w:pStyle w:val="CUNumber1"/>
      <w:lvlText w:val="%1."/>
      <w:lvlJc w:val="left"/>
      <w:pPr>
        <w:tabs>
          <w:tab w:val="num" w:pos="964"/>
        </w:tabs>
        <w:ind w:left="964" w:hanging="964"/>
      </w:pPr>
      <w:rPr>
        <w:rFonts w:hint="default"/>
        <w:b w:val="0"/>
        <w:i w:val="0"/>
        <w:caps/>
        <w:sz w:val="20"/>
        <w:szCs w:val="22"/>
        <w:u w:val="none"/>
      </w:rPr>
    </w:lvl>
    <w:lvl w:ilvl="1">
      <w:start w:val="1"/>
      <w:numFmt w:val="decimal"/>
      <w:pStyle w:val="CUNumber2"/>
      <w:lvlText w:val="%1.%2"/>
      <w:lvlJc w:val="left"/>
      <w:pPr>
        <w:tabs>
          <w:tab w:val="num" w:pos="964"/>
        </w:tabs>
        <w:ind w:left="964" w:hanging="964"/>
      </w:pPr>
      <w:rPr>
        <w:rFonts w:ascii="Arial" w:hAnsi="Arial" w:hint="default"/>
        <w:b w:val="0"/>
        <w:i w:val="0"/>
        <w:sz w:val="20"/>
        <w:u w:val="none"/>
      </w:rPr>
    </w:lvl>
    <w:lvl w:ilvl="2">
      <w:start w:val="1"/>
      <w:numFmt w:val="lowerLetter"/>
      <w:pStyle w:val="CUNumber3"/>
      <w:lvlText w:val="(%3)"/>
      <w:lvlJc w:val="left"/>
      <w:pPr>
        <w:tabs>
          <w:tab w:val="num" w:pos="1928"/>
        </w:tabs>
        <w:ind w:left="1928" w:hanging="964"/>
      </w:pPr>
      <w:rPr>
        <w:rFonts w:ascii="Arial" w:hAnsi="Arial" w:hint="default"/>
        <w:b w:val="0"/>
        <w:i w:val="0"/>
        <w:sz w:val="20"/>
        <w:u w:val="none"/>
      </w:rPr>
    </w:lvl>
    <w:lvl w:ilvl="3">
      <w:start w:val="1"/>
      <w:numFmt w:val="lowerRoman"/>
      <w:pStyle w:val="CUNumber4"/>
      <w:lvlText w:val="(%4)"/>
      <w:lvlJc w:val="left"/>
      <w:pPr>
        <w:tabs>
          <w:tab w:val="num" w:pos="2891"/>
        </w:tabs>
        <w:ind w:left="2891" w:hanging="963"/>
      </w:pPr>
      <w:rPr>
        <w:rFonts w:ascii="Arial" w:hAnsi="Arial" w:hint="default"/>
        <w:b w:val="0"/>
        <w:i w:val="0"/>
        <w:sz w:val="20"/>
        <w:u w:val="none"/>
      </w:rPr>
    </w:lvl>
    <w:lvl w:ilvl="4">
      <w:start w:val="1"/>
      <w:numFmt w:val="upperLetter"/>
      <w:pStyle w:val="CUNumber5"/>
      <w:lvlText w:val="%5."/>
      <w:lvlJc w:val="left"/>
      <w:pPr>
        <w:tabs>
          <w:tab w:val="num" w:pos="3855"/>
        </w:tabs>
        <w:ind w:left="3855" w:hanging="964"/>
      </w:pPr>
      <w:rPr>
        <w:rFonts w:ascii="Arial" w:hAnsi="Arial" w:hint="default"/>
        <w:b w:val="0"/>
        <w:i w:val="0"/>
        <w:sz w:val="20"/>
        <w:u w:val="none"/>
      </w:rPr>
    </w:lvl>
    <w:lvl w:ilvl="5">
      <w:start w:val="1"/>
      <w:numFmt w:val="decimal"/>
      <w:pStyle w:val="CUNumber6"/>
      <w:lvlText w:val="%6)"/>
      <w:lvlJc w:val="left"/>
      <w:pPr>
        <w:tabs>
          <w:tab w:val="num" w:pos="4819"/>
        </w:tabs>
        <w:ind w:left="4819" w:hanging="964"/>
      </w:pPr>
      <w:rPr>
        <w:rFonts w:ascii="Arial" w:hAnsi="Arial" w:hint="default"/>
        <w:b w:val="0"/>
        <w:i w:val="0"/>
        <w:sz w:val="20"/>
        <w:u w:val="none"/>
      </w:rPr>
    </w:lvl>
    <w:lvl w:ilvl="6">
      <w:start w:val="1"/>
      <w:numFmt w:val="lowerLetter"/>
      <w:pStyle w:val="CUNumber7"/>
      <w:lvlText w:val="%7)"/>
      <w:lvlJc w:val="left"/>
      <w:pPr>
        <w:tabs>
          <w:tab w:val="num" w:pos="5783"/>
        </w:tabs>
        <w:ind w:left="5783" w:hanging="964"/>
      </w:pPr>
      <w:rPr>
        <w:rFonts w:ascii="Arial" w:hAnsi="Arial" w:hint="default"/>
        <w:b w:val="0"/>
        <w:i w:val="0"/>
        <w:sz w:val="20"/>
        <w:u w:val="none"/>
      </w:rPr>
    </w:lvl>
    <w:lvl w:ilvl="7">
      <w:start w:val="1"/>
      <w:numFmt w:val="lowerRoman"/>
      <w:pStyle w:val="CUNumber8"/>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4" w15:restartNumberingAfterBreak="0">
    <w:nsid w:val="01973067"/>
    <w:multiLevelType w:val="hybridMultilevel"/>
    <w:tmpl w:val="158E472E"/>
    <w:lvl w:ilvl="0" w:tplc="4552AE16">
      <w:start w:val="1"/>
      <w:numFmt w:val="lowerLetter"/>
      <w:pStyle w:val="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E33CDF"/>
    <w:multiLevelType w:val="hybridMultilevel"/>
    <w:tmpl w:val="EF1CC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2D3A16"/>
    <w:multiLevelType w:val="hybridMultilevel"/>
    <w:tmpl w:val="5F06E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C5CF9"/>
    <w:multiLevelType w:val="hybridMultilevel"/>
    <w:tmpl w:val="E9FCEE22"/>
    <w:lvl w:ilvl="0" w:tplc="399A21AE">
      <w:start w:val="1"/>
      <w:numFmt w:val="decimal"/>
      <w:pStyle w:val="ListNumb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2BA64E6"/>
    <w:multiLevelType w:val="hybridMultilevel"/>
    <w:tmpl w:val="52A01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381FAF"/>
    <w:multiLevelType w:val="hybridMultilevel"/>
    <w:tmpl w:val="502C2BAA"/>
    <w:lvl w:ilvl="0" w:tplc="727EEF66">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F6F593D"/>
    <w:multiLevelType w:val="hybridMultilevel"/>
    <w:tmpl w:val="67E4F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770A8F"/>
    <w:multiLevelType w:val="hybridMultilevel"/>
    <w:tmpl w:val="71FC66AE"/>
    <w:lvl w:ilvl="0" w:tplc="8C60C084">
      <w:start w:val="1"/>
      <w:numFmt w:val="bullet"/>
      <w:pStyle w:val="ListBullet3"/>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86B745E"/>
    <w:multiLevelType w:val="hybridMultilevel"/>
    <w:tmpl w:val="280E0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797CEA"/>
    <w:multiLevelType w:val="hybridMultilevel"/>
    <w:tmpl w:val="216A54BA"/>
    <w:lvl w:ilvl="0" w:tplc="F1A01C4C">
      <w:start w:val="1"/>
      <w:numFmt w:val="bullet"/>
      <w:pStyle w:val="ListBullet2"/>
      <w:lvlText w:val="o"/>
      <w:lvlJc w:val="left"/>
      <w:pPr>
        <w:ind w:left="1089" w:hanging="360"/>
      </w:pPr>
      <w:rPr>
        <w:rFonts w:ascii="Courier New" w:hAnsi="Courier New" w:cs="Courier New" w:hint="default"/>
      </w:rPr>
    </w:lvl>
    <w:lvl w:ilvl="1" w:tplc="0C090003" w:tentative="1">
      <w:start w:val="1"/>
      <w:numFmt w:val="bullet"/>
      <w:lvlText w:val="o"/>
      <w:lvlJc w:val="left"/>
      <w:pPr>
        <w:ind w:left="1809" w:hanging="360"/>
      </w:pPr>
      <w:rPr>
        <w:rFonts w:ascii="Courier New" w:hAnsi="Courier New" w:cs="Courier New" w:hint="default"/>
      </w:rPr>
    </w:lvl>
    <w:lvl w:ilvl="2" w:tplc="0C090005" w:tentative="1">
      <w:start w:val="1"/>
      <w:numFmt w:val="bullet"/>
      <w:lvlText w:val=""/>
      <w:lvlJc w:val="left"/>
      <w:pPr>
        <w:ind w:left="2529" w:hanging="360"/>
      </w:pPr>
      <w:rPr>
        <w:rFonts w:ascii="Wingdings" w:hAnsi="Wingdings" w:hint="default"/>
      </w:rPr>
    </w:lvl>
    <w:lvl w:ilvl="3" w:tplc="0C090001" w:tentative="1">
      <w:start w:val="1"/>
      <w:numFmt w:val="bullet"/>
      <w:lvlText w:val=""/>
      <w:lvlJc w:val="left"/>
      <w:pPr>
        <w:ind w:left="3249" w:hanging="360"/>
      </w:pPr>
      <w:rPr>
        <w:rFonts w:ascii="Symbol" w:hAnsi="Symbol" w:hint="default"/>
      </w:rPr>
    </w:lvl>
    <w:lvl w:ilvl="4" w:tplc="0C090003" w:tentative="1">
      <w:start w:val="1"/>
      <w:numFmt w:val="bullet"/>
      <w:lvlText w:val="o"/>
      <w:lvlJc w:val="left"/>
      <w:pPr>
        <w:ind w:left="3969" w:hanging="360"/>
      </w:pPr>
      <w:rPr>
        <w:rFonts w:ascii="Courier New" w:hAnsi="Courier New" w:cs="Courier New" w:hint="default"/>
      </w:rPr>
    </w:lvl>
    <w:lvl w:ilvl="5" w:tplc="0C090005" w:tentative="1">
      <w:start w:val="1"/>
      <w:numFmt w:val="bullet"/>
      <w:lvlText w:val=""/>
      <w:lvlJc w:val="left"/>
      <w:pPr>
        <w:ind w:left="4689" w:hanging="360"/>
      </w:pPr>
      <w:rPr>
        <w:rFonts w:ascii="Wingdings" w:hAnsi="Wingdings" w:hint="default"/>
      </w:rPr>
    </w:lvl>
    <w:lvl w:ilvl="6" w:tplc="0C090001" w:tentative="1">
      <w:start w:val="1"/>
      <w:numFmt w:val="bullet"/>
      <w:lvlText w:val=""/>
      <w:lvlJc w:val="left"/>
      <w:pPr>
        <w:ind w:left="5409" w:hanging="360"/>
      </w:pPr>
      <w:rPr>
        <w:rFonts w:ascii="Symbol" w:hAnsi="Symbol" w:hint="default"/>
      </w:rPr>
    </w:lvl>
    <w:lvl w:ilvl="7" w:tplc="0C090003" w:tentative="1">
      <w:start w:val="1"/>
      <w:numFmt w:val="bullet"/>
      <w:lvlText w:val="o"/>
      <w:lvlJc w:val="left"/>
      <w:pPr>
        <w:ind w:left="6129" w:hanging="360"/>
      </w:pPr>
      <w:rPr>
        <w:rFonts w:ascii="Courier New" w:hAnsi="Courier New" w:cs="Courier New" w:hint="default"/>
      </w:rPr>
    </w:lvl>
    <w:lvl w:ilvl="8" w:tplc="0C090005" w:tentative="1">
      <w:start w:val="1"/>
      <w:numFmt w:val="bullet"/>
      <w:lvlText w:val=""/>
      <w:lvlJc w:val="left"/>
      <w:pPr>
        <w:ind w:left="6849" w:hanging="360"/>
      </w:pPr>
      <w:rPr>
        <w:rFonts w:ascii="Wingdings" w:hAnsi="Wingdings" w:hint="default"/>
      </w:rPr>
    </w:lvl>
  </w:abstractNum>
  <w:abstractNum w:abstractNumId="15" w15:restartNumberingAfterBreak="0">
    <w:nsid w:val="4DF03F09"/>
    <w:multiLevelType w:val="hybridMultilevel"/>
    <w:tmpl w:val="1E68D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A60E06"/>
    <w:multiLevelType w:val="hybridMultilevel"/>
    <w:tmpl w:val="5406F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C07ED4"/>
    <w:multiLevelType w:val="hybridMultilevel"/>
    <w:tmpl w:val="DEA4B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AA12966"/>
    <w:multiLevelType w:val="multilevel"/>
    <w:tmpl w:val="23887CA2"/>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9" w15:restartNumberingAfterBreak="0">
    <w:nsid w:val="5B615AA8"/>
    <w:multiLevelType w:val="multilevel"/>
    <w:tmpl w:val="359042BE"/>
    <w:lvl w:ilvl="0">
      <w:start w:val="1"/>
      <w:numFmt w:val="upperLetter"/>
      <w:lvlRestart w:val="0"/>
      <w:pStyle w:val="AnnexureHeading"/>
      <w:suff w:val="space"/>
      <w:lvlText w:val="Annexure %1"/>
      <w:lvlJc w:val="left"/>
      <w:pPr>
        <w:ind w:left="0" w:firstLine="0"/>
      </w:pPr>
      <w:rPr>
        <w:rFonts w:ascii="Arial" w:hAnsi="Arial" w:hint="default"/>
        <w:b/>
        <w:i w:val="0"/>
        <w:sz w:val="24"/>
        <w:szCs w:val="24"/>
      </w:rPr>
    </w:lvl>
    <w:lvl w:ilvl="1">
      <w:start w:val="1"/>
      <w:numFmt w:val="none"/>
      <w:lvlText w:val=""/>
      <w:lvlJc w:val="left"/>
      <w:pPr>
        <w:tabs>
          <w:tab w:val="num" w:pos="720"/>
        </w:tabs>
        <w:ind w:left="720" w:hanging="720"/>
      </w:pPr>
      <w:rPr>
        <w:rFonts w:hint="default"/>
      </w:rPr>
    </w:lvl>
    <w:lvl w:ilvl="2">
      <w:start w:val="1"/>
      <w:numFmt w:val="none"/>
      <w:lvlText w:val=""/>
      <w:lvlJc w:val="left"/>
      <w:pPr>
        <w:tabs>
          <w:tab w:val="num" w:pos="720"/>
        </w:tabs>
        <w:ind w:left="720" w:hanging="720"/>
      </w:pPr>
      <w:rPr>
        <w:rFonts w:hint="default"/>
      </w:rPr>
    </w:lvl>
    <w:lvl w:ilvl="3">
      <w:start w:val="1"/>
      <w:numFmt w:val="none"/>
      <w:lvlText w:val=""/>
      <w:lvlJc w:val="left"/>
      <w:pPr>
        <w:tabs>
          <w:tab w:val="num" w:pos="1134"/>
        </w:tabs>
        <w:ind w:left="709" w:hanging="709"/>
      </w:pPr>
      <w:rPr>
        <w:rFonts w:hint="default"/>
      </w:rPr>
    </w:lvl>
    <w:lvl w:ilvl="4">
      <w:start w:val="1"/>
      <w:numFmt w:val="none"/>
      <w:lvlText w:val=""/>
      <w:lvlJc w:val="left"/>
      <w:pPr>
        <w:tabs>
          <w:tab w:val="num" w:pos="2517"/>
        </w:tabs>
        <w:ind w:left="2234" w:hanging="79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0" w15:restartNumberingAfterBreak="0">
    <w:nsid w:val="686534C1"/>
    <w:multiLevelType w:val="hybridMultilevel"/>
    <w:tmpl w:val="C0ECB768"/>
    <w:styleLink w:val="Style1"/>
    <w:lvl w:ilvl="0" w:tplc="FD3227DC">
      <w:numFmt w:val="bullet"/>
      <w:lvlText w:val="•"/>
      <w:lvlJc w:val="left"/>
      <w:pPr>
        <w:ind w:left="720" w:hanging="360"/>
      </w:pPr>
      <w:rPr>
        <w:rFonts w:ascii="Cambria" w:eastAsiaTheme="minorHAnsi" w:hAnsi="Cambri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8D26AD"/>
    <w:multiLevelType w:val="multilevel"/>
    <w:tmpl w:val="35B24AE4"/>
    <w:numStyleLink w:val="CUNumber"/>
  </w:abstractNum>
  <w:abstractNum w:abstractNumId="22" w15:restartNumberingAfterBreak="0">
    <w:nsid w:val="6AC2624B"/>
    <w:multiLevelType w:val="hybridMultilevel"/>
    <w:tmpl w:val="20A60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16cid:durableId="246810140">
    <w:abstractNumId w:val="23"/>
  </w:num>
  <w:num w:numId="2" w16cid:durableId="984893429">
    <w:abstractNumId w:val="1"/>
  </w:num>
  <w:num w:numId="3" w16cid:durableId="1749232786">
    <w:abstractNumId w:val="10"/>
  </w:num>
  <w:num w:numId="4" w16cid:durableId="696933918">
    <w:abstractNumId w:val="18"/>
  </w:num>
  <w:num w:numId="5" w16cid:durableId="1155414887">
    <w:abstractNumId w:val="20"/>
  </w:num>
  <w:num w:numId="6" w16cid:durableId="2010675890">
    <w:abstractNumId w:val="0"/>
  </w:num>
  <w:num w:numId="7" w16cid:durableId="1403869510">
    <w:abstractNumId w:val="12"/>
  </w:num>
  <w:num w:numId="8" w16cid:durableId="2067487657">
    <w:abstractNumId w:val="9"/>
  </w:num>
  <w:num w:numId="9" w16cid:durableId="287516301">
    <w:abstractNumId w:val="7"/>
  </w:num>
  <w:num w:numId="10" w16cid:durableId="1614090457">
    <w:abstractNumId w:val="4"/>
  </w:num>
  <w:num w:numId="11" w16cid:durableId="147480994">
    <w:abstractNumId w:val="14"/>
  </w:num>
  <w:num w:numId="12" w16cid:durableId="1202471534">
    <w:abstractNumId w:val="19"/>
  </w:num>
  <w:num w:numId="13" w16cid:durableId="1382826187">
    <w:abstractNumId w:val="3"/>
  </w:num>
  <w:num w:numId="14" w16cid:durableId="2048676248">
    <w:abstractNumId w:val="21"/>
  </w:num>
  <w:num w:numId="15" w16cid:durableId="562909453">
    <w:abstractNumId w:val="17"/>
  </w:num>
  <w:num w:numId="16" w16cid:durableId="218445239">
    <w:abstractNumId w:val="22"/>
  </w:num>
  <w:num w:numId="17" w16cid:durableId="867258593">
    <w:abstractNumId w:val="5"/>
  </w:num>
  <w:num w:numId="18" w16cid:durableId="2044210285">
    <w:abstractNumId w:val="2"/>
  </w:num>
  <w:num w:numId="19" w16cid:durableId="466321053">
    <w:abstractNumId w:val="8"/>
  </w:num>
  <w:num w:numId="20" w16cid:durableId="1867793691">
    <w:abstractNumId w:val="15"/>
  </w:num>
  <w:num w:numId="21" w16cid:durableId="825165519">
    <w:abstractNumId w:val="16"/>
  </w:num>
  <w:num w:numId="22" w16cid:durableId="1373847359">
    <w:abstractNumId w:val="6"/>
  </w:num>
  <w:num w:numId="23" w16cid:durableId="1066026016">
    <w:abstractNumId w:val="13"/>
  </w:num>
  <w:num w:numId="24" w16cid:durableId="909117117">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GridLight"/>
  <w:drawingGridHorizontalSpacing w:val="110"/>
  <w:displayHorizontalDrawingGridEvery w:val="2"/>
  <w:displayVerticalDrawingGridEvery w:val="2"/>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E"/>
    <w:rsid w:val="000001A1"/>
    <w:rsid w:val="00000B02"/>
    <w:rsid w:val="00001903"/>
    <w:rsid w:val="00001BC3"/>
    <w:rsid w:val="00002A89"/>
    <w:rsid w:val="00002BC4"/>
    <w:rsid w:val="00002DB1"/>
    <w:rsid w:val="000032A0"/>
    <w:rsid w:val="00003827"/>
    <w:rsid w:val="00004076"/>
    <w:rsid w:val="000044FC"/>
    <w:rsid w:val="00004F61"/>
    <w:rsid w:val="00005A2A"/>
    <w:rsid w:val="000063CD"/>
    <w:rsid w:val="000071E2"/>
    <w:rsid w:val="00007DE1"/>
    <w:rsid w:val="0001035C"/>
    <w:rsid w:val="00010658"/>
    <w:rsid w:val="00010A0B"/>
    <w:rsid w:val="00010B7E"/>
    <w:rsid w:val="00011B67"/>
    <w:rsid w:val="00011B80"/>
    <w:rsid w:val="00012F80"/>
    <w:rsid w:val="000131EE"/>
    <w:rsid w:val="0001346B"/>
    <w:rsid w:val="000138FB"/>
    <w:rsid w:val="00013E02"/>
    <w:rsid w:val="00014160"/>
    <w:rsid w:val="000142E6"/>
    <w:rsid w:val="0001570F"/>
    <w:rsid w:val="00015F91"/>
    <w:rsid w:val="000163EB"/>
    <w:rsid w:val="00016491"/>
    <w:rsid w:val="00016DCC"/>
    <w:rsid w:val="00017A00"/>
    <w:rsid w:val="000200D1"/>
    <w:rsid w:val="000202C1"/>
    <w:rsid w:val="0002044A"/>
    <w:rsid w:val="00021029"/>
    <w:rsid w:val="00021482"/>
    <w:rsid w:val="00021758"/>
    <w:rsid w:val="0002185A"/>
    <w:rsid w:val="000222FB"/>
    <w:rsid w:val="00023532"/>
    <w:rsid w:val="00023783"/>
    <w:rsid w:val="00023A5F"/>
    <w:rsid w:val="00024E1B"/>
    <w:rsid w:val="00025214"/>
    <w:rsid w:val="0002595F"/>
    <w:rsid w:val="00025E65"/>
    <w:rsid w:val="00026944"/>
    <w:rsid w:val="00026BB9"/>
    <w:rsid w:val="00026C86"/>
    <w:rsid w:val="000272B1"/>
    <w:rsid w:val="00027CB0"/>
    <w:rsid w:val="0003047B"/>
    <w:rsid w:val="00030503"/>
    <w:rsid w:val="0003078B"/>
    <w:rsid w:val="00031869"/>
    <w:rsid w:val="000323D1"/>
    <w:rsid w:val="000327F8"/>
    <w:rsid w:val="000328CD"/>
    <w:rsid w:val="00032B41"/>
    <w:rsid w:val="000337A7"/>
    <w:rsid w:val="0003395D"/>
    <w:rsid w:val="000340F7"/>
    <w:rsid w:val="00034739"/>
    <w:rsid w:val="000349B0"/>
    <w:rsid w:val="0003547E"/>
    <w:rsid w:val="00035512"/>
    <w:rsid w:val="00035D9E"/>
    <w:rsid w:val="00037242"/>
    <w:rsid w:val="000378D3"/>
    <w:rsid w:val="00041734"/>
    <w:rsid w:val="00041847"/>
    <w:rsid w:val="00041CF3"/>
    <w:rsid w:val="0004213D"/>
    <w:rsid w:val="00042FEE"/>
    <w:rsid w:val="0004356A"/>
    <w:rsid w:val="000437D9"/>
    <w:rsid w:val="00044A11"/>
    <w:rsid w:val="00044E21"/>
    <w:rsid w:val="00044F2C"/>
    <w:rsid w:val="000451CB"/>
    <w:rsid w:val="0004543B"/>
    <w:rsid w:val="000455D5"/>
    <w:rsid w:val="00045ED4"/>
    <w:rsid w:val="000464ED"/>
    <w:rsid w:val="000474F1"/>
    <w:rsid w:val="000514BD"/>
    <w:rsid w:val="0005192E"/>
    <w:rsid w:val="00052405"/>
    <w:rsid w:val="000524AF"/>
    <w:rsid w:val="00052D15"/>
    <w:rsid w:val="00052FBE"/>
    <w:rsid w:val="000534B8"/>
    <w:rsid w:val="000539FD"/>
    <w:rsid w:val="00053C4C"/>
    <w:rsid w:val="00054B03"/>
    <w:rsid w:val="00055589"/>
    <w:rsid w:val="000567BD"/>
    <w:rsid w:val="000573A1"/>
    <w:rsid w:val="00060F7F"/>
    <w:rsid w:val="000613B1"/>
    <w:rsid w:val="0006183A"/>
    <w:rsid w:val="0006192A"/>
    <w:rsid w:val="00061E51"/>
    <w:rsid w:val="00062138"/>
    <w:rsid w:val="00062230"/>
    <w:rsid w:val="00062CD8"/>
    <w:rsid w:val="0006306F"/>
    <w:rsid w:val="00064ECB"/>
    <w:rsid w:val="00065435"/>
    <w:rsid w:val="00065EA8"/>
    <w:rsid w:val="00066FB4"/>
    <w:rsid w:val="00070FE9"/>
    <w:rsid w:val="00071327"/>
    <w:rsid w:val="000713FB"/>
    <w:rsid w:val="00071D3B"/>
    <w:rsid w:val="0007252A"/>
    <w:rsid w:val="000734E8"/>
    <w:rsid w:val="00073A59"/>
    <w:rsid w:val="000748BF"/>
    <w:rsid w:val="00074C4A"/>
    <w:rsid w:val="0007547B"/>
    <w:rsid w:val="000757EF"/>
    <w:rsid w:val="0007669B"/>
    <w:rsid w:val="0007735F"/>
    <w:rsid w:val="0007738D"/>
    <w:rsid w:val="00080710"/>
    <w:rsid w:val="0008097A"/>
    <w:rsid w:val="00080E40"/>
    <w:rsid w:val="00082D3F"/>
    <w:rsid w:val="00082E59"/>
    <w:rsid w:val="00083090"/>
    <w:rsid w:val="00083194"/>
    <w:rsid w:val="00083D54"/>
    <w:rsid w:val="00085149"/>
    <w:rsid w:val="00085996"/>
    <w:rsid w:val="00085B62"/>
    <w:rsid w:val="00085CE1"/>
    <w:rsid w:val="0008674D"/>
    <w:rsid w:val="00086CF7"/>
    <w:rsid w:val="00086D8B"/>
    <w:rsid w:val="000875F5"/>
    <w:rsid w:val="00087A4F"/>
    <w:rsid w:val="00087D5E"/>
    <w:rsid w:val="0009105A"/>
    <w:rsid w:val="0009153E"/>
    <w:rsid w:val="00091B06"/>
    <w:rsid w:val="000921A8"/>
    <w:rsid w:val="000931B0"/>
    <w:rsid w:val="00093302"/>
    <w:rsid w:val="0009494E"/>
    <w:rsid w:val="00094DD3"/>
    <w:rsid w:val="00094DFC"/>
    <w:rsid w:val="0009503A"/>
    <w:rsid w:val="000954B9"/>
    <w:rsid w:val="000956FD"/>
    <w:rsid w:val="00096256"/>
    <w:rsid w:val="00096F13"/>
    <w:rsid w:val="00097CB1"/>
    <w:rsid w:val="000A136F"/>
    <w:rsid w:val="000A2716"/>
    <w:rsid w:val="000A3E18"/>
    <w:rsid w:val="000A403F"/>
    <w:rsid w:val="000A45B8"/>
    <w:rsid w:val="000A48A8"/>
    <w:rsid w:val="000A4F60"/>
    <w:rsid w:val="000A4FE5"/>
    <w:rsid w:val="000A5294"/>
    <w:rsid w:val="000A5E1A"/>
    <w:rsid w:val="000A5EE8"/>
    <w:rsid w:val="000A773A"/>
    <w:rsid w:val="000A7757"/>
    <w:rsid w:val="000A77A3"/>
    <w:rsid w:val="000A77AE"/>
    <w:rsid w:val="000B021C"/>
    <w:rsid w:val="000B0E26"/>
    <w:rsid w:val="000B1D11"/>
    <w:rsid w:val="000B23D4"/>
    <w:rsid w:val="000B28A3"/>
    <w:rsid w:val="000B32D5"/>
    <w:rsid w:val="000B371F"/>
    <w:rsid w:val="000B471B"/>
    <w:rsid w:val="000B478F"/>
    <w:rsid w:val="000B4AA2"/>
    <w:rsid w:val="000B50E5"/>
    <w:rsid w:val="000B5607"/>
    <w:rsid w:val="000B618F"/>
    <w:rsid w:val="000B6624"/>
    <w:rsid w:val="000B6A45"/>
    <w:rsid w:val="000B7B96"/>
    <w:rsid w:val="000C04E6"/>
    <w:rsid w:val="000C12C8"/>
    <w:rsid w:val="000C15B3"/>
    <w:rsid w:val="000C2E56"/>
    <w:rsid w:val="000C32C7"/>
    <w:rsid w:val="000C3BFF"/>
    <w:rsid w:val="000C3C92"/>
    <w:rsid w:val="000C426F"/>
    <w:rsid w:val="000C4B57"/>
    <w:rsid w:val="000C4CCF"/>
    <w:rsid w:val="000C5BC6"/>
    <w:rsid w:val="000C5BCC"/>
    <w:rsid w:val="000C5F42"/>
    <w:rsid w:val="000C6B6B"/>
    <w:rsid w:val="000C6C80"/>
    <w:rsid w:val="000C7303"/>
    <w:rsid w:val="000D0302"/>
    <w:rsid w:val="000D06D9"/>
    <w:rsid w:val="000D0A12"/>
    <w:rsid w:val="000D0C93"/>
    <w:rsid w:val="000D1751"/>
    <w:rsid w:val="000D20AA"/>
    <w:rsid w:val="000D331C"/>
    <w:rsid w:val="000D3379"/>
    <w:rsid w:val="000D34B7"/>
    <w:rsid w:val="000D3D6A"/>
    <w:rsid w:val="000D3DB3"/>
    <w:rsid w:val="000D4360"/>
    <w:rsid w:val="000D4560"/>
    <w:rsid w:val="000D5098"/>
    <w:rsid w:val="000D5417"/>
    <w:rsid w:val="000D5DC7"/>
    <w:rsid w:val="000D73E9"/>
    <w:rsid w:val="000D75FE"/>
    <w:rsid w:val="000D7EEB"/>
    <w:rsid w:val="000D7F7C"/>
    <w:rsid w:val="000D7FAE"/>
    <w:rsid w:val="000E00FC"/>
    <w:rsid w:val="000E0A93"/>
    <w:rsid w:val="000E0F52"/>
    <w:rsid w:val="000E187D"/>
    <w:rsid w:val="000E1E25"/>
    <w:rsid w:val="000E1F28"/>
    <w:rsid w:val="000E2104"/>
    <w:rsid w:val="000E3F90"/>
    <w:rsid w:val="000E40B5"/>
    <w:rsid w:val="000E481C"/>
    <w:rsid w:val="000E538E"/>
    <w:rsid w:val="000E5AB1"/>
    <w:rsid w:val="000E5C0D"/>
    <w:rsid w:val="000E5C12"/>
    <w:rsid w:val="000E6BE6"/>
    <w:rsid w:val="000E7CAC"/>
    <w:rsid w:val="000F0C7F"/>
    <w:rsid w:val="000F191D"/>
    <w:rsid w:val="000F199C"/>
    <w:rsid w:val="000F19C3"/>
    <w:rsid w:val="000F203A"/>
    <w:rsid w:val="000F2E09"/>
    <w:rsid w:val="000F32CF"/>
    <w:rsid w:val="000F3B11"/>
    <w:rsid w:val="000F4494"/>
    <w:rsid w:val="000F4731"/>
    <w:rsid w:val="000F4CD9"/>
    <w:rsid w:val="000F55E7"/>
    <w:rsid w:val="000F5816"/>
    <w:rsid w:val="000F5829"/>
    <w:rsid w:val="000F5A88"/>
    <w:rsid w:val="000F6A68"/>
    <w:rsid w:val="000F790C"/>
    <w:rsid w:val="00101BB6"/>
    <w:rsid w:val="00101ED0"/>
    <w:rsid w:val="0010229B"/>
    <w:rsid w:val="001024D9"/>
    <w:rsid w:val="00102770"/>
    <w:rsid w:val="00102B12"/>
    <w:rsid w:val="00102F14"/>
    <w:rsid w:val="00104028"/>
    <w:rsid w:val="00104306"/>
    <w:rsid w:val="00104F07"/>
    <w:rsid w:val="00105703"/>
    <w:rsid w:val="00105C24"/>
    <w:rsid w:val="00105DC2"/>
    <w:rsid w:val="00105FF8"/>
    <w:rsid w:val="00106142"/>
    <w:rsid w:val="00110BEE"/>
    <w:rsid w:val="00110EA6"/>
    <w:rsid w:val="00111030"/>
    <w:rsid w:val="00111E47"/>
    <w:rsid w:val="00112271"/>
    <w:rsid w:val="0011279F"/>
    <w:rsid w:val="00112FCF"/>
    <w:rsid w:val="00114790"/>
    <w:rsid w:val="00114BA0"/>
    <w:rsid w:val="00114BA8"/>
    <w:rsid w:val="001151D3"/>
    <w:rsid w:val="00115B71"/>
    <w:rsid w:val="00116685"/>
    <w:rsid w:val="0011682D"/>
    <w:rsid w:val="0011737C"/>
    <w:rsid w:val="00117814"/>
    <w:rsid w:val="00117871"/>
    <w:rsid w:val="00117BE9"/>
    <w:rsid w:val="00117FD6"/>
    <w:rsid w:val="001203DC"/>
    <w:rsid w:val="0012058E"/>
    <w:rsid w:val="001208F0"/>
    <w:rsid w:val="00120F2B"/>
    <w:rsid w:val="0012156D"/>
    <w:rsid w:val="00122B90"/>
    <w:rsid w:val="00123520"/>
    <w:rsid w:val="00123A7A"/>
    <w:rsid w:val="001244B6"/>
    <w:rsid w:val="00124650"/>
    <w:rsid w:val="0012480A"/>
    <w:rsid w:val="001248B0"/>
    <w:rsid w:val="00124A5D"/>
    <w:rsid w:val="00124B33"/>
    <w:rsid w:val="00124F0B"/>
    <w:rsid w:val="0012576A"/>
    <w:rsid w:val="00126393"/>
    <w:rsid w:val="001263D8"/>
    <w:rsid w:val="0012661F"/>
    <w:rsid w:val="00127E1B"/>
    <w:rsid w:val="00130543"/>
    <w:rsid w:val="00130DCC"/>
    <w:rsid w:val="00131C9F"/>
    <w:rsid w:val="0013241B"/>
    <w:rsid w:val="00133775"/>
    <w:rsid w:val="001345C9"/>
    <w:rsid w:val="00134677"/>
    <w:rsid w:val="00136523"/>
    <w:rsid w:val="00136859"/>
    <w:rsid w:val="001374FE"/>
    <w:rsid w:val="001375FC"/>
    <w:rsid w:val="00137765"/>
    <w:rsid w:val="00140230"/>
    <w:rsid w:val="00140EE0"/>
    <w:rsid w:val="00141172"/>
    <w:rsid w:val="001414F7"/>
    <w:rsid w:val="001417B0"/>
    <w:rsid w:val="0014182C"/>
    <w:rsid w:val="001418F1"/>
    <w:rsid w:val="00141EC8"/>
    <w:rsid w:val="00142375"/>
    <w:rsid w:val="00142CBE"/>
    <w:rsid w:val="00142D7A"/>
    <w:rsid w:val="00142E0B"/>
    <w:rsid w:val="00143215"/>
    <w:rsid w:val="00143F06"/>
    <w:rsid w:val="00143F21"/>
    <w:rsid w:val="0014451B"/>
    <w:rsid w:val="001447EF"/>
    <w:rsid w:val="00144A24"/>
    <w:rsid w:val="0014509E"/>
    <w:rsid w:val="00146476"/>
    <w:rsid w:val="00146D47"/>
    <w:rsid w:val="001471BA"/>
    <w:rsid w:val="001476CD"/>
    <w:rsid w:val="0014788F"/>
    <w:rsid w:val="00150E2B"/>
    <w:rsid w:val="001515B0"/>
    <w:rsid w:val="0015172D"/>
    <w:rsid w:val="00151C14"/>
    <w:rsid w:val="00151C1F"/>
    <w:rsid w:val="00152CB5"/>
    <w:rsid w:val="00154089"/>
    <w:rsid w:val="00154BEB"/>
    <w:rsid w:val="001550D8"/>
    <w:rsid w:val="00155287"/>
    <w:rsid w:val="0015548C"/>
    <w:rsid w:val="001556EE"/>
    <w:rsid w:val="00156132"/>
    <w:rsid w:val="0015631A"/>
    <w:rsid w:val="0015695F"/>
    <w:rsid w:val="00156F26"/>
    <w:rsid w:val="00160E79"/>
    <w:rsid w:val="0016129D"/>
    <w:rsid w:val="00161E65"/>
    <w:rsid w:val="00162026"/>
    <w:rsid w:val="0016221D"/>
    <w:rsid w:val="00162E11"/>
    <w:rsid w:val="0016309A"/>
    <w:rsid w:val="001632AE"/>
    <w:rsid w:val="001638D1"/>
    <w:rsid w:val="001642A2"/>
    <w:rsid w:val="001642BE"/>
    <w:rsid w:val="00164417"/>
    <w:rsid w:val="00164731"/>
    <w:rsid w:val="00164FED"/>
    <w:rsid w:val="00166AEE"/>
    <w:rsid w:val="00166B22"/>
    <w:rsid w:val="001671FA"/>
    <w:rsid w:val="001672BC"/>
    <w:rsid w:val="00167C38"/>
    <w:rsid w:val="0017077A"/>
    <w:rsid w:val="00170D66"/>
    <w:rsid w:val="00170DC6"/>
    <w:rsid w:val="001717DF"/>
    <w:rsid w:val="00171EC7"/>
    <w:rsid w:val="001720E2"/>
    <w:rsid w:val="001723F1"/>
    <w:rsid w:val="001728F6"/>
    <w:rsid w:val="0017314D"/>
    <w:rsid w:val="0017351A"/>
    <w:rsid w:val="001747D8"/>
    <w:rsid w:val="0017661E"/>
    <w:rsid w:val="00176980"/>
    <w:rsid w:val="00176B02"/>
    <w:rsid w:val="00177281"/>
    <w:rsid w:val="00177B14"/>
    <w:rsid w:val="00177E78"/>
    <w:rsid w:val="00180708"/>
    <w:rsid w:val="00180E9B"/>
    <w:rsid w:val="00181042"/>
    <w:rsid w:val="00181317"/>
    <w:rsid w:val="00181A6F"/>
    <w:rsid w:val="0018208D"/>
    <w:rsid w:val="001820AD"/>
    <w:rsid w:val="001827C2"/>
    <w:rsid w:val="001829B2"/>
    <w:rsid w:val="00182F95"/>
    <w:rsid w:val="00184332"/>
    <w:rsid w:val="00184498"/>
    <w:rsid w:val="00184B7C"/>
    <w:rsid w:val="00184C88"/>
    <w:rsid w:val="00185476"/>
    <w:rsid w:val="001862CD"/>
    <w:rsid w:val="00186680"/>
    <w:rsid w:val="00186AB2"/>
    <w:rsid w:val="00186E6F"/>
    <w:rsid w:val="0019047E"/>
    <w:rsid w:val="001913F1"/>
    <w:rsid w:val="00191499"/>
    <w:rsid w:val="00191AB7"/>
    <w:rsid w:val="0019257D"/>
    <w:rsid w:val="00193188"/>
    <w:rsid w:val="001938FD"/>
    <w:rsid w:val="00194421"/>
    <w:rsid w:val="00194B07"/>
    <w:rsid w:val="0019583B"/>
    <w:rsid w:val="00195EC0"/>
    <w:rsid w:val="0019614C"/>
    <w:rsid w:val="00196263"/>
    <w:rsid w:val="001964A9"/>
    <w:rsid w:val="00196760"/>
    <w:rsid w:val="00196840"/>
    <w:rsid w:val="001A011A"/>
    <w:rsid w:val="001A0B02"/>
    <w:rsid w:val="001A1CFC"/>
    <w:rsid w:val="001A1FBB"/>
    <w:rsid w:val="001A27EF"/>
    <w:rsid w:val="001A3771"/>
    <w:rsid w:val="001A42B7"/>
    <w:rsid w:val="001A4962"/>
    <w:rsid w:val="001A4BBE"/>
    <w:rsid w:val="001A5012"/>
    <w:rsid w:val="001A6256"/>
    <w:rsid w:val="001A6AAC"/>
    <w:rsid w:val="001A6BCE"/>
    <w:rsid w:val="001A7ECF"/>
    <w:rsid w:val="001B0BAC"/>
    <w:rsid w:val="001B2573"/>
    <w:rsid w:val="001B2E00"/>
    <w:rsid w:val="001B3349"/>
    <w:rsid w:val="001B3820"/>
    <w:rsid w:val="001B3992"/>
    <w:rsid w:val="001B4D92"/>
    <w:rsid w:val="001B55B0"/>
    <w:rsid w:val="001B5746"/>
    <w:rsid w:val="001B5C04"/>
    <w:rsid w:val="001B5E4E"/>
    <w:rsid w:val="001B6527"/>
    <w:rsid w:val="001B6902"/>
    <w:rsid w:val="001B7853"/>
    <w:rsid w:val="001C014E"/>
    <w:rsid w:val="001C0255"/>
    <w:rsid w:val="001C03CD"/>
    <w:rsid w:val="001C065E"/>
    <w:rsid w:val="001C0729"/>
    <w:rsid w:val="001C07D9"/>
    <w:rsid w:val="001C0858"/>
    <w:rsid w:val="001C0DE7"/>
    <w:rsid w:val="001C0E97"/>
    <w:rsid w:val="001C0F11"/>
    <w:rsid w:val="001C0F14"/>
    <w:rsid w:val="001C11A4"/>
    <w:rsid w:val="001C18BC"/>
    <w:rsid w:val="001C1ABF"/>
    <w:rsid w:val="001C428E"/>
    <w:rsid w:val="001C4613"/>
    <w:rsid w:val="001C54A0"/>
    <w:rsid w:val="001C573B"/>
    <w:rsid w:val="001C591F"/>
    <w:rsid w:val="001C5C0C"/>
    <w:rsid w:val="001C63E3"/>
    <w:rsid w:val="001C692E"/>
    <w:rsid w:val="001C6ACE"/>
    <w:rsid w:val="001C71F9"/>
    <w:rsid w:val="001C75EF"/>
    <w:rsid w:val="001C79D2"/>
    <w:rsid w:val="001D05BD"/>
    <w:rsid w:val="001D116D"/>
    <w:rsid w:val="001D12A6"/>
    <w:rsid w:val="001D148B"/>
    <w:rsid w:val="001D184F"/>
    <w:rsid w:val="001D197C"/>
    <w:rsid w:val="001D1D82"/>
    <w:rsid w:val="001D2637"/>
    <w:rsid w:val="001D343C"/>
    <w:rsid w:val="001D3AC5"/>
    <w:rsid w:val="001D4720"/>
    <w:rsid w:val="001D4797"/>
    <w:rsid w:val="001D5641"/>
    <w:rsid w:val="001D610B"/>
    <w:rsid w:val="001D7141"/>
    <w:rsid w:val="001D727E"/>
    <w:rsid w:val="001E1099"/>
    <w:rsid w:val="001E2977"/>
    <w:rsid w:val="001E2B8B"/>
    <w:rsid w:val="001E37AC"/>
    <w:rsid w:val="001E37E6"/>
    <w:rsid w:val="001E4A20"/>
    <w:rsid w:val="001E5016"/>
    <w:rsid w:val="001E5A2E"/>
    <w:rsid w:val="001E5B1E"/>
    <w:rsid w:val="001E5F79"/>
    <w:rsid w:val="001E61A7"/>
    <w:rsid w:val="001E6E13"/>
    <w:rsid w:val="001E7FA1"/>
    <w:rsid w:val="001F010C"/>
    <w:rsid w:val="001F0A7F"/>
    <w:rsid w:val="001F1253"/>
    <w:rsid w:val="001F28BD"/>
    <w:rsid w:val="001F2A15"/>
    <w:rsid w:val="001F2C92"/>
    <w:rsid w:val="001F2F84"/>
    <w:rsid w:val="001F354F"/>
    <w:rsid w:val="001F3DAF"/>
    <w:rsid w:val="001F4FD5"/>
    <w:rsid w:val="001F5693"/>
    <w:rsid w:val="001F5BF3"/>
    <w:rsid w:val="001F5CD5"/>
    <w:rsid w:val="001F5DE3"/>
    <w:rsid w:val="001F602B"/>
    <w:rsid w:val="001F7348"/>
    <w:rsid w:val="001F77F3"/>
    <w:rsid w:val="001F7C6C"/>
    <w:rsid w:val="0020080B"/>
    <w:rsid w:val="002008BB"/>
    <w:rsid w:val="00200B6D"/>
    <w:rsid w:val="00201073"/>
    <w:rsid w:val="002011AD"/>
    <w:rsid w:val="00201714"/>
    <w:rsid w:val="00201C09"/>
    <w:rsid w:val="00202052"/>
    <w:rsid w:val="00202979"/>
    <w:rsid w:val="002037FB"/>
    <w:rsid w:val="00204824"/>
    <w:rsid w:val="00204E35"/>
    <w:rsid w:val="00205B15"/>
    <w:rsid w:val="00206351"/>
    <w:rsid w:val="00206CAA"/>
    <w:rsid w:val="00206F83"/>
    <w:rsid w:val="0021017D"/>
    <w:rsid w:val="00210FAE"/>
    <w:rsid w:val="00211226"/>
    <w:rsid w:val="00211271"/>
    <w:rsid w:val="00211404"/>
    <w:rsid w:val="00211482"/>
    <w:rsid w:val="00211DA3"/>
    <w:rsid w:val="002126B7"/>
    <w:rsid w:val="00212714"/>
    <w:rsid w:val="00212850"/>
    <w:rsid w:val="00212F10"/>
    <w:rsid w:val="00214025"/>
    <w:rsid w:val="0021522D"/>
    <w:rsid w:val="00215382"/>
    <w:rsid w:val="00215CCE"/>
    <w:rsid w:val="0021605E"/>
    <w:rsid w:val="002160AC"/>
    <w:rsid w:val="00217239"/>
    <w:rsid w:val="00217901"/>
    <w:rsid w:val="0022095F"/>
    <w:rsid w:val="00221219"/>
    <w:rsid w:val="002212EB"/>
    <w:rsid w:val="00221B8A"/>
    <w:rsid w:val="00222205"/>
    <w:rsid w:val="00223C37"/>
    <w:rsid w:val="00223D1C"/>
    <w:rsid w:val="00224079"/>
    <w:rsid w:val="002253E2"/>
    <w:rsid w:val="0022585A"/>
    <w:rsid w:val="00225FBC"/>
    <w:rsid w:val="002260B7"/>
    <w:rsid w:val="00226373"/>
    <w:rsid w:val="00226436"/>
    <w:rsid w:val="002266A7"/>
    <w:rsid w:val="00226999"/>
    <w:rsid w:val="00227B28"/>
    <w:rsid w:val="00230585"/>
    <w:rsid w:val="00231A97"/>
    <w:rsid w:val="0023249C"/>
    <w:rsid w:val="00234917"/>
    <w:rsid w:val="002354D2"/>
    <w:rsid w:val="002356E4"/>
    <w:rsid w:val="00235CE5"/>
    <w:rsid w:val="00236879"/>
    <w:rsid w:val="00236B0A"/>
    <w:rsid w:val="00236BCB"/>
    <w:rsid w:val="00237022"/>
    <w:rsid w:val="0023712C"/>
    <w:rsid w:val="00240163"/>
    <w:rsid w:val="00241145"/>
    <w:rsid w:val="00241791"/>
    <w:rsid w:val="00241ED1"/>
    <w:rsid w:val="002420B9"/>
    <w:rsid w:val="002420F0"/>
    <w:rsid w:val="002432DA"/>
    <w:rsid w:val="0024384C"/>
    <w:rsid w:val="002443BB"/>
    <w:rsid w:val="00244960"/>
    <w:rsid w:val="00244A50"/>
    <w:rsid w:val="002451BF"/>
    <w:rsid w:val="002452B6"/>
    <w:rsid w:val="002455C3"/>
    <w:rsid w:val="00245AEA"/>
    <w:rsid w:val="00246672"/>
    <w:rsid w:val="00246F47"/>
    <w:rsid w:val="00247151"/>
    <w:rsid w:val="00247E37"/>
    <w:rsid w:val="00250C1A"/>
    <w:rsid w:val="00251F03"/>
    <w:rsid w:val="0025244B"/>
    <w:rsid w:val="00252972"/>
    <w:rsid w:val="00253EA3"/>
    <w:rsid w:val="002542F0"/>
    <w:rsid w:val="002557C9"/>
    <w:rsid w:val="002561B9"/>
    <w:rsid w:val="0025632F"/>
    <w:rsid w:val="00256422"/>
    <w:rsid w:val="00261049"/>
    <w:rsid w:val="00262900"/>
    <w:rsid w:val="00263341"/>
    <w:rsid w:val="00263EE2"/>
    <w:rsid w:val="002642A1"/>
    <w:rsid w:val="00264457"/>
    <w:rsid w:val="002645C6"/>
    <w:rsid w:val="00264BA3"/>
    <w:rsid w:val="00265240"/>
    <w:rsid w:val="002658F4"/>
    <w:rsid w:val="00265A26"/>
    <w:rsid w:val="00265BE8"/>
    <w:rsid w:val="00265EDC"/>
    <w:rsid w:val="002670E3"/>
    <w:rsid w:val="00267121"/>
    <w:rsid w:val="0026775E"/>
    <w:rsid w:val="0027023C"/>
    <w:rsid w:val="00271658"/>
    <w:rsid w:val="00271DFA"/>
    <w:rsid w:val="00272B0B"/>
    <w:rsid w:val="00272B9E"/>
    <w:rsid w:val="00276927"/>
    <w:rsid w:val="002769F1"/>
    <w:rsid w:val="002769F3"/>
    <w:rsid w:val="00277159"/>
    <w:rsid w:val="002803B0"/>
    <w:rsid w:val="00280622"/>
    <w:rsid w:val="00280966"/>
    <w:rsid w:val="00281602"/>
    <w:rsid w:val="00281B0A"/>
    <w:rsid w:val="00281E5B"/>
    <w:rsid w:val="00281F19"/>
    <w:rsid w:val="0028210A"/>
    <w:rsid w:val="002825E0"/>
    <w:rsid w:val="002834D1"/>
    <w:rsid w:val="00283B86"/>
    <w:rsid w:val="00283C7E"/>
    <w:rsid w:val="002841A0"/>
    <w:rsid w:val="00284A12"/>
    <w:rsid w:val="00284D59"/>
    <w:rsid w:val="0028518A"/>
    <w:rsid w:val="00285783"/>
    <w:rsid w:val="00285A04"/>
    <w:rsid w:val="00285B29"/>
    <w:rsid w:val="00285CB0"/>
    <w:rsid w:val="00286E63"/>
    <w:rsid w:val="00287155"/>
    <w:rsid w:val="0028726B"/>
    <w:rsid w:val="00287AF6"/>
    <w:rsid w:val="002928AF"/>
    <w:rsid w:val="00292C56"/>
    <w:rsid w:val="00292DC9"/>
    <w:rsid w:val="002930F6"/>
    <w:rsid w:val="00293DCE"/>
    <w:rsid w:val="002942F4"/>
    <w:rsid w:val="00294355"/>
    <w:rsid w:val="00294F9D"/>
    <w:rsid w:val="00295B70"/>
    <w:rsid w:val="002962C0"/>
    <w:rsid w:val="002963B4"/>
    <w:rsid w:val="00296A0B"/>
    <w:rsid w:val="002A01FF"/>
    <w:rsid w:val="002A04BE"/>
    <w:rsid w:val="002A0CA9"/>
    <w:rsid w:val="002A0F45"/>
    <w:rsid w:val="002A10E9"/>
    <w:rsid w:val="002A1E76"/>
    <w:rsid w:val="002A286A"/>
    <w:rsid w:val="002A3CAE"/>
    <w:rsid w:val="002A40A3"/>
    <w:rsid w:val="002A459D"/>
    <w:rsid w:val="002A485F"/>
    <w:rsid w:val="002A4AF5"/>
    <w:rsid w:val="002A4E9E"/>
    <w:rsid w:val="002A5438"/>
    <w:rsid w:val="002A59BA"/>
    <w:rsid w:val="002A5A1E"/>
    <w:rsid w:val="002A6C86"/>
    <w:rsid w:val="002A6D46"/>
    <w:rsid w:val="002A7384"/>
    <w:rsid w:val="002A7462"/>
    <w:rsid w:val="002B03B2"/>
    <w:rsid w:val="002B03D0"/>
    <w:rsid w:val="002B1055"/>
    <w:rsid w:val="002B106F"/>
    <w:rsid w:val="002B1438"/>
    <w:rsid w:val="002B19F0"/>
    <w:rsid w:val="002B236A"/>
    <w:rsid w:val="002B307F"/>
    <w:rsid w:val="002B3627"/>
    <w:rsid w:val="002B3996"/>
    <w:rsid w:val="002B3A61"/>
    <w:rsid w:val="002B3ED2"/>
    <w:rsid w:val="002B4251"/>
    <w:rsid w:val="002B4A61"/>
    <w:rsid w:val="002B56FF"/>
    <w:rsid w:val="002B573F"/>
    <w:rsid w:val="002B57BA"/>
    <w:rsid w:val="002B5922"/>
    <w:rsid w:val="002B7636"/>
    <w:rsid w:val="002B7CC7"/>
    <w:rsid w:val="002C006A"/>
    <w:rsid w:val="002C07A5"/>
    <w:rsid w:val="002C086E"/>
    <w:rsid w:val="002C108D"/>
    <w:rsid w:val="002C16B3"/>
    <w:rsid w:val="002C2C16"/>
    <w:rsid w:val="002C32E7"/>
    <w:rsid w:val="002C3742"/>
    <w:rsid w:val="002C37DA"/>
    <w:rsid w:val="002C5D8F"/>
    <w:rsid w:val="002C5EB8"/>
    <w:rsid w:val="002C5F54"/>
    <w:rsid w:val="002C6C13"/>
    <w:rsid w:val="002C6CC1"/>
    <w:rsid w:val="002C74C0"/>
    <w:rsid w:val="002C74F9"/>
    <w:rsid w:val="002C7C7D"/>
    <w:rsid w:val="002D074E"/>
    <w:rsid w:val="002D16D5"/>
    <w:rsid w:val="002D19AB"/>
    <w:rsid w:val="002D1CB2"/>
    <w:rsid w:val="002D2293"/>
    <w:rsid w:val="002D231D"/>
    <w:rsid w:val="002D265F"/>
    <w:rsid w:val="002D27F7"/>
    <w:rsid w:val="002D2C12"/>
    <w:rsid w:val="002D2C2A"/>
    <w:rsid w:val="002D2F8C"/>
    <w:rsid w:val="002D328A"/>
    <w:rsid w:val="002D32C1"/>
    <w:rsid w:val="002D3C71"/>
    <w:rsid w:val="002D3DD0"/>
    <w:rsid w:val="002D3EC0"/>
    <w:rsid w:val="002D41B8"/>
    <w:rsid w:val="002D5D50"/>
    <w:rsid w:val="002D62C8"/>
    <w:rsid w:val="002D65E3"/>
    <w:rsid w:val="002D6BF7"/>
    <w:rsid w:val="002D6BFF"/>
    <w:rsid w:val="002D7171"/>
    <w:rsid w:val="002D7478"/>
    <w:rsid w:val="002D77AB"/>
    <w:rsid w:val="002D7AB2"/>
    <w:rsid w:val="002E0900"/>
    <w:rsid w:val="002E1AD3"/>
    <w:rsid w:val="002E2CFC"/>
    <w:rsid w:val="002E31E0"/>
    <w:rsid w:val="002E32B4"/>
    <w:rsid w:val="002E351B"/>
    <w:rsid w:val="002E3CDE"/>
    <w:rsid w:val="002E3DCC"/>
    <w:rsid w:val="002E45F4"/>
    <w:rsid w:val="002E69DA"/>
    <w:rsid w:val="002E6F64"/>
    <w:rsid w:val="002E7297"/>
    <w:rsid w:val="002E7807"/>
    <w:rsid w:val="002F0783"/>
    <w:rsid w:val="002F093A"/>
    <w:rsid w:val="002F1A09"/>
    <w:rsid w:val="002F1D03"/>
    <w:rsid w:val="002F21A0"/>
    <w:rsid w:val="002F31E8"/>
    <w:rsid w:val="002F3C5B"/>
    <w:rsid w:val="002F416A"/>
    <w:rsid w:val="002F4222"/>
    <w:rsid w:val="002F4399"/>
    <w:rsid w:val="002F463E"/>
    <w:rsid w:val="002F46C4"/>
    <w:rsid w:val="002F51CE"/>
    <w:rsid w:val="002F5B25"/>
    <w:rsid w:val="002F66C7"/>
    <w:rsid w:val="002F7600"/>
    <w:rsid w:val="003003C8"/>
    <w:rsid w:val="00300411"/>
    <w:rsid w:val="00300DB2"/>
    <w:rsid w:val="0030169E"/>
    <w:rsid w:val="00301712"/>
    <w:rsid w:val="00301FA4"/>
    <w:rsid w:val="00302CE9"/>
    <w:rsid w:val="003038EF"/>
    <w:rsid w:val="00303E60"/>
    <w:rsid w:val="00303FC3"/>
    <w:rsid w:val="0030442E"/>
    <w:rsid w:val="00304972"/>
    <w:rsid w:val="00304A09"/>
    <w:rsid w:val="00304EDD"/>
    <w:rsid w:val="00304FFA"/>
    <w:rsid w:val="0030522E"/>
    <w:rsid w:val="00305614"/>
    <w:rsid w:val="003064B2"/>
    <w:rsid w:val="00306F8C"/>
    <w:rsid w:val="00311697"/>
    <w:rsid w:val="0031252F"/>
    <w:rsid w:val="00313D37"/>
    <w:rsid w:val="00314BAF"/>
    <w:rsid w:val="00314D6A"/>
    <w:rsid w:val="003157BA"/>
    <w:rsid w:val="0031677D"/>
    <w:rsid w:val="003175A4"/>
    <w:rsid w:val="00321015"/>
    <w:rsid w:val="003217F2"/>
    <w:rsid w:val="00322962"/>
    <w:rsid w:val="00323186"/>
    <w:rsid w:val="0032356E"/>
    <w:rsid w:val="003238D1"/>
    <w:rsid w:val="00323AAC"/>
    <w:rsid w:val="00323B11"/>
    <w:rsid w:val="00323E8A"/>
    <w:rsid w:val="003248DB"/>
    <w:rsid w:val="00325C33"/>
    <w:rsid w:val="00325E81"/>
    <w:rsid w:val="003268F7"/>
    <w:rsid w:val="003269E7"/>
    <w:rsid w:val="00327046"/>
    <w:rsid w:val="00330CAD"/>
    <w:rsid w:val="003311FB"/>
    <w:rsid w:val="0033142C"/>
    <w:rsid w:val="003315E7"/>
    <w:rsid w:val="0033256C"/>
    <w:rsid w:val="00332DF5"/>
    <w:rsid w:val="003336EB"/>
    <w:rsid w:val="0033386D"/>
    <w:rsid w:val="0033441E"/>
    <w:rsid w:val="003346DE"/>
    <w:rsid w:val="0033495E"/>
    <w:rsid w:val="00334C30"/>
    <w:rsid w:val="003366BC"/>
    <w:rsid w:val="00337464"/>
    <w:rsid w:val="00337C89"/>
    <w:rsid w:val="00337E57"/>
    <w:rsid w:val="0034101D"/>
    <w:rsid w:val="00341F80"/>
    <w:rsid w:val="003425E1"/>
    <w:rsid w:val="0034430B"/>
    <w:rsid w:val="00345400"/>
    <w:rsid w:val="00345AAE"/>
    <w:rsid w:val="00345F2B"/>
    <w:rsid w:val="003469BA"/>
    <w:rsid w:val="00347319"/>
    <w:rsid w:val="0034733C"/>
    <w:rsid w:val="003474ED"/>
    <w:rsid w:val="003474F5"/>
    <w:rsid w:val="00347BA5"/>
    <w:rsid w:val="003511D7"/>
    <w:rsid w:val="00351C09"/>
    <w:rsid w:val="0035238B"/>
    <w:rsid w:val="003523E5"/>
    <w:rsid w:val="0035268E"/>
    <w:rsid w:val="00352B5B"/>
    <w:rsid w:val="00352BB1"/>
    <w:rsid w:val="003533E2"/>
    <w:rsid w:val="00353472"/>
    <w:rsid w:val="00354738"/>
    <w:rsid w:val="00355D82"/>
    <w:rsid w:val="003561B3"/>
    <w:rsid w:val="00357174"/>
    <w:rsid w:val="00357F46"/>
    <w:rsid w:val="00360C2F"/>
    <w:rsid w:val="00361A0C"/>
    <w:rsid w:val="00361E0C"/>
    <w:rsid w:val="003646E5"/>
    <w:rsid w:val="00364B1B"/>
    <w:rsid w:val="00365196"/>
    <w:rsid w:val="00365404"/>
    <w:rsid w:val="00365F1B"/>
    <w:rsid w:val="0036631E"/>
    <w:rsid w:val="00366BB0"/>
    <w:rsid w:val="0036788C"/>
    <w:rsid w:val="00370840"/>
    <w:rsid w:val="00370DEB"/>
    <w:rsid w:val="00371648"/>
    <w:rsid w:val="0037176C"/>
    <w:rsid w:val="00371ECD"/>
    <w:rsid w:val="00371FB6"/>
    <w:rsid w:val="00373455"/>
    <w:rsid w:val="00374588"/>
    <w:rsid w:val="00374903"/>
    <w:rsid w:val="003749F9"/>
    <w:rsid w:val="00375F48"/>
    <w:rsid w:val="00375F4F"/>
    <w:rsid w:val="00376573"/>
    <w:rsid w:val="00376A5A"/>
    <w:rsid w:val="003774D0"/>
    <w:rsid w:val="003775FA"/>
    <w:rsid w:val="00377F68"/>
    <w:rsid w:val="00380768"/>
    <w:rsid w:val="00380B7C"/>
    <w:rsid w:val="00381BEF"/>
    <w:rsid w:val="0038208C"/>
    <w:rsid w:val="00383739"/>
    <w:rsid w:val="00383D1E"/>
    <w:rsid w:val="00383FC5"/>
    <w:rsid w:val="00384C68"/>
    <w:rsid w:val="00384EC2"/>
    <w:rsid w:val="00385884"/>
    <w:rsid w:val="003862E6"/>
    <w:rsid w:val="00386B27"/>
    <w:rsid w:val="00386D34"/>
    <w:rsid w:val="00386DAA"/>
    <w:rsid w:val="003871DD"/>
    <w:rsid w:val="00387317"/>
    <w:rsid w:val="003904D0"/>
    <w:rsid w:val="00390E4B"/>
    <w:rsid w:val="003913AE"/>
    <w:rsid w:val="00391550"/>
    <w:rsid w:val="00392089"/>
    <w:rsid w:val="00392874"/>
    <w:rsid w:val="00392EBE"/>
    <w:rsid w:val="003933A1"/>
    <w:rsid w:val="0039416C"/>
    <w:rsid w:val="0039468B"/>
    <w:rsid w:val="003949D1"/>
    <w:rsid w:val="00394AD7"/>
    <w:rsid w:val="0039698F"/>
    <w:rsid w:val="00396A06"/>
    <w:rsid w:val="00396A59"/>
    <w:rsid w:val="00396AC7"/>
    <w:rsid w:val="00397D14"/>
    <w:rsid w:val="003A0658"/>
    <w:rsid w:val="003A11EF"/>
    <w:rsid w:val="003A2FD6"/>
    <w:rsid w:val="003A3C88"/>
    <w:rsid w:val="003A3E5D"/>
    <w:rsid w:val="003A3E6C"/>
    <w:rsid w:val="003A4019"/>
    <w:rsid w:val="003A420B"/>
    <w:rsid w:val="003A4781"/>
    <w:rsid w:val="003A4E88"/>
    <w:rsid w:val="003A5109"/>
    <w:rsid w:val="003A5EC1"/>
    <w:rsid w:val="003A6733"/>
    <w:rsid w:val="003A7297"/>
    <w:rsid w:val="003A7599"/>
    <w:rsid w:val="003A7927"/>
    <w:rsid w:val="003A7C04"/>
    <w:rsid w:val="003A7CF4"/>
    <w:rsid w:val="003B08AA"/>
    <w:rsid w:val="003B10AF"/>
    <w:rsid w:val="003B1B39"/>
    <w:rsid w:val="003B25AF"/>
    <w:rsid w:val="003B268B"/>
    <w:rsid w:val="003B306C"/>
    <w:rsid w:val="003B3419"/>
    <w:rsid w:val="003B3811"/>
    <w:rsid w:val="003B38F5"/>
    <w:rsid w:val="003B3BED"/>
    <w:rsid w:val="003B487A"/>
    <w:rsid w:val="003B4F76"/>
    <w:rsid w:val="003B64C4"/>
    <w:rsid w:val="003B6B24"/>
    <w:rsid w:val="003B6EF8"/>
    <w:rsid w:val="003B6F43"/>
    <w:rsid w:val="003B7428"/>
    <w:rsid w:val="003B75F1"/>
    <w:rsid w:val="003B7B80"/>
    <w:rsid w:val="003C03FC"/>
    <w:rsid w:val="003C0542"/>
    <w:rsid w:val="003C0560"/>
    <w:rsid w:val="003C1810"/>
    <w:rsid w:val="003C1957"/>
    <w:rsid w:val="003C1CA7"/>
    <w:rsid w:val="003C2D56"/>
    <w:rsid w:val="003C2F84"/>
    <w:rsid w:val="003C31E0"/>
    <w:rsid w:val="003C38D1"/>
    <w:rsid w:val="003C395E"/>
    <w:rsid w:val="003C464C"/>
    <w:rsid w:val="003C4945"/>
    <w:rsid w:val="003C5240"/>
    <w:rsid w:val="003C7498"/>
    <w:rsid w:val="003D0CA8"/>
    <w:rsid w:val="003D22DD"/>
    <w:rsid w:val="003D30CF"/>
    <w:rsid w:val="003D391D"/>
    <w:rsid w:val="003D404A"/>
    <w:rsid w:val="003D49A5"/>
    <w:rsid w:val="003D63BD"/>
    <w:rsid w:val="003D6F0C"/>
    <w:rsid w:val="003D70CB"/>
    <w:rsid w:val="003D70E3"/>
    <w:rsid w:val="003D76B5"/>
    <w:rsid w:val="003D7EFF"/>
    <w:rsid w:val="003D7F67"/>
    <w:rsid w:val="003E0027"/>
    <w:rsid w:val="003E19B1"/>
    <w:rsid w:val="003E258E"/>
    <w:rsid w:val="003E2F79"/>
    <w:rsid w:val="003E3229"/>
    <w:rsid w:val="003E39AC"/>
    <w:rsid w:val="003E4C0A"/>
    <w:rsid w:val="003E569B"/>
    <w:rsid w:val="003E5CFD"/>
    <w:rsid w:val="003E5D13"/>
    <w:rsid w:val="003E68D3"/>
    <w:rsid w:val="003E6CCC"/>
    <w:rsid w:val="003E6D83"/>
    <w:rsid w:val="003E763A"/>
    <w:rsid w:val="003E76F0"/>
    <w:rsid w:val="003E7799"/>
    <w:rsid w:val="003E7E20"/>
    <w:rsid w:val="003F088A"/>
    <w:rsid w:val="003F1F15"/>
    <w:rsid w:val="003F2460"/>
    <w:rsid w:val="003F26B4"/>
    <w:rsid w:val="003F2E40"/>
    <w:rsid w:val="003F3463"/>
    <w:rsid w:val="003F3B10"/>
    <w:rsid w:val="003F4DB5"/>
    <w:rsid w:val="003F5BD3"/>
    <w:rsid w:val="003F6092"/>
    <w:rsid w:val="003F74A8"/>
    <w:rsid w:val="003F7DA8"/>
    <w:rsid w:val="004007EF"/>
    <w:rsid w:val="004008DE"/>
    <w:rsid w:val="00400C7B"/>
    <w:rsid w:val="004015BE"/>
    <w:rsid w:val="004019F0"/>
    <w:rsid w:val="004027F6"/>
    <w:rsid w:val="00402864"/>
    <w:rsid w:val="00402EF9"/>
    <w:rsid w:val="0040300A"/>
    <w:rsid w:val="004030AE"/>
    <w:rsid w:val="00403D28"/>
    <w:rsid w:val="00403FAC"/>
    <w:rsid w:val="004058B4"/>
    <w:rsid w:val="004058D7"/>
    <w:rsid w:val="00406494"/>
    <w:rsid w:val="00406DCC"/>
    <w:rsid w:val="00406DEC"/>
    <w:rsid w:val="00407D3B"/>
    <w:rsid w:val="0041048B"/>
    <w:rsid w:val="00411A64"/>
    <w:rsid w:val="004122CB"/>
    <w:rsid w:val="00412531"/>
    <w:rsid w:val="00413BDA"/>
    <w:rsid w:val="00414159"/>
    <w:rsid w:val="004146F6"/>
    <w:rsid w:val="0041476F"/>
    <w:rsid w:val="0041483A"/>
    <w:rsid w:val="00414E5E"/>
    <w:rsid w:val="0041503A"/>
    <w:rsid w:val="0041656D"/>
    <w:rsid w:val="004166DE"/>
    <w:rsid w:val="00416E49"/>
    <w:rsid w:val="00417A9E"/>
    <w:rsid w:val="00417CCD"/>
    <w:rsid w:val="004206E2"/>
    <w:rsid w:val="00420FCD"/>
    <w:rsid w:val="00421231"/>
    <w:rsid w:val="00421253"/>
    <w:rsid w:val="004215C0"/>
    <w:rsid w:val="0042271C"/>
    <w:rsid w:val="0042298E"/>
    <w:rsid w:val="00422F1C"/>
    <w:rsid w:val="00424169"/>
    <w:rsid w:val="00424295"/>
    <w:rsid w:val="00424C2E"/>
    <w:rsid w:val="004263CF"/>
    <w:rsid w:val="0042700D"/>
    <w:rsid w:val="00427A92"/>
    <w:rsid w:val="004308CB"/>
    <w:rsid w:val="00430AC1"/>
    <w:rsid w:val="00430EAE"/>
    <w:rsid w:val="00432726"/>
    <w:rsid w:val="004329EB"/>
    <w:rsid w:val="00432C19"/>
    <w:rsid w:val="00432EE3"/>
    <w:rsid w:val="0043440B"/>
    <w:rsid w:val="004347E3"/>
    <w:rsid w:val="00434EAE"/>
    <w:rsid w:val="004355F6"/>
    <w:rsid w:val="00435955"/>
    <w:rsid w:val="00435A1B"/>
    <w:rsid w:val="00435A7C"/>
    <w:rsid w:val="00435A9A"/>
    <w:rsid w:val="00436641"/>
    <w:rsid w:val="00437B56"/>
    <w:rsid w:val="0044051E"/>
    <w:rsid w:val="00440733"/>
    <w:rsid w:val="0044087A"/>
    <w:rsid w:val="004410A0"/>
    <w:rsid w:val="00441724"/>
    <w:rsid w:val="004425F3"/>
    <w:rsid w:val="00442885"/>
    <w:rsid w:val="00442BD3"/>
    <w:rsid w:val="00443A71"/>
    <w:rsid w:val="00444C3E"/>
    <w:rsid w:val="0044507E"/>
    <w:rsid w:val="00445F01"/>
    <w:rsid w:val="00446968"/>
    <w:rsid w:val="00447DB1"/>
    <w:rsid w:val="004502CC"/>
    <w:rsid w:val="00450549"/>
    <w:rsid w:val="0045114C"/>
    <w:rsid w:val="00451BFB"/>
    <w:rsid w:val="00452259"/>
    <w:rsid w:val="00452778"/>
    <w:rsid w:val="00452B91"/>
    <w:rsid w:val="00454541"/>
    <w:rsid w:val="00454894"/>
    <w:rsid w:val="0045558E"/>
    <w:rsid w:val="004557E7"/>
    <w:rsid w:val="00455C0A"/>
    <w:rsid w:val="00455F54"/>
    <w:rsid w:val="00456548"/>
    <w:rsid w:val="0045747F"/>
    <w:rsid w:val="004600D9"/>
    <w:rsid w:val="004601B4"/>
    <w:rsid w:val="004607A1"/>
    <w:rsid w:val="004608DF"/>
    <w:rsid w:val="00460C3D"/>
    <w:rsid w:val="004611CB"/>
    <w:rsid w:val="004611D0"/>
    <w:rsid w:val="0046157C"/>
    <w:rsid w:val="00461E09"/>
    <w:rsid w:val="00462ADF"/>
    <w:rsid w:val="00462AF1"/>
    <w:rsid w:val="00462B97"/>
    <w:rsid w:val="004634D0"/>
    <w:rsid w:val="00463BE8"/>
    <w:rsid w:val="0046450A"/>
    <w:rsid w:val="00465CA0"/>
    <w:rsid w:val="00465DB6"/>
    <w:rsid w:val="00470445"/>
    <w:rsid w:val="0047110E"/>
    <w:rsid w:val="00471BA6"/>
    <w:rsid w:val="00472575"/>
    <w:rsid w:val="004728F7"/>
    <w:rsid w:val="00472EE4"/>
    <w:rsid w:val="00473526"/>
    <w:rsid w:val="004735EE"/>
    <w:rsid w:val="00473F5B"/>
    <w:rsid w:val="00474D5B"/>
    <w:rsid w:val="00476955"/>
    <w:rsid w:val="00477A6C"/>
    <w:rsid w:val="004804D9"/>
    <w:rsid w:val="004809EE"/>
    <w:rsid w:val="00482539"/>
    <w:rsid w:val="00483957"/>
    <w:rsid w:val="00483C69"/>
    <w:rsid w:val="00484020"/>
    <w:rsid w:val="0048412C"/>
    <w:rsid w:val="0048419D"/>
    <w:rsid w:val="0048494E"/>
    <w:rsid w:val="00484D93"/>
    <w:rsid w:val="004852DD"/>
    <w:rsid w:val="00486C44"/>
    <w:rsid w:val="00487BA2"/>
    <w:rsid w:val="00490041"/>
    <w:rsid w:val="00490047"/>
    <w:rsid w:val="00490123"/>
    <w:rsid w:val="00490AB0"/>
    <w:rsid w:val="00490FC9"/>
    <w:rsid w:val="004913A4"/>
    <w:rsid w:val="00491E3E"/>
    <w:rsid w:val="004922D3"/>
    <w:rsid w:val="00492572"/>
    <w:rsid w:val="0049262E"/>
    <w:rsid w:val="00492E5A"/>
    <w:rsid w:val="004937DA"/>
    <w:rsid w:val="004939AE"/>
    <w:rsid w:val="004939C1"/>
    <w:rsid w:val="004939E2"/>
    <w:rsid w:val="00493D84"/>
    <w:rsid w:val="00493D92"/>
    <w:rsid w:val="004941B5"/>
    <w:rsid w:val="0049549D"/>
    <w:rsid w:val="00495C0B"/>
    <w:rsid w:val="00495DFF"/>
    <w:rsid w:val="00496C4D"/>
    <w:rsid w:val="004970E0"/>
    <w:rsid w:val="00497478"/>
    <w:rsid w:val="004974A7"/>
    <w:rsid w:val="004975D7"/>
    <w:rsid w:val="00497C87"/>
    <w:rsid w:val="00497E13"/>
    <w:rsid w:val="004A014F"/>
    <w:rsid w:val="004A0298"/>
    <w:rsid w:val="004A0307"/>
    <w:rsid w:val="004A15C2"/>
    <w:rsid w:val="004A16E5"/>
    <w:rsid w:val="004A1782"/>
    <w:rsid w:val="004A24C2"/>
    <w:rsid w:val="004A24F2"/>
    <w:rsid w:val="004A3264"/>
    <w:rsid w:val="004A3C52"/>
    <w:rsid w:val="004A4FE7"/>
    <w:rsid w:val="004A5459"/>
    <w:rsid w:val="004A5616"/>
    <w:rsid w:val="004A74E0"/>
    <w:rsid w:val="004A7C51"/>
    <w:rsid w:val="004B0919"/>
    <w:rsid w:val="004B133B"/>
    <w:rsid w:val="004B2165"/>
    <w:rsid w:val="004B3F04"/>
    <w:rsid w:val="004B4CD6"/>
    <w:rsid w:val="004B5A38"/>
    <w:rsid w:val="004B6008"/>
    <w:rsid w:val="004B6090"/>
    <w:rsid w:val="004B6623"/>
    <w:rsid w:val="004B6AB8"/>
    <w:rsid w:val="004B756B"/>
    <w:rsid w:val="004B7A7A"/>
    <w:rsid w:val="004B7E91"/>
    <w:rsid w:val="004C002E"/>
    <w:rsid w:val="004C20C3"/>
    <w:rsid w:val="004C28B8"/>
    <w:rsid w:val="004C2A61"/>
    <w:rsid w:val="004C2C81"/>
    <w:rsid w:val="004C3A63"/>
    <w:rsid w:val="004C5227"/>
    <w:rsid w:val="004C561D"/>
    <w:rsid w:val="004C579E"/>
    <w:rsid w:val="004C57E2"/>
    <w:rsid w:val="004C62B4"/>
    <w:rsid w:val="004C6C10"/>
    <w:rsid w:val="004D1967"/>
    <w:rsid w:val="004D26C8"/>
    <w:rsid w:val="004D27A2"/>
    <w:rsid w:val="004D2EDC"/>
    <w:rsid w:val="004D2F08"/>
    <w:rsid w:val="004D4927"/>
    <w:rsid w:val="004D65C2"/>
    <w:rsid w:val="004D73FF"/>
    <w:rsid w:val="004D7D55"/>
    <w:rsid w:val="004D7DA0"/>
    <w:rsid w:val="004D7DD8"/>
    <w:rsid w:val="004E0073"/>
    <w:rsid w:val="004E046C"/>
    <w:rsid w:val="004E053D"/>
    <w:rsid w:val="004E0742"/>
    <w:rsid w:val="004E09A7"/>
    <w:rsid w:val="004E120A"/>
    <w:rsid w:val="004E1733"/>
    <w:rsid w:val="004E1D1B"/>
    <w:rsid w:val="004E2542"/>
    <w:rsid w:val="004E2C23"/>
    <w:rsid w:val="004E30CC"/>
    <w:rsid w:val="004E33A7"/>
    <w:rsid w:val="004E42B3"/>
    <w:rsid w:val="004E47BB"/>
    <w:rsid w:val="004E4DF4"/>
    <w:rsid w:val="004E5001"/>
    <w:rsid w:val="004E5A8A"/>
    <w:rsid w:val="004E5E50"/>
    <w:rsid w:val="004E6102"/>
    <w:rsid w:val="004E7A48"/>
    <w:rsid w:val="004E7BFE"/>
    <w:rsid w:val="004F0C10"/>
    <w:rsid w:val="004F225F"/>
    <w:rsid w:val="004F2572"/>
    <w:rsid w:val="004F26E9"/>
    <w:rsid w:val="004F33A8"/>
    <w:rsid w:val="004F34CF"/>
    <w:rsid w:val="004F3A20"/>
    <w:rsid w:val="004F3CB0"/>
    <w:rsid w:val="004F4A0B"/>
    <w:rsid w:val="004F5BB5"/>
    <w:rsid w:val="004F6518"/>
    <w:rsid w:val="004F73D9"/>
    <w:rsid w:val="00500B25"/>
    <w:rsid w:val="00500EB2"/>
    <w:rsid w:val="00501448"/>
    <w:rsid w:val="005028DC"/>
    <w:rsid w:val="0050342F"/>
    <w:rsid w:val="0050471D"/>
    <w:rsid w:val="00504A72"/>
    <w:rsid w:val="005050C6"/>
    <w:rsid w:val="00505A7A"/>
    <w:rsid w:val="00505AC9"/>
    <w:rsid w:val="00505B32"/>
    <w:rsid w:val="0050757D"/>
    <w:rsid w:val="00507BC5"/>
    <w:rsid w:val="005102AB"/>
    <w:rsid w:val="00510767"/>
    <w:rsid w:val="00510B6B"/>
    <w:rsid w:val="00510BCE"/>
    <w:rsid w:val="00511428"/>
    <w:rsid w:val="00511CD1"/>
    <w:rsid w:val="00511DA4"/>
    <w:rsid w:val="005121C9"/>
    <w:rsid w:val="00512F69"/>
    <w:rsid w:val="00513538"/>
    <w:rsid w:val="00513B07"/>
    <w:rsid w:val="00513D48"/>
    <w:rsid w:val="00514D44"/>
    <w:rsid w:val="005159F5"/>
    <w:rsid w:val="0051657A"/>
    <w:rsid w:val="00516C82"/>
    <w:rsid w:val="0052115F"/>
    <w:rsid w:val="00521602"/>
    <w:rsid w:val="00522289"/>
    <w:rsid w:val="00522336"/>
    <w:rsid w:val="00522F09"/>
    <w:rsid w:val="005230E1"/>
    <w:rsid w:val="00523422"/>
    <w:rsid w:val="005235AC"/>
    <w:rsid w:val="005237DA"/>
    <w:rsid w:val="005247BE"/>
    <w:rsid w:val="0052493B"/>
    <w:rsid w:val="00525DB6"/>
    <w:rsid w:val="00526647"/>
    <w:rsid w:val="005268BF"/>
    <w:rsid w:val="00526A99"/>
    <w:rsid w:val="00526F13"/>
    <w:rsid w:val="00527F0A"/>
    <w:rsid w:val="0053066B"/>
    <w:rsid w:val="00530813"/>
    <w:rsid w:val="00530BFA"/>
    <w:rsid w:val="00530F04"/>
    <w:rsid w:val="005311F4"/>
    <w:rsid w:val="00531CFA"/>
    <w:rsid w:val="00532838"/>
    <w:rsid w:val="0053301F"/>
    <w:rsid w:val="005337D0"/>
    <w:rsid w:val="00533A87"/>
    <w:rsid w:val="005350B3"/>
    <w:rsid w:val="005359F0"/>
    <w:rsid w:val="00535CFF"/>
    <w:rsid w:val="00535E7C"/>
    <w:rsid w:val="00537528"/>
    <w:rsid w:val="0053795A"/>
    <w:rsid w:val="005379BD"/>
    <w:rsid w:val="0054076A"/>
    <w:rsid w:val="00541108"/>
    <w:rsid w:val="005411FB"/>
    <w:rsid w:val="0054179D"/>
    <w:rsid w:val="005418E0"/>
    <w:rsid w:val="00541B09"/>
    <w:rsid w:val="00542A82"/>
    <w:rsid w:val="00542FCE"/>
    <w:rsid w:val="005431CD"/>
    <w:rsid w:val="005437FE"/>
    <w:rsid w:val="005462EE"/>
    <w:rsid w:val="005464FD"/>
    <w:rsid w:val="00546D03"/>
    <w:rsid w:val="00547FB5"/>
    <w:rsid w:val="005500AE"/>
    <w:rsid w:val="00550877"/>
    <w:rsid w:val="00550E2D"/>
    <w:rsid w:val="005513F2"/>
    <w:rsid w:val="00551754"/>
    <w:rsid w:val="005522DA"/>
    <w:rsid w:val="0055370E"/>
    <w:rsid w:val="00553B2F"/>
    <w:rsid w:val="005547C3"/>
    <w:rsid w:val="00554A9B"/>
    <w:rsid w:val="00555F2E"/>
    <w:rsid w:val="00556767"/>
    <w:rsid w:val="005568EB"/>
    <w:rsid w:val="00557570"/>
    <w:rsid w:val="0056033F"/>
    <w:rsid w:val="005604F9"/>
    <w:rsid w:val="00560856"/>
    <w:rsid w:val="0056181E"/>
    <w:rsid w:val="00561B50"/>
    <w:rsid w:val="00561E08"/>
    <w:rsid w:val="0056321D"/>
    <w:rsid w:val="005648B1"/>
    <w:rsid w:val="00564BF2"/>
    <w:rsid w:val="00564D31"/>
    <w:rsid w:val="00564F69"/>
    <w:rsid w:val="00564FB9"/>
    <w:rsid w:val="00565369"/>
    <w:rsid w:val="005657F9"/>
    <w:rsid w:val="00565E52"/>
    <w:rsid w:val="005666D6"/>
    <w:rsid w:val="00566CB4"/>
    <w:rsid w:val="00567D47"/>
    <w:rsid w:val="00570BA2"/>
    <w:rsid w:val="00570F21"/>
    <w:rsid w:val="005714A0"/>
    <w:rsid w:val="00572102"/>
    <w:rsid w:val="005721BC"/>
    <w:rsid w:val="00572348"/>
    <w:rsid w:val="00572D9A"/>
    <w:rsid w:val="00573164"/>
    <w:rsid w:val="00573604"/>
    <w:rsid w:val="0057381C"/>
    <w:rsid w:val="00574830"/>
    <w:rsid w:val="0057521C"/>
    <w:rsid w:val="00575323"/>
    <w:rsid w:val="00575618"/>
    <w:rsid w:val="0057563C"/>
    <w:rsid w:val="00575AF9"/>
    <w:rsid w:val="00575F99"/>
    <w:rsid w:val="00575FAF"/>
    <w:rsid w:val="005761CD"/>
    <w:rsid w:val="00576358"/>
    <w:rsid w:val="005763D1"/>
    <w:rsid w:val="00576FDA"/>
    <w:rsid w:val="00580235"/>
    <w:rsid w:val="0058027F"/>
    <w:rsid w:val="005805B7"/>
    <w:rsid w:val="00580A6A"/>
    <w:rsid w:val="00580E95"/>
    <w:rsid w:val="00580F33"/>
    <w:rsid w:val="00581EF0"/>
    <w:rsid w:val="00581F9E"/>
    <w:rsid w:val="0058229A"/>
    <w:rsid w:val="0058252D"/>
    <w:rsid w:val="00582B6E"/>
    <w:rsid w:val="00582F20"/>
    <w:rsid w:val="00582FDD"/>
    <w:rsid w:val="0058372C"/>
    <w:rsid w:val="00583875"/>
    <w:rsid w:val="00583C84"/>
    <w:rsid w:val="00583E9E"/>
    <w:rsid w:val="00585CF0"/>
    <w:rsid w:val="00585FD1"/>
    <w:rsid w:val="0058782E"/>
    <w:rsid w:val="00590264"/>
    <w:rsid w:val="005902F4"/>
    <w:rsid w:val="00590FB2"/>
    <w:rsid w:val="00591495"/>
    <w:rsid w:val="005914EC"/>
    <w:rsid w:val="005915D2"/>
    <w:rsid w:val="00591736"/>
    <w:rsid w:val="00591A40"/>
    <w:rsid w:val="00591E2A"/>
    <w:rsid w:val="005920BA"/>
    <w:rsid w:val="005920C2"/>
    <w:rsid w:val="00592ADA"/>
    <w:rsid w:val="00592B94"/>
    <w:rsid w:val="0059439B"/>
    <w:rsid w:val="00594779"/>
    <w:rsid w:val="00594F55"/>
    <w:rsid w:val="005956D2"/>
    <w:rsid w:val="005959FA"/>
    <w:rsid w:val="00595AC7"/>
    <w:rsid w:val="00595CDC"/>
    <w:rsid w:val="00595DBF"/>
    <w:rsid w:val="00596C2D"/>
    <w:rsid w:val="005970AF"/>
    <w:rsid w:val="00597E51"/>
    <w:rsid w:val="005A04A4"/>
    <w:rsid w:val="005A05D9"/>
    <w:rsid w:val="005A1202"/>
    <w:rsid w:val="005A1517"/>
    <w:rsid w:val="005A2547"/>
    <w:rsid w:val="005A25E5"/>
    <w:rsid w:val="005A2741"/>
    <w:rsid w:val="005A2F46"/>
    <w:rsid w:val="005A3BB0"/>
    <w:rsid w:val="005A426E"/>
    <w:rsid w:val="005A447A"/>
    <w:rsid w:val="005A4AF7"/>
    <w:rsid w:val="005A4B98"/>
    <w:rsid w:val="005A5199"/>
    <w:rsid w:val="005A5498"/>
    <w:rsid w:val="005A597C"/>
    <w:rsid w:val="005A5A1E"/>
    <w:rsid w:val="005A6BFB"/>
    <w:rsid w:val="005A78C5"/>
    <w:rsid w:val="005B056C"/>
    <w:rsid w:val="005B2CC0"/>
    <w:rsid w:val="005B2F67"/>
    <w:rsid w:val="005B33FC"/>
    <w:rsid w:val="005B363F"/>
    <w:rsid w:val="005B4040"/>
    <w:rsid w:val="005B4DE1"/>
    <w:rsid w:val="005B5277"/>
    <w:rsid w:val="005B53E4"/>
    <w:rsid w:val="005B53F0"/>
    <w:rsid w:val="005B5501"/>
    <w:rsid w:val="005B57FE"/>
    <w:rsid w:val="005B615F"/>
    <w:rsid w:val="005B61CD"/>
    <w:rsid w:val="005B6F0C"/>
    <w:rsid w:val="005B7451"/>
    <w:rsid w:val="005C109E"/>
    <w:rsid w:val="005C1E81"/>
    <w:rsid w:val="005C27C0"/>
    <w:rsid w:val="005C2A85"/>
    <w:rsid w:val="005C3503"/>
    <w:rsid w:val="005C395B"/>
    <w:rsid w:val="005C4C03"/>
    <w:rsid w:val="005C54D0"/>
    <w:rsid w:val="005C55E4"/>
    <w:rsid w:val="005C5D99"/>
    <w:rsid w:val="005C60AA"/>
    <w:rsid w:val="005C76A2"/>
    <w:rsid w:val="005C7E97"/>
    <w:rsid w:val="005C7E9A"/>
    <w:rsid w:val="005D006A"/>
    <w:rsid w:val="005D118A"/>
    <w:rsid w:val="005D1699"/>
    <w:rsid w:val="005D169B"/>
    <w:rsid w:val="005D1CCE"/>
    <w:rsid w:val="005D3E68"/>
    <w:rsid w:val="005D406F"/>
    <w:rsid w:val="005D4EDB"/>
    <w:rsid w:val="005D5538"/>
    <w:rsid w:val="005D5D82"/>
    <w:rsid w:val="005D5E27"/>
    <w:rsid w:val="005D6CF5"/>
    <w:rsid w:val="005D76F7"/>
    <w:rsid w:val="005E0591"/>
    <w:rsid w:val="005E07C3"/>
    <w:rsid w:val="005E0AC7"/>
    <w:rsid w:val="005E0E6C"/>
    <w:rsid w:val="005E1034"/>
    <w:rsid w:val="005E10D8"/>
    <w:rsid w:val="005E2673"/>
    <w:rsid w:val="005E26BB"/>
    <w:rsid w:val="005E3DBE"/>
    <w:rsid w:val="005E3EAD"/>
    <w:rsid w:val="005E3F3F"/>
    <w:rsid w:val="005E4712"/>
    <w:rsid w:val="005E5395"/>
    <w:rsid w:val="005E5576"/>
    <w:rsid w:val="005E5766"/>
    <w:rsid w:val="005E5A61"/>
    <w:rsid w:val="005E76F2"/>
    <w:rsid w:val="005F1758"/>
    <w:rsid w:val="005F385E"/>
    <w:rsid w:val="005F4599"/>
    <w:rsid w:val="005F4F13"/>
    <w:rsid w:val="005F514B"/>
    <w:rsid w:val="005F554F"/>
    <w:rsid w:val="005F5CEB"/>
    <w:rsid w:val="005F61B6"/>
    <w:rsid w:val="005F68C2"/>
    <w:rsid w:val="005F6ABA"/>
    <w:rsid w:val="005F6B9E"/>
    <w:rsid w:val="005F76E6"/>
    <w:rsid w:val="005F7974"/>
    <w:rsid w:val="005F79CA"/>
    <w:rsid w:val="005F7C23"/>
    <w:rsid w:val="00600163"/>
    <w:rsid w:val="0060082B"/>
    <w:rsid w:val="00600837"/>
    <w:rsid w:val="00601AE1"/>
    <w:rsid w:val="00601CB1"/>
    <w:rsid w:val="00602D55"/>
    <w:rsid w:val="00602EB5"/>
    <w:rsid w:val="0060426D"/>
    <w:rsid w:val="006048E5"/>
    <w:rsid w:val="0060490D"/>
    <w:rsid w:val="00604E59"/>
    <w:rsid w:val="0060587B"/>
    <w:rsid w:val="0060595C"/>
    <w:rsid w:val="00605B03"/>
    <w:rsid w:val="0060646F"/>
    <w:rsid w:val="006068AF"/>
    <w:rsid w:val="00606C45"/>
    <w:rsid w:val="00611F41"/>
    <w:rsid w:val="006128CA"/>
    <w:rsid w:val="00612EA6"/>
    <w:rsid w:val="00613257"/>
    <w:rsid w:val="0061374E"/>
    <w:rsid w:val="00613975"/>
    <w:rsid w:val="00614307"/>
    <w:rsid w:val="00614351"/>
    <w:rsid w:val="006165A9"/>
    <w:rsid w:val="00616DF3"/>
    <w:rsid w:val="0061789F"/>
    <w:rsid w:val="00617D03"/>
    <w:rsid w:val="0062131B"/>
    <w:rsid w:val="006213FE"/>
    <w:rsid w:val="00622053"/>
    <w:rsid w:val="00624992"/>
    <w:rsid w:val="00625BD6"/>
    <w:rsid w:val="00625D0B"/>
    <w:rsid w:val="00626178"/>
    <w:rsid w:val="00626A97"/>
    <w:rsid w:val="00626E93"/>
    <w:rsid w:val="00627A24"/>
    <w:rsid w:val="00627D99"/>
    <w:rsid w:val="006301C8"/>
    <w:rsid w:val="00630340"/>
    <w:rsid w:val="00630535"/>
    <w:rsid w:val="006309BB"/>
    <w:rsid w:val="00630B1F"/>
    <w:rsid w:val="006318A8"/>
    <w:rsid w:val="00631D93"/>
    <w:rsid w:val="006321E9"/>
    <w:rsid w:val="00632FAF"/>
    <w:rsid w:val="00632FFF"/>
    <w:rsid w:val="00634705"/>
    <w:rsid w:val="00634C5B"/>
    <w:rsid w:val="006353DA"/>
    <w:rsid w:val="0063671B"/>
    <w:rsid w:val="00636895"/>
    <w:rsid w:val="006371EA"/>
    <w:rsid w:val="00637A6D"/>
    <w:rsid w:val="0064145E"/>
    <w:rsid w:val="00642CCD"/>
    <w:rsid w:val="0064361B"/>
    <w:rsid w:val="00643989"/>
    <w:rsid w:val="00644780"/>
    <w:rsid w:val="006456FE"/>
    <w:rsid w:val="006461FD"/>
    <w:rsid w:val="0064642E"/>
    <w:rsid w:val="00647871"/>
    <w:rsid w:val="00647EA3"/>
    <w:rsid w:val="00650314"/>
    <w:rsid w:val="0065038A"/>
    <w:rsid w:val="0065057D"/>
    <w:rsid w:val="006508DC"/>
    <w:rsid w:val="00652D47"/>
    <w:rsid w:val="006533DB"/>
    <w:rsid w:val="00653498"/>
    <w:rsid w:val="006534FF"/>
    <w:rsid w:val="00653601"/>
    <w:rsid w:val="0065497C"/>
    <w:rsid w:val="00654FB7"/>
    <w:rsid w:val="0065507D"/>
    <w:rsid w:val="006551FF"/>
    <w:rsid w:val="00655317"/>
    <w:rsid w:val="00655710"/>
    <w:rsid w:val="00655831"/>
    <w:rsid w:val="00655AA4"/>
    <w:rsid w:val="006566EB"/>
    <w:rsid w:val="00656823"/>
    <w:rsid w:val="006568FC"/>
    <w:rsid w:val="00656943"/>
    <w:rsid w:val="00656FB4"/>
    <w:rsid w:val="00657491"/>
    <w:rsid w:val="0065755B"/>
    <w:rsid w:val="00657D45"/>
    <w:rsid w:val="00657EA6"/>
    <w:rsid w:val="00660252"/>
    <w:rsid w:val="00660254"/>
    <w:rsid w:val="006612F6"/>
    <w:rsid w:val="00662078"/>
    <w:rsid w:val="0066217F"/>
    <w:rsid w:val="006622FA"/>
    <w:rsid w:val="00663045"/>
    <w:rsid w:val="00663323"/>
    <w:rsid w:val="00663FCC"/>
    <w:rsid w:val="0066479C"/>
    <w:rsid w:val="00664E5C"/>
    <w:rsid w:val="00665AD6"/>
    <w:rsid w:val="00666BEF"/>
    <w:rsid w:val="00666C33"/>
    <w:rsid w:val="0066772B"/>
    <w:rsid w:val="00667D21"/>
    <w:rsid w:val="006701E1"/>
    <w:rsid w:val="0067126E"/>
    <w:rsid w:val="006714D1"/>
    <w:rsid w:val="00671DF0"/>
    <w:rsid w:val="00673A2A"/>
    <w:rsid w:val="006743E8"/>
    <w:rsid w:val="00674AF4"/>
    <w:rsid w:val="00675B05"/>
    <w:rsid w:val="00675EA6"/>
    <w:rsid w:val="006776CB"/>
    <w:rsid w:val="00681A0D"/>
    <w:rsid w:val="00682917"/>
    <w:rsid w:val="0068392D"/>
    <w:rsid w:val="00683B4B"/>
    <w:rsid w:val="00683BE0"/>
    <w:rsid w:val="00683FC6"/>
    <w:rsid w:val="00685698"/>
    <w:rsid w:val="006871E0"/>
    <w:rsid w:val="00690F6E"/>
    <w:rsid w:val="00691409"/>
    <w:rsid w:val="0069249C"/>
    <w:rsid w:val="006926FB"/>
    <w:rsid w:val="006934E1"/>
    <w:rsid w:val="00693730"/>
    <w:rsid w:val="00693E4B"/>
    <w:rsid w:val="00693F17"/>
    <w:rsid w:val="00694136"/>
    <w:rsid w:val="006943F0"/>
    <w:rsid w:val="0069535F"/>
    <w:rsid w:val="0069537D"/>
    <w:rsid w:val="00695767"/>
    <w:rsid w:val="00695788"/>
    <w:rsid w:val="006966FD"/>
    <w:rsid w:val="006969C4"/>
    <w:rsid w:val="00696DB2"/>
    <w:rsid w:val="00696FA2"/>
    <w:rsid w:val="0069766A"/>
    <w:rsid w:val="006A002E"/>
    <w:rsid w:val="006A073E"/>
    <w:rsid w:val="006A1859"/>
    <w:rsid w:val="006A2658"/>
    <w:rsid w:val="006A2A2C"/>
    <w:rsid w:val="006A2F5D"/>
    <w:rsid w:val="006A2F86"/>
    <w:rsid w:val="006A3800"/>
    <w:rsid w:val="006A3F0D"/>
    <w:rsid w:val="006A429C"/>
    <w:rsid w:val="006A46E2"/>
    <w:rsid w:val="006A4B97"/>
    <w:rsid w:val="006A5075"/>
    <w:rsid w:val="006A52FA"/>
    <w:rsid w:val="006A552A"/>
    <w:rsid w:val="006A56DE"/>
    <w:rsid w:val="006A5D52"/>
    <w:rsid w:val="006A62B9"/>
    <w:rsid w:val="006A72B6"/>
    <w:rsid w:val="006B0313"/>
    <w:rsid w:val="006B041D"/>
    <w:rsid w:val="006B05F4"/>
    <w:rsid w:val="006B0847"/>
    <w:rsid w:val="006B101E"/>
    <w:rsid w:val="006B1383"/>
    <w:rsid w:val="006B1B45"/>
    <w:rsid w:val="006B1D60"/>
    <w:rsid w:val="006B239B"/>
    <w:rsid w:val="006B2975"/>
    <w:rsid w:val="006B2B83"/>
    <w:rsid w:val="006B4221"/>
    <w:rsid w:val="006B4362"/>
    <w:rsid w:val="006B47A7"/>
    <w:rsid w:val="006B4949"/>
    <w:rsid w:val="006B4ABA"/>
    <w:rsid w:val="006B591F"/>
    <w:rsid w:val="006B59B4"/>
    <w:rsid w:val="006B6F98"/>
    <w:rsid w:val="006B6FFC"/>
    <w:rsid w:val="006B7201"/>
    <w:rsid w:val="006B7D8B"/>
    <w:rsid w:val="006C01BE"/>
    <w:rsid w:val="006C057A"/>
    <w:rsid w:val="006C1B56"/>
    <w:rsid w:val="006C1DC8"/>
    <w:rsid w:val="006C1F60"/>
    <w:rsid w:val="006C2091"/>
    <w:rsid w:val="006C261C"/>
    <w:rsid w:val="006C3E77"/>
    <w:rsid w:val="006C4C94"/>
    <w:rsid w:val="006C5AE4"/>
    <w:rsid w:val="006C6B73"/>
    <w:rsid w:val="006D01B3"/>
    <w:rsid w:val="006D105C"/>
    <w:rsid w:val="006D118C"/>
    <w:rsid w:val="006D191D"/>
    <w:rsid w:val="006D1B18"/>
    <w:rsid w:val="006D2F7D"/>
    <w:rsid w:val="006D3579"/>
    <w:rsid w:val="006D35B3"/>
    <w:rsid w:val="006D410A"/>
    <w:rsid w:val="006D413A"/>
    <w:rsid w:val="006D648E"/>
    <w:rsid w:val="006D6FF3"/>
    <w:rsid w:val="006D746E"/>
    <w:rsid w:val="006E0394"/>
    <w:rsid w:val="006E0EC3"/>
    <w:rsid w:val="006E17F9"/>
    <w:rsid w:val="006E1FB1"/>
    <w:rsid w:val="006E2567"/>
    <w:rsid w:val="006E2B5F"/>
    <w:rsid w:val="006E2F1A"/>
    <w:rsid w:val="006E3211"/>
    <w:rsid w:val="006E3393"/>
    <w:rsid w:val="006E5620"/>
    <w:rsid w:val="006E5C28"/>
    <w:rsid w:val="006E775B"/>
    <w:rsid w:val="006E78CB"/>
    <w:rsid w:val="006E798D"/>
    <w:rsid w:val="006E7C92"/>
    <w:rsid w:val="006F1800"/>
    <w:rsid w:val="006F190D"/>
    <w:rsid w:val="006F1A9D"/>
    <w:rsid w:val="006F1C0F"/>
    <w:rsid w:val="006F1F84"/>
    <w:rsid w:val="006F203A"/>
    <w:rsid w:val="006F20D5"/>
    <w:rsid w:val="006F25B5"/>
    <w:rsid w:val="006F3057"/>
    <w:rsid w:val="006F330D"/>
    <w:rsid w:val="006F3470"/>
    <w:rsid w:val="006F354A"/>
    <w:rsid w:val="006F4466"/>
    <w:rsid w:val="006F49D9"/>
    <w:rsid w:val="006F4D9A"/>
    <w:rsid w:val="006F571E"/>
    <w:rsid w:val="006F5763"/>
    <w:rsid w:val="006F61C8"/>
    <w:rsid w:val="006F6AC3"/>
    <w:rsid w:val="006F7167"/>
    <w:rsid w:val="006F7AE4"/>
    <w:rsid w:val="006F7F4E"/>
    <w:rsid w:val="00700F6E"/>
    <w:rsid w:val="007016D4"/>
    <w:rsid w:val="00701F82"/>
    <w:rsid w:val="0070247C"/>
    <w:rsid w:val="00702C00"/>
    <w:rsid w:val="00704411"/>
    <w:rsid w:val="00704765"/>
    <w:rsid w:val="00704E62"/>
    <w:rsid w:val="007054EC"/>
    <w:rsid w:val="0070676A"/>
    <w:rsid w:val="00706DC5"/>
    <w:rsid w:val="007104A0"/>
    <w:rsid w:val="00710673"/>
    <w:rsid w:val="007107D4"/>
    <w:rsid w:val="00712A2F"/>
    <w:rsid w:val="00712B9C"/>
    <w:rsid w:val="00713393"/>
    <w:rsid w:val="007139C7"/>
    <w:rsid w:val="007140BD"/>
    <w:rsid w:val="0071502C"/>
    <w:rsid w:val="007160A1"/>
    <w:rsid w:val="00716897"/>
    <w:rsid w:val="007177BC"/>
    <w:rsid w:val="007202CE"/>
    <w:rsid w:val="007203F1"/>
    <w:rsid w:val="007205B4"/>
    <w:rsid w:val="007230FD"/>
    <w:rsid w:val="00723BDE"/>
    <w:rsid w:val="00723ED5"/>
    <w:rsid w:val="007244BE"/>
    <w:rsid w:val="00724CF6"/>
    <w:rsid w:val="00724D93"/>
    <w:rsid w:val="007257B0"/>
    <w:rsid w:val="00725B2A"/>
    <w:rsid w:val="00725E09"/>
    <w:rsid w:val="007262A7"/>
    <w:rsid w:val="0072722D"/>
    <w:rsid w:val="00727C05"/>
    <w:rsid w:val="00727C65"/>
    <w:rsid w:val="0073160B"/>
    <w:rsid w:val="00731D9E"/>
    <w:rsid w:val="00732920"/>
    <w:rsid w:val="00732B2D"/>
    <w:rsid w:val="00734823"/>
    <w:rsid w:val="00734C3A"/>
    <w:rsid w:val="007355EA"/>
    <w:rsid w:val="0073596E"/>
    <w:rsid w:val="00736E2D"/>
    <w:rsid w:val="0073703C"/>
    <w:rsid w:val="00737409"/>
    <w:rsid w:val="00737A88"/>
    <w:rsid w:val="00737D67"/>
    <w:rsid w:val="00737DD5"/>
    <w:rsid w:val="0074074B"/>
    <w:rsid w:val="0074173D"/>
    <w:rsid w:val="00741988"/>
    <w:rsid w:val="00741B2A"/>
    <w:rsid w:val="00741CFA"/>
    <w:rsid w:val="00741E63"/>
    <w:rsid w:val="00742995"/>
    <w:rsid w:val="00742BE5"/>
    <w:rsid w:val="00742CF9"/>
    <w:rsid w:val="00743063"/>
    <w:rsid w:val="00743088"/>
    <w:rsid w:val="00743ABB"/>
    <w:rsid w:val="007440F7"/>
    <w:rsid w:val="007442BD"/>
    <w:rsid w:val="0074454B"/>
    <w:rsid w:val="00745DA0"/>
    <w:rsid w:val="00746021"/>
    <w:rsid w:val="0074655A"/>
    <w:rsid w:val="0074736D"/>
    <w:rsid w:val="00747A18"/>
    <w:rsid w:val="00747C19"/>
    <w:rsid w:val="00747EDA"/>
    <w:rsid w:val="00750CCB"/>
    <w:rsid w:val="00750CDC"/>
    <w:rsid w:val="00750D25"/>
    <w:rsid w:val="00751084"/>
    <w:rsid w:val="00752075"/>
    <w:rsid w:val="007523E0"/>
    <w:rsid w:val="0075246D"/>
    <w:rsid w:val="00752F22"/>
    <w:rsid w:val="007537DB"/>
    <w:rsid w:val="00753B2A"/>
    <w:rsid w:val="0075458D"/>
    <w:rsid w:val="00754D71"/>
    <w:rsid w:val="00755BD6"/>
    <w:rsid w:val="00756112"/>
    <w:rsid w:val="00756317"/>
    <w:rsid w:val="00756A7F"/>
    <w:rsid w:val="00756FE8"/>
    <w:rsid w:val="00757056"/>
    <w:rsid w:val="00757A71"/>
    <w:rsid w:val="00760130"/>
    <w:rsid w:val="00760E43"/>
    <w:rsid w:val="0076123F"/>
    <w:rsid w:val="00761FD3"/>
    <w:rsid w:val="007620DF"/>
    <w:rsid w:val="007630BD"/>
    <w:rsid w:val="00763252"/>
    <w:rsid w:val="00763587"/>
    <w:rsid w:val="00764479"/>
    <w:rsid w:val="00764738"/>
    <w:rsid w:val="00764A11"/>
    <w:rsid w:val="00764A3B"/>
    <w:rsid w:val="00764EF5"/>
    <w:rsid w:val="00766F59"/>
    <w:rsid w:val="0076738F"/>
    <w:rsid w:val="0076743F"/>
    <w:rsid w:val="0076756A"/>
    <w:rsid w:val="0077006F"/>
    <w:rsid w:val="007702BC"/>
    <w:rsid w:val="00770CD7"/>
    <w:rsid w:val="00770DD9"/>
    <w:rsid w:val="00771A3B"/>
    <w:rsid w:val="007721E4"/>
    <w:rsid w:val="00772AE3"/>
    <w:rsid w:val="0077325C"/>
    <w:rsid w:val="00774162"/>
    <w:rsid w:val="00774B4C"/>
    <w:rsid w:val="007753E8"/>
    <w:rsid w:val="00775744"/>
    <w:rsid w:val="00775A90"/>
    <w:rsid w:val="007765B1"/>
    <w:rsid w:val="00776670"/>
    <w:rsid w:val="00776B38"/>
    <w:rsid w:val="00776E3E"/>
    <w:rsid w:val="00777219"/>
    <w:rsid w:val="00777284"/>
    <w:rsid w:val="0078063A"/>
    <w:rsid w:val="00780CC3"/>
    <w:rsid w:val="00781425"/>
    <w:rsid w:val="007818E7"/>
    <w:rsid w:val="0078200A"/>
    <w:rsid w:val="00783454"/>
    <w:rsid w:val="007854CA"/>
    <w:rsid w:val="007856C0"/>
    <w:rsid w:val="00786692"/>
    <w:rsid w:val="0078731B"/>
    <w:rsid w:val="00787A2C"/>
    <w:rsid w:val="007910EE"/>
    <w:rsid w:val="007914F6"/>
    <w:rsid w:val="00791A4F"/>
    <w:rsid w:val="00792822"/>
    <w:rsid w:val="007929CC"/>
    <w:rsid w:val="007935B6"/>
    <w:rsid w:val="007948FA"/>
    <w:rsid w:val="00794C24"/>
    <w:rsid w:val="00794EB7"/>
    <w:rsid w:val="007968F0"/>
    <w:rsid w:val="0079721C"/>
    <w:rsid w:val="00797D84"/>
    <w:rsid w:val="00797EE3"/>
    <w:rsid w:val="007A15FD"/>
    <w:rsid w:val="007A29DB"/>
    <w:rsid w:val="007A2DAB"/>
    <w:rsid w:val="007A2F76"/>
    <w:rsid w:val="007A2F9A"/>
    <w:rsid w:val="007A3513"/>
    <w:rsid w:val="007A35AB"/>
    <w:rsid w:val="007A3D36"/>
    <w:rsid w:val="007A3E52"/>
    <w:rsid w:val="007A43C2"/>
    <w:rsid w:val="007A595B"/>
    <w:rsid w:val="007A5F00"/>
    <w:rsid w:val="007A7036"/>
    <w:rsid w:val="007A7077"/>
    <w:rsid w:val="007A7FC4"/>
    <w:rsid w:val="007B0584"/>
    <w:rsid w:val="007B0DBC"/>
    <w:rsid w:val="007B1548"/>
    <w:rsid w:val="007B1A01"/>
    <w:rsid w:val="007B1E67"/>
    <w:rsid w:val="007B238B"/>
    <w:rsid w:val="007B2F58"/>
    <w:rsid w:val="007B43DB"/>
    <w:rsid w:val="007B4697"/>
    <w:rsid w:val="007B5023"/>
    <w:rsid w:val="007B538D"/>
    <w:rsid w:val="007B6AC1"/>
    <w:rsid w:val="007B6BAC"/>
    <w:rsid w:val="007B7269"/>
    <w:rsid w:val="007B7420"/>
    <w:rsid w:val="007B797F"/>
    <w:rsid w:val="007B7E96"/>
    <w:rsid w:val="007C00BF"/>
    <w:rsid w:val="007C2A67"/>
    <w:rsid w:val="007C2F71"/>
    <w:rsid w:val="007C394E"/>
    <w:rsid w:val="007C3F00"/>
    <w:rsid w:val="007C4A61"/>
    <w:rsid w:val="007C4B5B"/>
    <w:rsid w:val="007C5EA4"/>
    <w:rsid w:val="007C6F39"/>
    <w:rsid w:val="007C79E3"/>
    <w:rsid w:val="007D0945"/>
    <w:rsid w:val="007D0A79"/>
    <w:rsid w:val="007D1DD6"/>
    <w:rsid w:val="007D23B5"/>
    <w:rsid w:val="007D28D4"/>
    <w:rsid w:val="007D2BEE"/>
    <w:rsid w:val="007D330E"/>
    <w:rsid w:val="007D3413"/>
    <w:rsid w:val="007D4069"/>
    <w:rsid w:val="007D437B"/>
    <w:rsid w:val="007D44C2"/>
    <w:rsid w:val="007D495A"/>
    <w:rsid w:val="007D5009"/>
    <w:rsid w:val="007D5B0C"/>
    <w:rsid w:val="007D6687"/>
    <w:rsid w:val="007D6C70"/>
    <w:rsid w:val="007D7D7E"/>
    <w:rsid w:val="007E0639"/>
    <w:rsid w:val="007E0DE1"/>
    <w:rsid w:val="007E12AE"/>
    <w:rsid w:val="007E17AB"/>
    <w:rsid w:val="007E2D85"/>
    <w:rsid w:val="007E3200"/>
    <w:rsid w:val="007E334B"/>
    <w:rsid w:val="007E37FD"/>
    <w:rsid w:val="007E417B"/>
    <w:rsid w:val="007E4EF6"/>
    <w:rsid w:val="007E5018"/>
    <w:rsid w:val="007E557C"/>
    <w:rsid w:val="007E5CFF"/>
    <w:rsid w:val="007E68D1"/>
    <w:rsid w:val="007E69B9"/>
    <w:rsid w:val="007E6A93"/>
    <w:rsid w:val="007E7ABC"/>
    <w:rsid w:val="007E7C1A"/>
    <w:rsid w:val="007F1EE5"/>
    <w:rsid w:val="007F2BD2"/>
    <w:rsid w:val="007F39FB"/>
    <w:rsid w:val="007F4572"/>
    <w:rsid w:val="007F45ED"/>
    <w:rsid w:val="007F58DF"/>
    <w:rsid w:val="007F5C59"/>
    <w:rsid w:val="007F6386"/>
    <w:rsid w:val="00800416"/>
    <w:rsid w:val="00800452"/>
    <w:rsid w:val="008008F4"/>
    <w:rsid w:val="0080137C"/>
    <w:rsid w:val="008015ED"/>
    <w:rsid w:val="00801D76"/>
    <w:rsid w:val="00801FBE"/>
    <w:rsid w:val="00802AF6"/>
    <w:rsid w:val="00802E0C"/>
    <w:rsid w:val="0080536E"/>
    <w:rsid w:val="008058CF"/>
    <w:rsid w:val="00805ADD"/>
    <w:rsid w:val="00806912"/>
    <w:rsid w:val="00806E92"/>
    <w:rsid w:val="00807E6A"/>
    <w:rsid w:val="008112D5"/>
    <w:rsid w:val="00811D48"/>
    <w:rsid w:val="008120A4"/>
    <w:rsid w:val="00812388"/>
    <w:rsid w:val="0081294E"/>
    <w:rsid w:val="00812ABF"/>
    <w:rsid w:val="00814B7E"/>
    <w:rsid w:val="008155AB"/>
    <w:rsid w:val="0081678B"/>
    <w:rsid w:val="008169BE"/>
    <w:rsid w:val="00817431"/>
    <w:rsid w:val="00817BAF"/>
    <w:rsid w:val="0082079D"/>
    <w:rsid w:val="0082102C"/>
    <w:rsid w:val="00821071"/>
    <w:rsid w:val="00821402"/>
    <w:rsid w:val="00821489"/>
    <w:rsid w:val="00821BD5"/>
    <w:rsid w:val="008227FA"/>
    <w:rsid w:val="00822D46"/>
    <w:rsid w:val="00822E4E"/>
    <w:rsid w:val="0082304E"/>
    <w:rsid w:val="00824DF7"/>
    <w:rsid w:val="00824E0D"/>
    <w:rsid w:val="00825BB9"/>
    <w:rsid w:val="00825D74"/>
    <w:rsid w:val="00826338"/>
    <w:rsid w:val="00826689"/>
    <w:rsid w:val="008266D9"/>
    <w:rsid w:val="00827185"/>
    <w:rsid w:val="008274C8"/>
    <w:rsid w:val="008279E8"/>
    <w:rsid w:val="00827D08"/>
    <w:rsid w:val="00827D9F"/>
    <w:rsid w:val="008303E6"/>
    <w:rsid w:val="00830C62"/>
    <w:rsid w:val="00831850"/>
    <w:rsid w:val="00831B34"/>
    <w:rsid w:val="00831C46"/>
    <w:rsid w:val="00831EED"/>
    <w:rsid w:val="008320C2"/>
    <w:rsid w:val="008328EA"/>
    <w:rsid w:val="00832B05"/>
    <w:rsid w:val="008335EA"/>
    <w:rsid w:val="00833C6A"/>
    <w:rsid w:val="00834F18"/>
    <w:rsid w:val="00834FA6"/>
    <w:rsid w:val="00835C66"/>
    <w:rsid w:val="00836191"/>
    <w:rsid w:val="00837203"/>
    <w:rsid w:val="0083736C"/>
    <w:rsid w:val="00837C26"/>
    <w:rsid w:val="008405A0"/>
    <w:rsid w:val="00840836"/>
    <w:rsid w:val="00842154"/>
    <w:rsid w:val="00842F17"/>
    <w:rsid w:val="00842F19"/>
    <w:rsid w:val="00843C1C"/>
    <w:rsid w:val="00843F7E"/>
    <w:rsid w:val="00844F56"/>
    <w:rsid w:val="00845D8E"/>
    <w:rsid w:val="00845FAC"/>
    <w:rsid w:val="008468E9"/>
    <w:rsid w:val="00846A41"/>
    <w:rsid w:val="00846C5F"/>
    <w:rsid w:val="0084794C"/>
    <w:rsid w:val="00850E6B"/>
    <w:rsid w:val="00851340"/>
    <w:rsid w:val="0085214E"/>
    <w:rsid w:val="008524DE"/>
    <w:rsid w:val="00852D00"/>
    <w:rsid w:val="00853C89"/>
    <w:rsid w:val="00854106"/>
    <w:rsid w:val="00855127"/>
    <w:rsid w:val="0085541C"/>
    <w:rsid w:val="00855503"/>
    <w:rsid w:val="008567E8"/>
    <w:rsid w:val="00856990"/>
    <w:rsid w:val="008575E1"/>
    <w:rsid w:val="00860276"/>
    <w:rsid w:val="00860BEC"/>
    <w:rsid w:val="00861326"/>
    <w:rsid w:val="00861743"/>
    <w:rsid w:val="00861AF8"/>
    <w:rsid w:val="008622C0"/>
    <w:rsid w:val="0086264A"/>
    <w:rsid w:val="0086346A"/>
    <w:rsid w:val="0086483C"/>
    <w:rsid w:val="0086504D"/>
    <w:rsid w:val="0086512B"/>
    <w:rsid w:val="00866313"/>
    <w:rsid w:val="00866BFD"/>
    <w:rsid w:val="00867628"/>
    <w:rsid w:val="008678EC"/>
    <w:rsid w:val="00867F3A"/>
    <w:rsid w:val="008700B4"/>
    <w:rsid w:val="00871792"/>
    <w:rsid w:val="00871F84"/>
    <w:rsid w:val="00872C42"/>
    <w:rsid w:val="0087312F"/>
    <w:rsid w:val="008732F8"/>
    <w:rsid w:val="00873B6F"/>
    <w:rsid w:val="00874340"/>
    <w:rsid w:val="008749A1"/>
    <w:rsid w:val="00874C02"/>
    <w:rsid w:val="00876059"/>
    <w:rsid w:val="008760D0"/>
    <w:rsid w:val="00876157"/>
    <w:rsid w:val="008765EC"/>
    <w:rsid w:val="00876D7C"/>
    <w:rsid w:val="00876DB7"/>
    <w:rsid w:val="008773E5"/>
    <w:rsid w:val="0087769C"/>
    <w:rsid w:val="00877C55"/>
    <w:rsid w:val="0088016B"/>
    <w:rsid w:val="008808C1"/>
    <w:rsid w:val="008808E0"/>
    <w:rsid w:val="0088280D"/>
    <w:rsid w:val="00882B41"/>
    <w:rsid w:val="008840CE"/>
    <w:rsid w:val="00884362"/>
    <w:rsid w:val="00884366"/>
    <w:rsid w:val="0088513A"/>
    <w:rsid w:val="008868A4"/>
    <w:rsid w:val="00887DC7"/>
    <w:rsid w:val="00890198"/>
    <w:rsid w:val="008915FE"/>
    <w:rsid w:val="00892B80"/>
    <w:rsid w:val="00892D74"/>
    <w:rsid w:val="008932AC"/>
    <w:rsid w:val="008932FD"/>
    <w:rsid w:val="008938B9"/>
    <w:rsid w:val="00894B8E"/>
    <w:rsid w:val="00894D87"/>
    <w:rsid w:val="00895879"/>
    <w:rsid w:val="00896139"/>
    <w:rsid w:val="008A02C2"/>
    <w:rsid w:val="008A0665"/>
    <w:rsid w:val="008A072C"/>
    <w:rsid w:val="008A0E41"/>
    <w:rsid w:val="008A12C2"/>
    <w:rsid w:val="008A2170"/>
    <w:rsid w:val="008A2390"/>
    <w:rsid w:val="008A23D8"/>
    <w:rsid w:val="008A2AB3"/>
    <w:rsid w:val="008A34EB"/>
    <w:rsid w:val="008A5A95"/>
    <w:rsid w:val="008A5C28"/>
    <w:rsid w:val="008A5D95"/>
    <w:rsid w:val="008A5DA8"/>
    <w:rsid w:val="008A60D3"/>
    <w:rsid w:val="008A6BDC"/>
    <w:rsid w:val="008A6EA0"/>
    <w:rsid w:val="008A7505"/>
    <w:rsid w:val="008A7636"/>
    <w:rsid w:val="008A7709"/>
    <w:rsid w:val="008A7C5B"/>
    <w:rsid w:val="008A7FF1"/>
    <w:rsid w:val="008B0456"/>
    <w:rsid w:val="008B0510"/>
    <w:rsid w:val="008B1892"/>
    <w:rsid w:val="008B1BA2"/>
    <w:rsid w:val="008B25C4"/>
    <w:rsid w:val="008B3C9E"/>
    <w:rsid w:val="008B4FD1"/>
    <w:rsid w:val="008B5008"/>
    <w:rsid w:val="008B5745"/>
    <w:rsid w:val="008B61FC"/>
    <w:rsid w:val="008B7645"/>
    <w:rsid w:val="008B787C"/>
    <w:rsid w:val="008B7E56"/>
    <w:rsid w:val="008C01E6"/>
    <w:rsid w:val="008C0DC0"/>
    <w:rsid w:val="008C13BB"/>
    <w:rsid w:val="008C1699"/>
    <w:rsid w:val="008C1F1B"/>
    <w:rsid w:val="008C2CCE"/>
    <w:rsid w:val="008C47DE"/>
    <w:rsid w:val="008C5845"/>
    <w:rsid w:val="008C59FB"/>
    <w:rsid w:val="008C5DB4"/>
    <w:rsid w:val="008C6631"/>
    <w:rsid w:val="008C7108"/>
    <w:rsid w:val="008C79BC"/>
    <w:rsid w:val="008C7CA6"/>
    <w:rsid w:val="008D0928"/>
    <w:rsid w:val="008D119F"/>
    <w:rsid w:val="008D194B"/>
    <w:rsid w:val="008D31E5"/>
    <w:rsid w:val="008D4023"/>
    <w:rsid w:val="008D5EF9"/>
    <w:rsid w:val="008D6CA1"/>
    <w:rsid w:val="008D73CF"/>
    <w:rsid w:val="008D7A6F"/>
    <w:rsid w:val="008D7FE9"/>
    <w:rsid w:val="008E0068"/>
    <w:rsid w:val="008E05B9"/>
    <w:rsid w:val="008E15A4"/>
    <w:rsid w:val="008E37D1"/>
    <w:rsid w:val="008E3E7E"/>
    <w:rsid w:val="008E4066"/>
    <w:rsid w:val="008E4728"/>
    <w:rsid w:val="008E4987"/>
    <w:rsid w:val="008E4B50"/>
    <w:rsid w:val="008E5379"/>
    <w:rsid w:val="008E586D"/>
    <w:rsid w:val="008E5F72"/>
    <w:rsid w:val="008E604D"/>
    <w:rsid w:val="008E6067"/>
    <w:rsid w:val="008E6E2F"/>
    <w:rsid w:val="008E7490"/>
    <w:rsid w:val="008E7642"/>
    <w:rsid w:val="008F0381"/>
    <w:rsid w:val="008F0951"/>
    <w:rsid w:val="008F0E16"/>
    <w:rsid w:val="008F11C6"/>
    <w:rsid w:val="008F1E81"/>
    <w:rsid w:val="008F202F"/>
    <w:rsid w:val="008F279F"/>
    <w:rsid w:val="008F2962"/>
    <w:rsid w:val="008F3C7C"/>
    <w:rsid w:val="008F4164"/>
    <w:rsid w:val="008F5798"/>
    <w:rsid w:val="008F5FE3"/>
    <w:rsid w:val="008F62BE"/>
    <w:rsid w:val="008F768C"/>
    <w:rsid w:val="008F77FB"/>
    <w:rsid w:val="00900920"/>
    <w:rsid w:val="00900C45"/>
    <w:rsid w:val="00901475"/>
    <w:rsid w:val="0090150C"/>
    <w:rsid w:val="00901C78"/>
    <w:rsid w:val="009022C3"/>
    <w:rsid w:val="009023B1"/>
    <w:rsid w:val="009024FB"/>
    <w:rsid w:val="009028EF"/>
    <w:rsid w:val="009029CD"/>
    <w:rsid w:val="00903FF0"/>
    <w:rsid w:val="009046F3"/>
    <w:rsid w:val="00904DE7"/>
    <w:rsid w:val="00905F1D"/>
    <w:rsid w:val="00905F9A"/>
    <w:rsid w:val="00905FE8"/>
    <w:rsid w:val="009063D9"/>
    <w:rsid w:val="009067DC"/>
    <w:rsid w:val="009077B0"/>
    <w:rsid w:val="0090799F"/>
    <w:rsid w:val="009101D6"/>
    <w:rsid w:val="00911A6D"/>
    <w:rsid w:val="00911F6A"/>
    <w:rsid w:val="009125C0"/>
    <w:rsid w:val="00912D7A"/>
    <w:rsid w:val="00913026"/>
    <w:rsid w:val="00913DF5"/>
    <w:rsid w:val="00914942"/>
    <w:rsid w:val="00914C88"/>
    <w:rsid w:val="00915891"/>
    <w:rsid w:val="009158EA"/>
    <w:rsid w:val="009158FA"/>
    <w:rsid w:val="00915BE3"/>
    <w:rsid w:val="0091743F"/>
    <w:rsid w:val="00917AAA"/>
    <w:rsid w:val="00920294"/>
    <w:rsid w:val="009229FC"/>
    <w:rsid w:val="00922A2E"/>
    <w:rsid w:val="009232C0"/>
    <w:rsid w:val="00923313"/>
    <w:rsid w:val="00923344"/>
    <w:rsid w:val="00923CED"/>
    <w:rsid w:val="00924155"/>
    <w:rsid w:val="00924AD0"/>
    <w:rsid w:val="009256D5"/>
    <w:rsid w:val="0092577E"/>
    <w:rsid w:val="0092610E"/>
    <w:rsid w:val="00926745"/>
    <w:rsid w:val="00926CAF"/>
    <w:rsid w:val="00930805"/>
    <w:rsid w:val="0093094A"/>
    <w:rsid w:val="00931CBB"/>
    <w:rsid w:val="0093212D"/>
    <w:rsid w:val="009330C3"/>
    <w:rsid w:val="00933235"/>
    <w:rsid w:val="00933769"/>
    <w:rsid w:val="00935B7F"/>
    <w:rsid w:val="009363D0"/>
    <w:rsid w:val="00936837"/>
    <w:rsid w:val="00936FD7"/>
    <w:rsid w:val="00937B82"/>
    <w:rsid w:val="00940206"/>
    <w:rsid w:val="009402C2"/>
    <w:rsid w:val="009409A7"/>
    <w:rsid w:val="00940B91"/>
    <w:rsid w:val="0094244F"/>
    <w:rsid w:val="009427AA"/>
    <w:rsid w:val="00943C61"/>
    <w:rsid w:val="0094486E"/>
    <w:rsid w:val="00944A26"/>
    <w:rsid w:val="00945233"/>
    <w:rsid w:val="00947496"/>
    <w:rsid w:val="00947CAE"/>
    <w:rsid w:val="00947F6F"/>
    <w:rsid w:val="00950B73"/>
    <w:rsid w:val="00950CBD"/>
    <w:rsid w:val="0095102E"/>
    <w:rsid w:val="00951E59"/>
    <w:rsid w:val="00952DC6"/>
    <w:rsid w:val="009533FF"/>
    <w:rsid w:val="00953C9A"/>
    <w:rsid w:val="0095430C"/>
    <w:rsid w:val="00955A89"/>
    <w:rsid w:val="00955F15"/>
    <w:rsid w:val="00956CFF"/>
    <w:rsid w:val="0095719C"/>
    <w:rsid w:val="009577F8"/>
    <w:rsid w:val="009606CF"/>
    <w:rsid w:val="00960781"/>
    <w:rsid w:val="00960843"/>
    <w:rsid w:val="00960930"/>
    <w:rsid w:val="009609AB"/>
    <w:rsid w:val="0096234D"/>
    <w:rsid w:val="00962AB2"/>
    <w:rsid w:val="00962B67"/>
    <w:rsid w:val="00962FDD"/>
    <w:rsid w:val="009633CA"/>
    <w:rsid w:val="00963444"/>
    <w:rsid w:val="009639B2"/>
    <w:rsid w:val="00964250"/>
    <w:rsid w:val="00965B1E"/>
    <w:rsid w:val="009670F9"/>
    <w:rsid w:val="00970DA2"/>
    <w:rsid w:val="00972C7E"/>
    <w:rsid w:val="00972D46"/>
    <w:rsid w:val="009730C0"/>
    <w:rsid w:val="00973455"/>
    <w:rsid w:val="009734EF"/>
    <w:rsid w:val="00973721"/>
    <w:rsid w:val="00973A5C"/>
    <w:rsid w:val="00975783"/>
    <w:rsid w:val="00975AE0"/>
    <w:rsid w:val="00975C9B"/>
    <w:rsid w:val="00975DCD"/>
    <w:rsid w:val="00976E6C"/>
    <w:rsid w:val="00981D30"/>
    <w:rsid w:val="00981E3A"/>
    <w:rsid w:val="009827E1"/>
    <w:rsid w:val="00983A0D"/>
    <w:rsid w:val="00983FFF"/>
    <w:rsid w:val="0098401D"/>
    <w:rsid w:val="009848B6"/>
    <w:rsid w:val="00984BC3"/>
    <w:rsid w:val="0098511A"/>
    <w:rsid w:val="00985BC6"/>
    <w:rsid w:val="009870C1"/>
    <w:rsid w:val="0098714D"/>
    <w:rsid w:val="009877DF"/>
    <w:rsid w:val="00987E0C"/>
    <w:rsid w:val="009905D1"/>
    <w:rsid w:val="00990C04"/>
    <w:rsid w:val="0099259F"/>
    <w:rsid w:val="00992A0E"/>
    <w:rsid w:val="00992D32"/>
    <w:rsid w:val="00992FD1"/>
    <w:rsid w:val="009930FD"/>
    <w:rsid w:val="009944E5"/>
    <w:rsid w:val="00994889"/>
    <w:rsid w:val="009951D1"/>
    <w:rsid w:val="00995616"/>
    <w:rsid w:val="00997598"/>
    <w:rsid w:val="009978C2"/>
    <w:rsid w:val="00997D05"/>
    <w:rsid w:val="009A05EF"/>
    <w:rsid w:val="009A15FE"/>
    <w:rsid w:val="009A1676"/>
    <w:rsid w:val="009A21D6"/>
    <w:rsid w:val="009A2555"/>
    <w:rsid w:val="009A2BF2"/>
    <w:rsid w:val="009A2E32"/>
    <w:rsid w:val="009A412F"/>
    <w:rsid w:val="009A43BB"/>
    <w:rsid w:val="009A4CDC"/>
    <w:rsid w:val="009A4FA8"/>
    <w:rsid w:val="009A5027"/>
    <w:rsid w:val="009A5AC7"/>
    <w:rsid w:val="009A6A79"/>
    <w:rsid w:val="009A74DE"/>
    <w:rsid w:val="009A78B5"/>
    <w:rsid w:val="009A7AB9"/>
    <w:rsid w:val="009A7D74"/>
    <w:rsid w:val="009B028E"/>
    <w:rsid w:val="009B03BA"/>
    <w:rsid w:val="009B0902"/>
    <w:rsid w:val="009B0D97"/>
    <w:rsid w:val="009B0D9E"/>
    <w:rsid w:val="009B22CC"/>
    <w:rsid w:val="009B289D"/>
    <w:rsid w:val="009B28D9"/>
    <w:rsid w:val="009B4122"/>
    <w:rsid w:val="009B417F"/>
    <w:rsid w:val="009B4368"/>
    <w:rsid w:val="009B4639"/>
    <w:rsid w:val="009B4660"/>
    <w:rsid w:val="009B4B11"/>
    <w:rsid w:val="009B4E1D"/>
    <w:rsid w:val="009B5B01"/>
    <w:rsid w:val="009B6B7C"/>
    <w:rsid w:val="009C153A"/>
    <w:rsid w:val="009C1931"/>
    <w:rsid w:val="009C1C50"/>
    <w:rsid w:val="009C2EA2"/>
    <w:rsid w:val="009C333D"/>
    <w:rsid w:val="009C3510"/>
    <w:rsid w:val="009C4330"/>
    <w:rsid w:val="009C47D3"/>
    <w:rsid w:val="009C47DF"/>
    <w:rsid w:val="009C5DA3"/>
    <w:rsid w:val="009C608B"/>
    <w:rsid w:val="009C639F"/>
    <w:rsid w:val="009C6C18"/>
    <w:rsid w:val="009C6E70"/>
    <w:rsid w:val="009D1408"/>
    <w:rsid w:val="009D1905"/>
    <w:rsid w:val="009D2663"/>
    <w:rsid w:val="009D28FA"/>
    <w:rsid w:val="009D3235"/>
    <w:rsid w:val="009D3732"/>
    <w:rsid w:val="009D3826"/>
    <w:rsid w:val="009D3BE5"/>
    <w:rsid w:val="009D48EB"/>
    <w:rsid w:val="009D4D76"/>
    <w:rsid w:val="009D5570"/>
    <w:rsid w:val="009D6262"/>
    <w:rsid w:val="009D641C"/>
    <w:rsid w:val="009D6673"/>
    <w:rsid w:val="009D69F3"/>
    <w:rsid w:val="009D7C4F"/>
    <w:rsid w:val="009E018B"/>
    <w:rsid w:val="009E06DB"/>
    <w:rsid w:val="009E078F"/>
    <w:rsid w:val="009E0DEE"/>
    <w:rsid w:val="009E1062"/>
    <w:rsid w:val="009E150F"/>
    <w:rsid w:val="009E1A7B"/>
    <w:rsid w:val="009E343E"/>
    <w:rsid w:val="009E4075"/>
    <w:rsid w:val="009E40D5"/>
    <w:rsid w:val="009E4711"/>
    <w:rsid w:val="009E59BE"/>
    <w:rsid w:val="009E5A32"/>
    <w:rsid w:val="009E669D"/>
    <w:rsid w:val="009E671D"/>
    <w:rsid w:val="009E696E"/>
    <w:rsid w:val="009E787F"/>
    <w:rsid w:val="009E7FED"/>
    <w:rsid w:val="009F0367"/>
    <w:rsid w:val="009F123D"/>
    <w:rsid w:val="009F1344"/>
    <w:rsid w:val="009F1E38"/>
    <w:rsid w:val="009F21D8"/>
    <w:rsid w:val="009F2C3D"/>
    <w:rsid w:val="009F337D"/>
    <w:rsid w:val="009F37CA"/>
    <w:rsid w:val="009F40E2"/>
    <w:rsid w:val="009F424B"/>
    <w:rsid w:val="009F4B1E"/>
    <w:rsid w:val="009F5133"/>
    <w:rsid w:val="009F5B2E"/>
    <w:rsid w:val="009F63E7"/>
    <w:rsid w:val="009F6902"/>
    <w:rsid w:val="009F7647"/>
    <w:rsid w:val="00A0041E"/>
    <w:rsid w:val="00A004DA"/>
    <w:rsid w:val="00A0144A"/>
    <w:rsid w:val="00A018E2"/>
    <w:rsid w:val="00A0286E"/>
    <w:rsid w:val="00A02B9A"/>
    <w:rsid w:val="00A03495"/>
    <w:rsid w:val="00A04BC6"/>
    <w:rsid w:val="00A04CA6"/>
    <w:rsid w:val="00A05245"/>
    <w:rsid w:val="00A05EB1"/>
    <w:rsid w:val="00A06401"/>
    <w:rsid w:val="00A06923"/>
    <w:rsid w:val="00A06C93"/>
    <w:rsid w:val="00A07BAB"/>
    <w:rsid w:val="00A07F4B"/>
    <w:rsid w:val="00A10189"/>
    <w:rsid w:val="00A10B11"/>
    <w:rsid w:val="00A10C2A"/>
    <w:rsid w:val="00A11881"/>
    <w:rsid w:val="00A11ACC"/>
    <w:rsid w:val="00A122AB"/>
    <w:rsid w:val="00A131CC"/>
    <w:rsid w:val="00A15C90"/>
    <w:rsid w:val="00A172C3"/>
    <w:rsid w:val="00A20698"/>
    <w:rsid w:val="00A20822"/>
    <w:rsid w:val="00A21055"/>
    <w:rsid w:val="00A2126E"/>
    <w:rsid w:val="00A2128A"/>
    <w:rsid w:val="00A213B4"/>
    <w:rsid w:val="00A22023"/>
    <w:rsid w:val="00A231CE"/>
    <w:rsid w:val="00A23475"/>
    <w:rsid w:val="00A234DD"/>
    <w:rsid w:val="00A23714"/>
    <w:rsid w:val="00A23926"/>
    <w:rsid w:val="00A24153"/>
    <w:rsid w:val="00A24A33"/>
    <w:rsid w:val="00A25458"/>
    <w:rsid w:val="00A26440"/>
    <w:rsid w:val="00A26B7B"/>
    <w:rsid w:val="00A2700D"/>
    <w:rsid w:val="00A27E49"/>
    <w:rsid w:val="00A27E9D"/>
    <w:rsid w:val="00A309AE"/>
    <w:rsid w:val="00A3126E"/>
    <w:rsid w:val="00A31389"/>
    <w:rsid w:val="00A31B6B"/>
    <w:rsid w:val="00A32377"/>
    <w:rsid w:val="00A32B80"/>
    <w:rsid w:val="00A33026"/>
    <w:rsid w:val="00A33A2D"/>
    <w:rsid w:val="00A35192"/>
    <w:rsid w:val="00A3526D"/>
    <w:rsid w:val="00A3545F"/>
    <w:rsid w:val="00A369CB"/>
    <w:rsid w:val="00A36BFE"/>
    <w:rsid w:val="00A371EF"/>
    <w:rsid w:val="00A37D9D"/>
    <w:rsid w:val="00A4011C"/>
    <w:rsid w:val="00A40D7C"/>
    <w:rsid w:val="00A40FBE"/>
    <w:rsid w:val="00A41175"/>
    <w:rsid w:val="00A413A9"/>
    <w:rsid w:val="00A413DF"/>
    <w:rsid w:val="00A41474"/>
    <w:rsid w:val="00A417B4"/>
    <w:rsid w:val="00A41973"/>
    <w:rsid w:val="00A41DA2"/>
    <w:rsid w:val="00A4261E"/>
    <w:rsid w:val="00A4331A"/>
    <w:rsid w:val="00A4375F"/>
    <w:rsid w:val="00A43FC0"/>
    <w:rsid w:val="00A441CE"/>
    <w:rsid w:val="00A44541"/>
    <w:rsid w:val="00A44C4F"/>
    <w:rsid w:val="00A44DD6"/>
    <w:rsid w:val="00A46125"/>
    <w:rsid w:val="00A46170"/>
    <w:rsid w:val="00A46298"/>
    <w:rsid w:val="00A46325"/>
    <w:rsid w:val="00A47025"/>
    <w:rsid w:val="00A47B7E"/>
    <w:rsid w:val="00A50428"/>
    <w:rsid w:val="00A524CC"/>
    <w:rsid w:val="00A52788"/>
    <w:rsid w:val="00A529A0"/>
    <w:rsid w:val="00A532E6"/>
    <w:rsid w:val="00A53324"/>
    <w:rsid w:val="00A53F97"/>
    <w:rsid w:val="00A540CA"/>
    <w:rsid w:val="00A54276"/>
    <w:rsid w:val="00A54E77"/>
    <w:rsid w:val="00A54E78"/>
    <w:rsid w:val="00A55170"/>
    <w:rsid w:val="00A5542F"/>
    <w:rsid w:val="00A55A70"/>
    <w:rsid w:val="00A55C08"/>
    <w:rsid w:val="00A56662"/>
    <w:rsid w:val="00A573EE"/>
    <w:rsid w:val="00A57E31"/>
    <w:rsid w:val="00A609E6"/>
    <w:rsid w:val="00A60AF8"/>
    <w:rsid w:val="00A61A34"/>
    <w:rsid w:val="00A61DCB"/>
    <w:rsid w:val="00A6216B"/>
    <w:rsid w:val="00A62BE9"/>
    <w:rsid w:val="00A634DF"/>
    <w:rsid w:val="00A6384A"/>
    <w:rsid w:val="00A63DD9"/>
    <w:rsid w:val="00A64066"/>
    <w:rsid w:val="00A645E5"/>
    <w:rsid w:val="00A667F2"/>
    <w:rsid w:val="00A66FF4"/>
    <w:rsid w:val="00A676B1"/>
    <w:rsid w:val="00A6783B"/>
    <w:rsid w:val="00A70F7A"/>
    <w:rsid w:val="00A7129D"/>
    <w:rsid w:val="00A71CFC"/>
    <w:rsid w:val="00A721BE"/>
    <w:rsid w:val="00A727C8"/>
    <w:rsid w:val="00A73E66"/>
    <w:rsid w:val="00A74736"/>
    <w:rsid w:val="00A74C3E"/>
    <w:rsid w:val="00A74C64"/>
    <w:rsid w:val="00A74D2F"/>
    <w:rsid w:val="00A74E61"/>
    <w:rsid w:val="00A74EEA"/>
    <w:rsid w:val="00A76419"/>
    <w:rsid w:val="00A7671F"/>
    <w:rsid w:val="00A76BD7"/>
    <w:rsid w:val="00A76C2E"/>
    <w:rsid w:val="00A77031"/>
    <w:rsid w:val="00A77B1C"/>
    <w:rsid w:val="00A80740"/>
    <w:rsid w:val="00A80ADD"/>
    <w:rsid w:val="00A81684"/>
    <w:rsid w:val="00A81D6E"/>
    <w:rsid w:val="00A82175"/>
    <w:rsid w:val="00A826F6"/>
    <w:rsid w:val="00A826F8"/>
    <w:rsid w:val="00A82C6B"/>
    <w:rsid w:val="00A8357A"/>
    <w:rsid w:val="00A83B8D"/>
    <w:rsid w:val="00A83C7C"/>
    <w:rsid w:val="00A83CEF"/>
    <w:rsid w:val="00A84055"/>
    <w:rsid w:val="00A843AA"/>
    <w:rsid w:val="00A868B0"/>
    <w:rsid w:val="00A8758F"/>
    <w:rsid w:val="00A87E55"/>
    <w:rsid w:val="00A908E7"/>
    <w:rsid w:val="00A91455"/>
    <w:rsid w:val="00A91576"/>
    <w:rsid w:val="00A91BEA"/>
    <w:rsid w:val="00A92904"/>
    <w:rsid w:val="00A92D12"/>
    <w:rsid w:val="00A9472A"/>
    <w:rsid w:val="00A94A00"/>
    <w:rsid w:val="00A94ADE"/>
    <w:rsid w:val="00A94BCC"/>
    <w:rsid w:val="00A94CB6"/>
    <w:rsid w:val="00A95F17"/>
    <w:rsid w:val="00A967DB"/>
    <w:rsid w:val="00A97C76"/>
    <w:rsid w:val="00AA03A7"/>
    <w:rsid w:val="00AA057D"/>
    <w:rsid w:val="00AA2167"/>
    <w:rsid w:val="00AA232A"/>
    <w:rsid w:val="00AA45BE"/>
    <w:rsid w:val="00AA4865"/>
    <w:rsid w:val="00AA649F"/>
    <w:rsid w:val="00AA7756"/>
    <w:rsid w:val="00AA7CB2"/>
    <w:rsid w:val="00AA7CF9"/>
    <w:rsid w:val="00AA7F3B"/>
    <w:rsid w:val="00AB06B8"/>
    <w:rsid w:val="00AB09D2"/>
    <w:rsid w:val="00AB0DFE"/>
    <w:rsid w:val="00AB1923"/>
    <w:rsid w:val="00AB20FB"/>
    <w:rsid w:val="00AB2F51"/>
    <w:rsid w:val="00AB41DE"/>
    <w:rsid w:val="00AB43E7"/>
    <w:rsid w:val="00AB48CB"/>
    <w:rsid w:val="00AB4A54"/>
    <w:rsid w:val="00AB4C63"/>
    <w:rsid w:val="00AB4CE0"/>
    <w:rsid w:val="00AB56B8"/>
    <w:rsid w:val="00AB56BB"/>
    <w:rsid w:val="00AB628F"/>
    <w:rsid w:val="00AB6352"/>
    <w:rsid w:val="00AB7A75"/>
    <w:rsid w:val="00AB7C2F"/>
    <w:rsid w:val="00AB7DAE"/>
    <w:rsid w:val="00AC01D7"/>
    <w:rsid w:val="00AC08CB"/>
    <w:rsid w:val="00AC1EFD"/>
    <w:rsid w:val="00AC2EF7"/>
    <w:rsid w:val="00AC3454"/>
    <w:rsid w:val="00AC3545"/>
    <w:rsid w:val="00AC37AD"/>
    <w:rsid w:val="00AC4290"/>
    <w:rsid w:val="00AC4678"/>
    <w:rsid w:val="00AC4BF7"/>
    <w:rsid w:val="00AC4F44"/>
    <w:rsid w:val="00AC6DBA"/>
    <w:rsid w:val="00AD0560"/>
    <w:rsid w:val="00AD0AC2"/>
    <w:rsid w:val="00AD10FA"/>
    <w:rsid w:val="00AD1620"/>
    <w:rsid w:val="00AD19DC"/>
    <w:rsid w:val="00AD204B"/>
    <w:rsid w:val="00AD28F9"/>
    <w:rsid w:val="00AD3113"/>
    <w:rsid w:val="00AD3CC3"/>
    <w:rsid w:val="00AD4EE8"/>
    <w:rsid w:val="00AD6693"/>
    <w:rsid w:val="00AD6843"/>
    <w:rsid w:val="00AD6948"/>
    <w:rsid w:val="00AD6E33"/>
    <w:rsid w:val="00AD72D6"/>
    <w:rsid w:val="00AD7FD5"/>
    <w:rsid w:val="00AE10FB"/>
    <w:rsid w:val="00AE1307"/>
    <w:rsid w:val="00AE14AA"/>
    <w:rsid w:val="00AE1B89"/>
    <w:rsid w:val="00AE271A"/>
    <w:rsid w:val="00AE2749"/>
    <w:rsid w:val="00AE2908"/>
    <w:rsid w:val="00AE3412"/>
    <w:rsid w:val="00AE3C00"/>
    <w:rsid w:val="00AE41D8"/>
    <w:rsid w:val="00AE49C1"/>
    <w:rsid w:val="00AE687E"/>
    <w:rsid w:val="00AE7ABE"/>
    <w:rsid w:val="00AE7C82"/>
    <w:rsid w:val="00AF172F"/>
    <w:rsid w:val="00AF300E"/>
    <w:rsid w:val="00AF30B9"/>
    <w:rsid w:val="00AF32F5"/>
    <w:rsid w:val="00AF3515"/>
    <w:rsid w:val="00AF3748"/>
    <w:rsid w:val="00AF3D4A"/>
    <w:rsid w:val="00AF3DBE"/>
    <w:rsid w:val="00AF3EDC"/>
    <w:rsid w:val="00AF4135"/>
    <w:rsid w:val="00AF63BF"/>
    <w:rsid w:val="00AF69AE"/>
    <w:rsid w:val="00AF6F23"/>
    <w:rsid w:val="00AF7C49"/>
    <w:rsid w:val="00B0023A"/>
    <w:rsid w:val="00B003EF"/>
    <w:rsid w:val="00B00E27"/>
    <w:rsid w:val="00B0124A"/>
    <w:rsid w:val="00B021CC"/>
    <w:rsid w:val="00B022C7"/>
    <w:rsid w:val="00B02F0D"/>
    <w:rsid w:val="00B037B8"/>
    <w:rsid w:val="00B040A9"/>
    <w:rsid w:val="00B04D78"/>
    <w:rsid w:val="00B052AC"/>
    <w:rsid w:val="00B05394"/>
    <w:rsid w:val="00B057EA"/>
    <w:rsid w:val="00B05CAF"/>
    <w:rsid w:val="00B06078"/>
    <w:rsid w:val="00B07023"/>
    <w:rsid w:val="00B07974"/>
    <w:rsid w:val="00B07E79"/>
    <w:rsid w:val="00B11017"/>
    <w:rsid w:val="00B1156A"/>
    <w:rsid w:val="00B119A7"/>
    <w:rsid w:val="00B11F0E"/>
    <w:rsid w:val="00B12041"/>
    <w:rsid w:val="00B12528"/>
    <w:rsid w:val="00B12B9D"/>
    <w:rsid w:val="00B13578"/>
    <w:rsid w:val="00B1429D"/>
    <w:rsid w:val="00B14690"/>
    <w:rsid w:val="00B15D14"/>
    <w:rsid w:val="00B174C8"/>
    <w:rsid w:val="00B17915"/>
    <w:rsid w:val="00B17B7B"/>
    <w:rsid w:val="00B17ED3"/>
    <w:rsid w:val="00B20034"/>
    <w:rsid w:val="00B21064"/>
    <w:rsid w:val="00B219A7"/>
    <w:rsid w:val="00B21E75"/>
    <w:rsid w:val="00B222F1"/>
    <w:rsid w:val="00B238C6"/>
    <w:rsid w:val="00B23A6C"/>
    <w:rsid w:val="00B24928"/>
    <w:rsid w:val="00B24DD5"/>
    <w:rsid w:val="00B25021"/>
    <w:rsid w:val="00B25458"/>
    <w:rsid w:val="00B261BB"/>
    <w:rsid w:val="00B26799"/>
    <w:rsid w:val="00B26BC2"/>
    <w:rsid w:val="00B26EE5"/>
    <w:rsid w:val="00B275F4"/>
    <w:rsid w:val="00B317AE"/>
    <w:rsid w:val="00B31844"/>
    <w:rsid w:val="00B31F55"/>
    <w:rsid w:val="00B32043"/>
    <w:rsid w:val="00B3314D"/>
    <w:rsid w:val="00B3360C"/>
    <w:rsid w:val="00B337E1"/>
    <w:rsid w:val="00B33C4E"/>
    <w:rsid w:val="00B34B84"/>
    <w:rsid w:val="00B35541"/>
    <w:rsid w:val="00B356FA"/>
    <w:rsid w:val="00B35B4C"/>
    <w:rsid w:val="00B35C95"/>
    <w:rsid w:val="00B3659D"/>
    <w:rsid w:val="00B37C6E"/>
    <w:rsid w:val="00B41A41"/>
    <w:rsid w:val="00B41FBD"/>
    <w:rsid w:val="00B42944"/>
    <w:rsid w:val="00B42DB8"/>
    <w:rsid w:val="00B444EC"/>
    <w:rsid w:val="00B45864"/>
    <w:rsid w:val="00B45880"/>
    <w:rsid w:val="00B45BCD"/>
    <w:rsid w:val="00B46826"/>
    <w:rsid w:val="00B46A90"/>
    <w:rsid w:val="00B46C95"/>
    <w:rsid w:val="00B47AE9"/>
    <w:rsid w:val="00B47C47"/>
    <w:rsid w:val="00B51968"/>
    <w:rsid w:val="00B51C8E"/>
    <w:rsid w:val="00B52184"/>
    <w:rsid w:val="00B52396"/>
    <w:rsid w:val="00B52552"/>
    <w:rsid w:val="00B537A9"/>
    <w:rsid w:val="00B54C26"/>
    <w:rsid w:val="00B5552B"/>
    <w:rsid w:val="00B5727C"/>
    <w:rsid w:val="00B57C71"/>
    <w:rsid w:val="00B57DAF"/>
    <w:rsid w:val="00B60F58"/>
    <w:rsid w:val="00B618D5"/>
    <w:rsid w:val="00B61EBE"/>
    <w:rsid w:val="00B63A1D"/>
    <w:rsid w:val="00B64589"/>
    <w:rsid w:val="00B649B0"/>
    <w:rsid w:val="00B6512F"/>
    <w:rsid w:val="00B665D3"/>
    <w:rsid w:val="00B66E51"/>
    <w:rsid w:val="00B66EF6"/>
    <w:rsid w:val="00B70E8E"/>
    <w:rsid w:val="00B71472"/>
    <w:rsid w:val="00B7150C"/>
    <w:rsid w:val="00B71CA4"/>
    <w:rsid w:val="00B72423"/>
    <w:rsid w:val="00B727EC"/>
    <w:rsid w:val="00B72997"/>
    <w:rsid w:val="00B72C96"/>
    <w:rsid w:val="00B72D29"/>
    <w:rsid w:val="00B74062"/>
    <w:rsid w:val="00B74072"/>
    <w:rsid w:val="00B7527F"/>
    <w:rsid w:val="00B75DD0"/>
    <w:rsid w:val="00B76719"/>
    <w:rsid w:val="00B76F91"/>
    <w:rsid w:val="00B77489"/>
    <w:rsid w:val="00B77768"/>
    <w:rsid w:val="00B8011F"/>
    <w:rsid w:val="00B80F8E"/>
    <w:rsid w:val="00B81C11"/>
    <w:rsid w:val="00B835FC"/>
    <w:rsid w:val="00B83A8D"/>
    <w:rsid w:val="00B83BA2"/>
    <w:rsid w:val="00B84225"/>
    <w:rsid w:val="00B846F6"/>
    <w:rsid w:val="00B84E23"/>
    <w:rsid w:val="00B84F09"/>
    <w:rsid w:val="00B85A7F"/>
    <w:rsid w:val="00B85DCA"/>
    <w:rsid w:val="00B86445"/>
    <w:rsid w:val="00B867F3"/>
    <w:rsid w:val="00B86CE6"/>
    <w:rsid w:val="00B8703B"/>
    <w:rsid w:val="00B87161"/>
    <w:rsid w:val="00B87511"/>
    <w:rsid w:val="00B87FF4"/>
    <w:rsid w:val="00B900E0"/>
    <w:rsid w:val="00B909B8"/>
    <w:rsid w:val="00B90AEA"/>
    <w:rsid w:val="00B90D7A"/>
    <w:rsid w:val="00B90DE9"/>
    <w:rsid w:val="00B91034"/>
    <w:rsid w:val="00B910E5"/>
    <w:rsid w:val="00B916CE"/>
    <w:rsid w:val="00B91B7D"/>
    <w:rsid w:val="00B92298"/>
    <w:rsid w:val="00B924B6"/>
    <w:rsid w:val="00B92A41"/>
    <w:rsid w:val="00B94FBD"/>
    <w:rsid w:val="00B957AA"/>
    <w:rsid w:val="00B9584B"/>
    <w:rsid w:val="00B95C15"/>
    <w:rsid w:val="00B96971"/>
    <w:rsid w:val="00B97ED0"/>
    <w:rsid w:val="00B97FEF"/>
    <w:rsid w:val="00BA0981"/>
    <w:rsid w:val="00BA0F24"/>
    <w:rsid w:val="00BA1676"/>
    <w:rsid w:val="00BA1756"/>
    <w:rsid w:val="00BA1D53"/>
    <w:rsid w:val="00BA1E8D"/>
    <w:rsid w:val="00BA30E6"/>
    <w:rsid w:val="00BA327B"/>
    <w:rsid w:val="00BA4B79"/>
    <w:rsid w:val="00BA4BEE"/>
    <w:rsid w:val="00BA6C81"/>
    <w:rsid w:val="00BA701B"/>
    <w:rsid w:val="00BA759A"/>
    <w:rsid w:val="00BA7881"/>
    <w:rsid w:val="00BA7A9E"/>
    <w:rsid w:val="00BA7CA1"/>
    <w:rsid w:val="00BA7D90"/>
    <w:rsid w:val="00BA7F1B"/>
    <w:rsid w:val="00BB1311"/>
    <w:rsid w:val="00BB1A8A"/>
    <w:rsid w:val="00BB2459"/>
    <w:rsid w:val="00BB37F9"/>
    <w:rsid w:val="00BB3A33"/>
    <w:rsid w:val="00BB3E11"/>
    <w:rsid w:val="00BB4A89"/>
    <w:rsid w:val="00BB5182"/>
    <w:rsid w:val="00BB5B59"/>
    <w:rsid w:val="00BB669D"/>
    <w:rsid w:val="00BB6971"/>
    <w:rsid w:val="00BC1954"/>
    <w:rsid w:val="00BC4ACA"/>
    <w:rsid w:val="00BC4EEC"/>
    <w:rsid w:val="00BC5786"/>
    <w:rsid w:val="00BC6D44"/>
    <w:rsid w:val="00BC70D2"/>
    <w:rsid w:val="00BC7466"/>
    <w:rsid w:val="00BD00EB"/>
    <w:rsid w:val="00BD0810"/>
    <w:rsid w:val="00BD19A5"/>
    <w:rsid w:val="00BD23A9"/>
    <w:rsid w:val="00BD29A2"/>
    <w:rsid w:val="00BD2EE6"/>
    <w:rsid w:val="00BD328F"/>
    <w:rsid w:val="00BD37CE"/>
    <w:rsid w:val="00BD3E71"/>
    <w:rsid w:val="00BD40BD"/>
    <w:rsid w:val="00BD52F8"/>
    <w:rsid w:val="00BD5902"/>
    <w:rsid w:val="00BD5A66"/>
    <w:rsid w:val="00BD5E01"/>
    <w:rsid w:val="00BD5E03"/>
    <w:rsid w:val="00BD676E"/>
    <w:rsid w:val="00BD6BC2"/>
    <w:rsid w:val="00BD7D44"/>
    <w:rsid w:val="00BE00B7"/>
    <w:rsid w:val="00BE0873"/>
    <w:rsid w:val="00BE10EA"/>
    <w:rsid w:val="00BE1107"/>
    <w:rsid w:val="00BE136E"/>
    <w:rsid w:val="00BE1675"/>
    <w:rsid w:val="00BE25C8"/>
    <w:rsid w:val="00BE2D5A"/>
    <w:rsid w:val="00BE367E"/>
    <w:rsid w:val="00BE37DB"/>
    <w:rsid w:val="00BE3E7D"/>
    <w:rsid w:val="00BE4F5D"/>
    <w:rsid w:val="00BE5466"/>
    <w:rsid w:val="00BE55DE"/>
    <w:rsid w:val="00BE6330"/>
    <w:rsid w:val="00BE6AE8"/>
    <w:rsid w:val="00BE75EC"/>
    <w:rsid w:val="00BE76F0"/>
    <w:rsid w:val="00BF0812"/>
    <w:rsid w:val="00BF0D4C"/>
    <w:rsid w:val="00BF0E33"/>
    <w:rsid w:val="00BF122A"/>
    <w:rsid w:val="00BF183A"/>
    <w:rsid w:val="00BF1B77"/>
    <w:rsid w:val="00BF22BE"/>
    <w:rsid w:val="00BF235E"/>
    <w:rsid w:val="00BF32D1"/>
    <w:rsid w:val="00BF35BC"/>
    <w:rsid w:val="00BF35D3"/>
    <w:rsid w:val="00BF4F11"/>
    <w:rsid w:val="00BF5C48"/>
    <w:rsid w:val="00BF609B"/>
    <w:rsid w:val="00BF636D"/>
    <w:rsid w:val="00BF6374"/>
    <w:rsid w:val="00BF6652"/>
    <w:rsid w:val="00BF7140"/>
    <w:rsid w:val="00BF7940"/>
    <w:rsid w:val="00BF7DEE"/>
    <w:rsid w:val="00C000CF"/>
    <w:rsid w:val="00C00503"/>
    <w:rsid w:val="00C0103F"/>
    <w:rsid w:val="00C02AFF"/>
    <w:rsid w:val="00C04979"/>
    <w:rsid w:val="00C05C34"/>
    <w:rsid w:val="00C060B5"/>
    <w:rsid w:val="00C06C2A"/>
    <w:rsid w:val="00C072A8"/>
    <w:rsid w:val="00C07BFA"/>
    <w:rsid w:val="00C10685"/>
    <w:rsid w:val="00C10D98"/>
    <w:rsid w:val="00C11016"/>
    <w:rsid w:val="00C113D3"/>
    <w:rsid w:val="00C11640"/>
    <w:rsid w:val="00C11BE7"/>
    <w:rsid w:val="00C12A9B"/>
    <w:rsid w:val="00C13F0F"/>
    <w:rsid w:val="00C14827"/>
    <w:rsid w:val="00C14C57"/>
    <w:rsid w:val="00C156E2"/>
    <w:rsid w:val="00C15B13"/>
    <w:rsid w:val="00C15C08"/>
    <w:rsid w:val="00C16027"/>
    <w:rsid w:val="00C160E1"/>
    <w:rsid w:val="00C167D0"/>
    <w:rsid w:val="00C173F2"/>
    <w:rsid w:val="00C17C38"/>
    <w:rsid w:val="00C2013D"/>
    <w:rsid w:val="00C201C5"/>
    <w:rsid w:val="00C203A0"/>
    <w:rsid w:val="00C20BBB"/>
    <w:rsid w:val="00C21218"/>
    <w:rsid w:val="00C21557"/>
    <w:rsid w:val="00C2216B"/>
    <w:rsid w:val="00C22620"/>
    <w:rsid w:val="00C22C80"/>
    <w:rsid w:val="00C236ED"/>
    <w:rsid w:val="00C23716"/>
    <w:rsid w:val="00C23D5E"/>
    <w:rsid w:val="00C24214"/>
    <w:rsid w:val="00C24232"/>
    <w:rsid w:val="00C253DE"/>
    <w:rsid w:val="00C25739"/>
    <w:rsid w:val="00C25829"/>
    <w:rsid w:val="00C25AB4"/>
    <w:rsid w:val="00C26831"/>
    <w:rsid w:val="00C26B43"/>
    <w:rsid w:val="00C26E0F"/>
    <w:rsid w:val="00C2716A"/>
    <w:rsid w:val="00C2722F"/>
    <w:rsid w:val="00C276AF"/>
    <w:rsid w:val="00C27740"/>
    <w:rsid w:val="00C2794F"/>
    <w:rsid w:val="00C27F72"/>
    <w:rsid w:val="00C30480"/>
    <w:rsid w:val="00C31F0B"/>
    <w:rsid w:val="00C322D8"/>
    <w:rsid w:val="00C32EF6"/>
    <w:rsid w:val="00C339FC"/>
    <w:rsid w:val="00C349B5"/>
    <w:rsid w:val="00C34F5D"/>
    <w:rsid w:val="00C35976"/>
    <w:rsid w:val="00C370A0"/>
    <w:rsid w:val="00C400BE"/>
    <w:rsid w:val="00C40835"/>
    <w:rsid w:val="00C40B95"/>
    <w:rsid w:val="00C41BA6"/>
    <w:rsid w:val="00C44341"/>
    <w:rsid w:val="00C45428"/>
    <w:rsid w:val="00C45B20"/>
    <w:rsid w:val="00C461E3"/>
    <w:rsid w:val="00C463C3"/>
    <w:rsid w:val="00C4688F"/>
    <w:rsid w:val="00C46F63"/>
    <w:rsid w:val="00C47057"/>
    <w:rsid w:val="00C47C1C"/>
    <w:rsid w:val="00C50022"/>
    <w:rsid w:val="00C503E5"/>
    <w:rsid w:val="00C50718"/>
    <w:rsid w:val="00C516E5"/>
    <w:rsid w:val="00C5184C"/>
    <w:rsid w:val="00C5292A"/>
    <w:rsid w:val="00C52AE1"/>
    <w:rsid w:val="00C52DE9"/>
    <w:rsid w:val="00C533FF"/>
    <w:rsid w:val="00C5491C"/>
    <w:rsid w:val="00C5495A"/>
    <w:rsid w:val="00C54F7B"/>
    <w:rsid w:val="00C55D2D"/>
    <w:rsid w:val="00C55FEE"/>
    <w:rsid w:val="00C56260"/>
    <w:rsid w:val="00C564B5"/>
    <w:rsid w:val="00C56C9B"/>
    <w:rsid w:val="00C5729C"/>
    <w:rsid w:val="00C57317"/>
    <w:rsid w:val="00C574AC"/>
    <w:rsid w:val="00C57C6F"/>
    <w:rsid w:val="00C601BE"/>
    <w:rsid w:val="00C607C1"/>
    <w:rsid w:val="00C60830"/>
    <w:rsid w:val="00C60896"/>
    <w:rsid w:val="00C60FC1"/>
    <w:rsid w:val="00C610AD"/>
    <w:rsid w:val="00C62952"/>
    <w:rsid w:val="00C64947"/>
    <w:rsid w:val="00C65F8C"/>
    <w:rsid w:val="00C66799"/>
    <w:rsid w:val="00C66A87"/>
    <w:rsid w:val="00C67EA1"/>
    <w:rsid w:val="00C70217"/>
    <w:rsid w:val="00C706FD"/>
    <w:rsid w:val="00C70A6E"/>
    <w:rsid w:val="00C713DC"/>
    <w:rsid w:val="00C71EB9"/>
    <w:rsid w:val="00C720B5"/>
    <w:rsid w:val="00C721EA"/>
    <w:rsid w:val="00C72639"/>
    <w:rsid w:val="00C72A5E"/>
    <w:rsid w:val="00C72F96"/>
    <w:rsid w:val="00C73AF7"/>
    <w:rsid w:val="00C73D6E"/>
    <w:rsid w:val="00C74102"/>
    <w:rsid w:val="00C750B3"/>
    <w:rsid w:val="00C7541F"/>
    <w:rsid w:val="00C763C8"/>
    <w:rsid w:val="00C7642B"/>
    <w:rsid w:val="00C76C87"/>
    <w:rsid w:val="00C77C44"/>
    <w:rsid w:val="00C80049"/>
    <w:rsid w:val="00C80077"/>
    <w:rsid w:val="00C808E7"/>
    <w:rsid w:val="00C80BC2"/>
    <w:rsid w:val="00C80F4B"/>
    <w:rsid w:val="00C80F57"/>
    <w:rsid w:val="00C8210F"/>
    <w:rsid w:val="00C82377"/>
    <w:rsid w:val="00C827DA"/>
    <w:rsid w:val="00C82C04"/>
    <w:rsid w:val="00C83185"/>
    <w:rsid w:val="00C831E0"/>
    <w:rsid w:val="00C83D74"/>
    <w:rsid w:val="00C84056"/>
    <w:rsid w:val="00C852D3"/>
    <w:rsid w:val="00C858A1"/>
    <w:rsid w:val="00C85D37"/>
    <w:rsid w:val="00C86200"/>
    <w:rsid w:val="00C875D6"/>
    <w:rsid w:val="00C91FF9"/>
    <w:rsid w:val="00C927FB"/>
    <w:rsid w:val="00C92887"/>
    <w:rsid w:val="00C92891"/>
    <w:rsid w:val="00C92C71"/>
    <w:rsid w:val="00C9428F"/>
    <w:rsid w:val="00C9443E"/>
    <w:rsid w:val="00C94C7E"/>
    <w:rsid w:val="00C9512A"/>
    <w:rsid w:val="00C953BD"/>
    <w:rsid w:val="00C96ADE"/>
    <w:rsid w:val="00C96B4E"/>
    <w:rsid w:val="00CA00A3"/>
    <w:rsid w:val="00CA1625"/>
    <w:rsid w:val="00CA28BD"/>
    <w:rsid w:val="00CA30AC"/>
    <w:rsid w:val="00CA3836"/>
    <w:rsid w:val="00CA3FA7"/>
    <w:rsid w:val="00CA47E1"/>
    <w:rsid w:val="00CA539D"/>
    <w:rsid w:val="00CA551D"/>
    <w:rsid w:val="00CA610F"/>
    <w:rsid w:val="00CA62BF"/>
    <w:rsid w:val="00CA6DB3"/>
    <w:rsid w:val="00CA77E2"/>
    <w:rsid w:val="00CA7CCA"/>
    <w:rsid w:val="00CB01F9"/>
    <w:rsid w:val="00CB1048"/>
    <w:rsid w:val="00CB1158"/>
    <w:rsid w:val="00CB11F1"/>
    <w:rsid w:val="00CB22D8"/>
    <w:rsid w:val="00CB2542"/>
    <w:rsid w:val="00CB2CD2"/>
    <w:rsid w:val="00CB2DAE"/>
    <w:rsid w:val="00CB3422"/>
    <w:rsid w:val="00CB3F58"/>
    <w:rsid w:val="00CB4E8E"/>
    <w:rsid w:val="00CB54D7"/>
    <w:rsid w:val="00CB5CF9"/>
    <w:rsid w:val="00CB5EB7"/>
    <w:rsid w:val="00CB5EF0"/>
    <w:rsid w:val="00CB61D6"/>
    <w:rsid w:val="00CB650A"/>
    <w:rsid w:val="00CB7827"/>
    <w:rsid w:val="00CB790E"/>
    <w:rsid w:val="00CB7CBD"/>
    <w:rsid w:val="00CB7F06"/>
    <w:rsid w:val="00CC015F"/>
    <w:rsid w:val="00CC0833"/>
    <w:rsid w:val="00CC0D65"/>
    <w:rsid w:val="00CC1A52"/>
    <w:rsid w:val="00CC28C3"/>
    <w:rsid w:val="00CC2BA8"/>
    <w:rsid w:val="00CC2FDF"/>
    <w:rsid w:val="00CC3513"/>
    <w:rsid w:val="00CC4340"/>
    <w:rsid w:val="00CC434A"/>
    <w:rsid w:val="00CC5164"/>
    <w:rsid w:val="00CC6449"/>
    <w:rsid w:val="00CC71D8"/>
    <w:rsid w:val="00CC73D5"/>
    <w:rsid w:val="00CC76D5"/>
    <w:rsid w:val="00CC7983"/>
    <w:rsid w:val="00CC7C63"/>
    <w:rsid w:val="00CD0133"/>
    <w:rsid w:val="00CD0361"/>
    <w:rsid w:val="00CD12E6"/>
    <w:rsid w:val="00CD2DC3"/>
    <w:rsid w:val="00CD2E16"/>
    <w:rsid w:val="00CD3247"/>
    <w:rsid w:val="00CD4371"/>
    <w:rsid w:val="00CD44ED"/>
    <w:rsid w:val="00CD4DE8"/>
    <w:rsid w:val="00CD5758"/>
    <w:rsid w:val="00CD5EF4"/>
    <w:rsid w:val="00CD641E"/>
    <w:rsid w:val="00CD74D6"/>
    <w:rsid w:val="00CD752C"/>
    <w:rsid w:val="00CE01FD"/>
    <w:rsid w:val="00CE0B8A"/>
    <w:rsid w:val="00CE1534"/>
    <w:rsid w:val="00CE15BC"/>
    <w:rsid w:val="00CE32D7"/>
    <w:rsid w:val="00CE353A"/>
    <w:rsid w:val="00CE40A1"/>
    <w:rsid w:val="00CE4397"/>
    <w:rsid w:val="00CE4A0D"/>
    <w:rsid w:val="00CE4A64"/>
    <w:rsid w:val="00CE4C49"/>
    <w:rsid w:val="00CE712B"/>
    <w:rsid w:val="00CE7816"/>
    <w:rsid w:val="00CE788B"/>
    <w:rsid w:val="00CE7B62"/>
    <w:rsid w:val="00CF0237"/>
    <w:rsid w:val="00CF09C5"/>
    <w:rsid w:val="00CF0E8B"/>
    <w:rsid w:val="00CF25C2"/>
    <w:rsid w:val="00CF3338"/>
    <w:rsid w:val="00CF3821"/>
    <w:rsid w:val="00CF3C0F"/>
    <w:rsid w:val="00CF3FEA"/>
    <w:rsid w:val="00CF43E0"/>
    <w:rsid w:val="00CF4B03"/>
    <w:rsid w:val="00CF4CE0"/>
    <w:rsid w:val="00CF5293"/>
    <w:rsid w:val="00CF5DC3"/>
    <w:rsid w:val="00CF7A50"/>
    <w:rsid w:val="00CF7AB6"/>
    <w:rsid w:val="00D00365"/>
    <w:rsid w:val="00D006F0"/>
    <w:rsid w:val="00D00878"/>
    <w:rsid w:val="00D00CDA"/>
    <w:rsid w:val="00D01807"/>
    <w:rsid w:val="00D01FB8"/>
    <w:rsid w:val="00D022CB"/>
    <w:rsid w:val="00D02511"/>
    <w:rsid w:val="00D02674"/>
    <w:rsid w:val="00D02834"/>
    <w:rsid w:val="00D02845"/>
    <w:rsid w:val="00D02DDC"/>
    <w:rsid w:val="00D03695"/>
    <w:rsid w:val="00D04189"/>
    <w:rsid w:val="00D04AE9"/>
    <w:rsid w:val="00D04CCC"/>
    <w:rsid w:val="00D05F68"/>
    <w:rsid w:val="00D06094"/>
    <w:rsid w:val="00D0615D"/>
    <w:rsid w:val="00D0683A"/>
    <w:rsid w:val="00D06A8B"/>
    <w:rsid w:val="00D06D22"/>
    <w:rsid w:val="00D06ED7"/>
    <w:rsid w:val="00D079AD"/>
    <w:rsid w:val="00D07E83"/>
    <w:rsid w:val="00D100A8"/>
    <w:rsid w:val="00D101AA"/>
    <w:rsid w:val="00D108A9"/>
    <w:rsid w:val="00D10EC0"/>
    <w:rsid w:val="00D11809"/>
    <w:rsid w:val="00D127B4"/>
    <w:rsid w:val="00D1328A"/>
    <w:rsid w:val="00D13820"/>
    <w:rsid w:val="00D13D9C"/>
    <w:rsid w:val="00D143C7"/>
    <w:rsid w:val="00D14665"/>
    <w:rsid w:val="00D148EB"/>
    <w:rsid w:val="00D15B1F"/>
    <w:rsid w:val="00D15B3A"/>
    <w:rsid w:val="00D15C2B"/>
    <w:rsid w:val="00D15DD0"/>
    <w:rsid w:val="00D16894"/>
    <w:rsid w:val="00D174AD"/>
    <w:rsid w:val="00D177FC"/>
    <w:rsid w:val="00D20A9C"/>
    <w:rsid w:val="00D20CB8"/>
    <w:rsid w:val="00D20E24"/>
    <w:rsid w:val="00D21687"/>
    <w:rsid w:val="00D21AF4"/>
    <w:rsid w:val="00D21B22"/>
    <w:rsid w:val="00D221CA"/>
    <w:rsid w:val="00D2268D"/>
    <w:rsid w:val="00D22D5E"/>
    <w:rsid w:val="00D23CDF"/>
    <w:rsid w:val="00D23E72"/>
    <w:rsid w:val="00D2475E"/>
    <w:rsid w:val="00D24DA9"/>
    <w:rsid w:val="00D25944"/>
    <w:rsid w:val="00D2616E"/>
    <w:rsid w:val="00D26931"/>
    <w:rsid w:val="00D26BC4"/>
    <w:rsid w:val="00D305AA"/>
    <w:rsid w:val="00D3080B"/>
    <w:rsid w:val="00D310D3"/>
    <w:rsid w:val="00D31E9D"/>
    <w:rsid w:val="00D32EB8"/>
    <w:rsid w:val="00D32F41"/>
    <w:rsid w:val="00D330FD"/>
    <w:rsid w:val="00D34629"/>
    <w:rsid w:val="00D347E2"/>
    <w:rsid w:val="00D3516F"/>
    <w:rsid w:val="00D35758"/>
    <w:rsid w:val="00D35A94"/>
    <w:rsid w:val="00D361E0"/>
    <w:rsid w:val="00D36238"/>
    <w:rsid w:val="00D36601"/>
    <w:rsid w:val="00D37335"/>
    <w:rsid w:val="00D378C7"/>
    <w:rsid w:val="00D40240"/>
    <w:rsid w:val="00D4068F"/>
    <w:rsid w:val="00D4151A"/>
    <w:rsid w:val="00D41EF7"/>
    <w:rsid w:val="00D41F87"/>
    <w:rsid w:val="00D41FEA"/>
    <w:rsid w:val="00D42C15"/>
    <w:rsid w:val="00D43197"/>
    <w:rsid w:val="00D444CA"/>
    <w:rsid w:val="00D446A8"/>
    <w:rsid w:val="00D44BCB"/>
    <w:rsid w:val="00D46063"/>
    <w:rsid w:val="00D50987"/>
    <w:rsid w:val="00D50C76"/>
    <w:rsid w:val="00D50D62"/>
    <w:rsid w:val="00D51800"/>
    <w:rsid w:val="00D51ACB"/>
    <w:rsid w:val="00D51B99"/>
    <w:rsid w:val="00D51C06"/>
    <w:rsid w:val="00D51FC9"/>
    <w:rsid w:val="00D5215C"/>
    <w:rsid w:val="00D52678"/>
    <w:rsid w:val="00D5364B"/>
    <w:rsid w:val="00D54967"/>
    <w:rsid w:val="00D54F26"/>
    <w:rsid w:val="00D55F96"/>
    <w:rsid w:val="00D571CB"/>
    <w:rsid w:val="00D60E0D"/>
    <w:rsid w:val="00D60F3C"/>
    <w:rsid w:val="00D6201C"/>
    <w:rsid w:val="00D624A3"/>
    <w:rsid w:val="00D62711"/>
    <w:rsid w:val="00D630BD"/>
    <w:rsid w:val="00D64954"/>
    <w:rsid w:val="00D64DDB"/>
    <w:rsid w:val="00D65248"/>
    <w:rsid w:val="00D6547E"/>
    <w:rsid w:val="00D6590C"/>
    <w:rsid w:val="00D661B9"/>
    <w:rsid w:val="00D66254"/>
    <w:rsid w:val="00D6684A"/>
    <w:rsid w:val="00D671D5"/>
    <w:rsid w:val="00D674E5"/>
    <w:rsid w:val="00D67C48"/>
    <w:rsid w:val="00D700F5"/>
    <w:rsid w:val="00D708D6"/>
    <w:rsid w:val="00D70E71"/>
    <w:rsid w:val="00D70F66"/>
    <w:rsid w:val="00D71A9B"/>
    <w:rsid w:val="00D72AEE"/>
    <w:rsid w:val="00D72BC4"/>
    <w:rsid w:val="00D73038"/>
    <w:rsid w:val="00D73DD9"/>
    <w:rsid w:val="00D74866"/>
    <w:rsid w:val="00D762BE"/>
    <w:rsid w:val="00D770A6"/>
    <w:rsid w:val="00D775D1"/>
    <w:rsid w:val="00D77E1A"/>
    <w:rsid w:val="00D80621"/>
    <w:rsid w:val="00D80B39"/>
    <w:rsid w:val="00D80DAC"/>
    <w:rsid w:val="00D81759"/>
    <w:rsid w:val="00D81C6C"/>
    <w:rsid w:val="00D82401"/>
    <w:rsid w:val="00D83EE0"/>
    <w:rsid w:val="00D858F3"/>
    <w:rsid w:val="00D85BAE"/>
    <w:rsid w:val="00D87B56"/>
    <w:rsid w:val="00D91455"/>
    <w:rsid w:val="00D91977"/>
    <w:rsid w:val="00D939F6"/>
    <w:rsid w:val="00D93E6E"/>
    <w:rsid w:val="00D9478A"/>
    <w:rsid w:val="00D9497A"/>
    <w:rsid w:val="00D95913"/>
    <w:rsid w:val="00D95F85"/>
    <w:rsid w:val="00D95F8A"/>
    <w:rsid w:val="00D96DC8"/>
    <w:rsid w:val="00D97F00"/>
    <w:rsid w:val="00DA25C3"/>
    <w:rsid w:val="00DA305F"/>
    <w:rsid w:val="00DA3E92"/>
    <w:rsid w:val="00DA3EAD"/>
    <w:rsid w:val="00DA5425"/>
    <w:rsid w:val="00DA61BB"/>
    <w:rsid w:val="00DA67E7"/>
    <w:rsid w:val="00DA6F0C"/>
    <w:rsid w:val="00DA6F73"/>
    <w:rsid w:val="00DA7AE0"/>
    <w:rsid w:val="00DB1450"/>
    <w:rsid w:val="00DB1AFA"/>
    <w:rsid w:val="00DB1F7E"/>
    <w:rsid w:val="00DB2010"/>
    <w:rsid w:val="00DB25EA"/>
    <w:rsid w:val="00DB2CF9"/>
    <w:rsid w:val="00DB3835"/>
    <w:rsid w:val="00DB3CCA"/>
    <w:rsid w:val="00DB4BB7"/>
    <w:rsid w:val="00DB57B4"/>
    <w:rsid w:val="00DB57BA"/>
    <w:rsid w:val="00DB5B37"/>
    <w:rsid w:val="00DB601D"/>
    <w:rsid w:val="00DB6BC2"/>
    <w:rsid w:val="00DB6BD9"/>
    <w:rsid w:val="00DB7379"/>
    <w:rsid w:val="00DC0D02"/>
    <w:rsid w:val="00DC25CC"/>
    <w:rsid w:val="00DC5657"/>
    <w:rsid w:val="00DC6237"/>
    <w:rsid w:val="00DC65DE"/>
    <w:rsid w:val="00DC6D1C"/>
    <w:rsid w:val="00DC6DDD"/>
    <w:rsid w:val="00DC7739"/>
    <w:rsid w:val="00DC7BAC"/>
    <w:rsid w:val="00DC7D89"/>
    <w:rsid w:val="00DD0238"/>
    <w:rsid w:val="00DD1003"/>
    <w:rsid w:val="00DD114B"/>
    <w:rsid w:val="00DD1429"/>
    <w:rsid w:val="00DD1BDE"/>
    <w:rsid w:val="00DD276C"/>
    <w:rsid w:val="00DD28E1"/>
    <w:rsid w:val="00DD2C31"/>
    <w:rsid w:val="00DD35D2"/>
    <w:rsid w:val="00DD422C"/>
    <w:rsid w:val="00DD4B8E"/>
    <w:rsid w:val="00DD5010"/>
    <w:rsid w:val="00DD653E"/>
    <w:rsid w:val="00DD6677"/>
    <w:rsid w:val="00DD6ABC"/>
    <w:rsid w:val="00DD7833"/>
    <w:rsid w:val="00DD7D40"/>
    <w:rsid w:val="00DE001F"/>
    <w:rsid w:val="00DE06C0"/>
    <w:rsid w:val="00DE0F20"/>
    <w:rsid w:val="00DE15F8"/>
    <w:rsid w:val="00DE2635"/>
    <w:rsid w:val="00DE2F36"/>
    <w:rsid w:val="00DE5294"/>
    <w:rsid w:val="00DE6012"/>
    <w:rsid w:val="00DE6259"/>
    <w:rsid w:val="00DE6838"/>
    <w:rsid w:val="00DE6A7A"/>
    <w:rsid w:val="00DF00D6"/>
    <w:rsid w:val="00DF0292"/>
    <w:rsid w:val="00DF1161"/>
    <w:rsid w:val="00DF18F1"/>
    <w:rsid w:val="00DF1B1E"/>
    <w:rsid w:val="00DF1BDD"/>
    <w:rsid w:val="00DF2153"/>
    <w:rsid w:val="00DF29C3"/>
    <w:rsid w:val="00DF41F4"/>
    <w:rsid w:val="00DF473A"/>
    <w:rsid w:val="00DF4FEC"/>
    <w:rsid w:val="00DF53AA"/>
    <w:rsid w:val="00DF58E3"/>
    <w:rsid w:val="00DF5977"/>
    <w:rsid w:val="00DF5B23"/>
    <w:rsid w:val="00DF5C79"/>
    <w:rsid w:val="00DF5DEE"/>
    <w:rsid w:val="00DF63A6"/>
    <w:rsid w:val="00DF6868"/>
    <w:rsid w:val="00DF6A9B"/>
    <w:rsid w:val="00DF7964"/>
    <w:rsid w:val="00DF7ED3"/>
    <w:rsid w:val="00E000D8"/>
    <w:rsid w:val="00E01259"/>
    <w:rsid w:val="00E0235A"/>
    <w:rsid w:val="00E026B7"/>
    <w:rsid w:val="00E02E74"/>
    <w:rsid w:val="00E0355A"/>
    <w:rsid w:val="00E04EF0"/>
    <w:rsid w:val="00E05665"/>
    <w:rsid w:val="00E059B8"/>
    <w:rsid w:val="00E06117"/>
    <w:rsid w:val="00E062B2"/>
    <w:rsid w:val="00E063D6"/>
    <w:rsid w:val="00E0667E"/>
    <w:rsid w:val="00E071D9"/>
    <w:rsid w:val="00E07666"/>
    <w:rsid w:val="00E07A3B"/>
    <w:rsid w:val="00E07C40"/>
    <w:rsid w:val="00E12010"/>
    <w:rsid w:val="00E122D3"/>
    <w:rsid w:val="00E125AE"/>
    <w:rsid w:val="00E12662"/>
    <w:rsid w:val="00E12E17"/>
    <w:rsid w:val="00E137B1"/>
    <w:rsid w:val="00E137F9"/>
    <w:rsid w:val="00E13C27"/>
    <w:rsid w:val="00E16983"/>
    <w:rsid w:val="00E17E81"/>
    <w:rsid w:val="00E200CC"/>
    <w:rsid w:val="00E202F2"/>
    <w:rsid w:val="00E20719"/>
    <w:rsid w:val="00E21518"/>
    <w:rsid w:val="00E21A4F"/>
    <w:rsid w:val="00E227D0"/>
    <w:rsid w:val="00E22ACD"/>
    <w:rsid w:val="00E22AEE"/>
    <w:rsid w:val="00E22F2B"/>
    <w:rsid w:val="00E235A3"/>
    <w:rsid w:val="00E24569"/>
    <w:rsid w:val="00E24679"/>
    <w:rsid w:val="00E24E0B"/>
    <w:rsid w:val="00E2531B"/>
    <w:rsid w:val="00E25E4B"/>
    <w:rsid w:val="00E26821"/>
    <w:rsid w:val="00E26DA6"/>
    <w:rsid w:val="00E26E6B"/>
    <w:rsid w:val="00E27614"/>
    <w:rsid w:val="00E301CE"/>
    <w:rsid w:val="00E305AE"/>
    <w:rsid w:val="00E3092B"/>
    <w:rsid w:val="00E31610"/>
    <w:rsid w:val="00E31909"/>
    <w:rsid w:val="00E31960"/>
    <w:rsid w:val="00E31CF6"/>
    <w:rsid w:val="00E342C1"/>
    <w:rsid w:val="00E3592F"/>
    <w:rsid w:val="00E35A4C"/>
    <w:rsid w:val="00E36288"/>
    <w:rsid w:val="00E36FC1"/>
    <w:rsid w:val="00E3713A"/>
    <w:rsid w:val="00E37723"/>
    <w:rsid w:val="00E4037A"/>
    <w:rsid w:val="00E40D25"/>
    <w:rsid w:val="00E40F9F"/>
    <w:rsid w:val="00E41B48"/>
    <w:rsid w:val="00E41C60"/>
    <w:rsid w:val="00E41FEA"/>
    <w:rsid w:val="00E4222C"/>
    <w:rsid w:val="00E433D2"/>
    <w:rsid w:val="00E4359A"/>
    <w:rsid w:val="00E43D76"/>
    <w:rsid w:val="00E442BC"/>
    <w:rsid w:val="00E4445E"/>
    <w:rsid w:val="00E44472"/>
    <w:rsid w:val="00E445BA"/>
    <w:rsid w:val="00E44D6B"/>
    <w:rsid w:val="00E44FF9"/>
    <w:rsid w:val="00E4537E"/>
    <w:rsid w:val="00E45C51"/>
    <w:rsid w:val="00E46C15"/>
    <w:rsid w:val="00E474A8"/>
    <w:rsid w:val="00E50624"/>
    <w:rsid w:val="00E5101B"/>
    <w:rsid w:val="00E51118"/>
    <w:rsid w:val="00E51BFA"/>
    <w:rsid w:val="00E51FF9"/>
    <w:rsid w:val="00E52AE3"/>
    <w:rsid w:val="00E5379D"/>
    <w:rsid w:val="00E53C9C"/>
    <w:rsid w:val="00E54B81"/>
    <w:rsid w:val="00E557CB"/>
    <w:rsid w:val="00E558DD"/>
    <w:rsid w:val="00E56749"/>
    <w:rsid w:val="00E56ACF"/>
    <w:rsid w:val="00E576DE"/>
    <w:rsid w:val="00E57883"/>
    <w:rsid w:val="00E57D54"/>
    <w:rsid w:val="00E60056"/>
    <w:rsid w:val="00E623D8"/>
    <w:rsid w:val="00E628CC"/>
    <w:rsid w:val="00E62CA6"/>
    <w:rsid w:val="00E62CFC"/>
    <w:rsid w:val="00E62DFA"/>
    <w:rsid w:val="00E65CD3"/>
    <w:rsid w:val="00E65F3F"/>
    <w:rsid w:val="00E66DA3"/>
    <w:rsid w:val="00E67DF6"/>
    <w:rsid w:val="00E70FD0"/>
    <w:rsid w:val="00E71201"/>
    <w:rsid w:val="00E71988"/>
    <w:rsid w:val="00E71AA2"/>
    <w:rsid w:val="00E71FC2"/>
    <w:rsid w:val="00E722A4"/>
    <w:rsid w:val="00E72A00"/>
    <w:rsid w:val="00E73D7A"/>
    <w:rsid w:val="00E740C9"/>
    <w:rsid w:val="00E7428A"/>
    <w:rsid w:val="00E74A56"/>
    <w:rsid w:val="00E74A5B"/>
    <w:rsid w:val="00E75079"/>
    <w:rsid w:val="00E75161"/>
    <w:rsid w:val="00E7580E"/>
    <w:rsid w:val="00E75C3D"/>
    <w:rsid w:val="00E771B0"/>
    <w:rsid w:val="00E7762F"/>
    <w:rsid w:val="00E778EF"/>
    <w:rsid w:val="00E77B8C"/>
    <w:rsid w:val="00E77CB5"/>
    <w:rsid w:val="00E804E1"/>
    <w:rsid w:val="00E805E7"/>
    <w:rsid w:val="00E81668"/>
    <w:rsid w:val="00E81E6A"/>
    <w:rsid w:val="00E81F73"/>
    <w:rsid w:val="00E82935"/>
    <w:rsid w:val="00E841C1"/>
    <w:rsid w:val="00E84AE0"/>
    <w:rsid w:val="00E84C75"/>
    <w:rsid w:val="00E84D09"/>
    <w:rsid w:val="00E85430"/>
    <w:rsid w:val="00E85BCC"/>
    <w:rsid w:val="00E85CC0"/>
    <w:rsid w:val="00E8621C"/>
    <w:rsid w:val="00E86662"/>
    <w:rsid w:val="00E8695D"/>
    <w:rsid w:val="00E870C7"/>
    <w:rsid w:val="00E87551"/>
    <w:rsid w:val="00E877E9"/>
    <w:rsid w:val="00E903E2"/>
    <w:rsid w:val="00E90774"/>
    <w:rsid w:val="00E907E1"/>
    <w:rsid w:val="00E90A8E"/>
    <w:rsid w:val="00E90F6B"/>
    <w:rsid w:val="00E91167"/>
    <w:rsid w:val="00E91A0A"/>
    <w:rsid w:val="00E9261E"/>
    <w:rsid w:val="00E9485F"/>
    <w:rsid w:val="00E94DEA"/>
    <w:rsid w:val="00E954ED"/>
    <w:rsid w:val="00E9579A"/>
    <w:rsid w:val="00E9582E"/>
    <w:rsid w:val="00E95950"/>
    <w:rsid w:val="00E95FE3"/>
    <w:rsid w:val="00E9637E"/>
    <w:rsid w:val="00E96792"/>
    <w:rsid w:val="00E978C4"/>
    <w:rsid w:val="00E97A4A"/>
    <w:rsid w:val="00E97AE5"/>
    <w:rsid w:val="00E97E26"/>
    <w:rsid w:val="00EA0808"/>
    <w:rsid w:val="00EA1059"/>
    <w:rsid w:val="00EA17DF"/>
    <w:rsid w:val="00EA1958"/>
    <w:rsid w:val="00EA1A50"/>
    <w:rsid w:val="00EA2B16"/>
    <w:rsid w:val="00EA2B5C"/>
    <w:rsid w:val="00EA2EBF"/>
    <w:rsid w:val="00EA3180"/>
    <w:rsid w:val="00EA45C9"/>
    <w:rsid w:val="00EA5139"/>
    <w:rsid w:val="00EA58FB"/>
    <w:rsid w:val="00EA5AC9"/>
    <w:rsid w:val="00EA67C0"/>
    <w:rsid w:val="00EA697D"/>
    <w:rsid w:val="00EA70DA"/>
    <w:rsid w:val="00EA73D9"/>
    <w:rsid w:val="00EA7678"/>
    <w:rsid w:val="00EA7CF8"/>
    <w:rsid w:val="00EB0E87"/>
    <w:rsid w:val="00EB1130"/>
    <w:rsid w:val="00EB166D"/>
    <w:rsid w:val="00EB16A2"/>
    <w:rsid w:val="00EB1B78"/>
    <w:rsid w:val="00EB1B85"/>
    <w:rsid w:val="00EB230F"/>
    <w:rsid w:val="00EB37A2"/>
    <w:rsid w:val="00EB4BE0"/>
    <w:rsid w:val="00EB4EE0"/>
    <w:rsid w:val="00EB58EC"/>
    <w:rsid w:val="00EB5AA4"/>
    <w:rsid w:val="00EB6385"/>
    <w:rsid w:val="00EB6559"/>
    <w:rsid w:val="00EB6CBD"/>
    <w:rsid w:val="00EB7A38"/>
    <w:rsid w:val="00EC00EA"/>
    <w:rsid w:val="00EC0349"/>
    <w:rsid w:val="00EC0F78"/>
    <w:rsid w:val="00EC1AE6"/>
    <w:rsid w:val="00EC2C16"/>
    <w:rsid w:val="00EC2E23"/>
    <w:rsid w:val="00EC2F3A"/>
    <w:rsid w:val="00EC367E"/>
    <w:rsid w:val="00EC36F8"/>
    <w:rsid w:val="00EC4B12"/>
    <w:rsid w:val="00EC4FA0"/>
    <w:rsid w:val="00EC5E3C"/>
    <w:rsid w:val="00EC64D5"/>
    <w:rsid w:val="00EC72C1"/>
    <w:rsid w:val="00ED0023"/>
    <w:rsid w:val="00ED09A8"/>
    <w:rsid w:val="00ED0B2F"/>
    <w:rsid w:val="00ED1508"/>
    <w:rsid w:val="00ED1B2C"/>
    <w:rsid w:val="00ED2024"/>
    <w:rsid w:val="00ED2A50"/>
    <w:rsid w:val="00ED2B1C"/>
    <w:rsid w:val="00ED30D0"/>
    <w:rsid w:val="00ED3151"/>
    <w:rsid w:val="00ED327E"/>
    <w:rsid w:val="00ED3F19"/>
    <w:rsid w:val="00ED492F"/>
    <w:rsid w:val="00ED4B6E"/>
    <w:rsid w:val="00ED5B61"/>
    <w:rsid w:val="00ED6B16"/>
    <w:rsid w:val="00ED7600"/>
    <w:rsid w:val="00ED7D4D"/>
    <w:rsid w:val="00EE3464"/>
    <w:rsid w:val="00EE35B3"/>
    <w:rsid w:val="00EE4521"/>
    <w:rsid w:val="00EE4DD1"/>
    <w:rsid w:val="00EE592A"/>
    <w:rsid w:val="00EE5BA5"/>
    <w:rsid w:val="00EE5EB5"/>
    <w:rsid w:val="00EE7000"/>
    <w:rsid w:val="00EE7C3E"/>
    <w:rsid w:val="00EE7E56"/>
    <w:rsid w:val="00EF0F73"/>
    <w:rsid w:val="00EF1234"/>
    <w:rsid w:val="00EF1891"/>
    <w:rsid w:val="00EF1A1F"/>
    <w:rsid w:val="00EF1B83"/>
    <w:rsid w:val="00EF1B96"/>
    <w:rsid w:val="00EF1E43"/>
    <w:rsid w:val="00EF3A22"/>
    <w:rsid w:val="00EF3B96"/>
    <w:rsid w:val="00EF414E"/>
    <w:rsid w:val="00EF4319"/>
    <w:rsid w:val="00EF4FE6"/>
    <w:rsid w:val="00EF61A6"/>
    <w:rsid w:val="00EF7A85"/>
    <w:rsid w:val="00EF7D43"/>
    <w:rsid w:val="00F002BA"/>
    <w:rsid w:val="00F0080B"/>
    <w:rsid w:val="00F01111"/>
    <w:rsid w:val="00F013D6"/>
    <w:rsid w:val="00F01457"/>
    <w:rsid w:val="00F0221A"/>
    <w:rsid w:val="00F0284E"/>
    <w:rsid w:val="00F02DD7"/>
    <w:rsid w:val="00F03393"/>
    <w:rsid w:val="00F034E4"/>
    <w:rsid w:val="00F03F4E"/>
    <w:rsid w:val="00F0444F"/>
    <w:rsid w:val="00F045DB"/>
    <w:rsid w:val="00F04B67"/>
    <w:rsid w:val="00F05BEC"/>
    <w:rsid w:val="00F05D8A"/>
    <w:rsid w:val="00F06267"/>
    <w:rsid w:val="00F06520"/>
    <w:rsid w:val="00F0669B"/>
    <w:rsid w:val="00F06BF8"/>
    <w:rsid w:val="00F0706B"/>
    <w:rsid w:val="00F07209"/>
    <w:rsid w:val="00F11479"/>
    <w:rsid w:val="00F1157F"/>
    <w:rsid w:val="00F11867"/>
    <w:rsid w:val="00F11F78"/>
    <w:rsid w:val="00F11FA8"/>
    <w:rsid w:val="00F1263E"/>
    <w:rsid w:val="00F12A41"/>
    <w:rsid w:val="00F12AAB"/>
    <w:rsid w:val="00F13412"/>
    <w:rsid w:val="00F13BC5"/>
    <w:rsid w:val="00F14C4E"/>
    <w:rsid w:val="00F15704"/>
    <w:rsid w:val="00F15D27"/>
    <w:rsid w:val="00F15E14"/>
    <w:rsid w:val="00F15F06"/>
    <w:rsid w:val="00F165F4"/>
    <w:rsid w:val="00F16701"/>
    <w:rsid w:val="00F17764"/>
    <w:rsid w:val="00F200C3"/>
    <w:rsid w:val="00F20292"/>
    <w:rsid w:val="00F20CF9"/>
    <w:rsid w:val="00F21638"/>
    <w:rsid w:val="00F21C67"/>
    <w:rsid w:val="00F22155"/>
    <w:rsid w:val="00F221F4"/>
    <w:rsid w:val="00F223FE"/>
    <w:rsid w:val="00F22792"/>
    <w:rsid w:val="00F22D7A"/>
    <w:rsid w:val="00F22E90"/>
    <w:rsid w:val="00F23224"/>
    <w:rsid w:val="00F23F93"/>
    <w:rsid w:val="00F24B6C"/>
    <w:rsid w:val="00F25AE7"/>
    <w:rsid w:val="00F25CD0"/>
    <w:rsid w:val="00F261B2"/>
    <w:rsid w:val="00F267AC"/>
    <w:rsid w:val="00F27076"/>
    <w:rsid w:val="00F3003C"/>
    <w:rsid w:val="00F3130F"/>
    <w:rsid w:val="00F31CA3"/>
    <w:rsid w:val="00F31E3C"/>
    <w:rsid w:val="00F320C8"/>
    <w:rsid w:val="00F3260B"/>
    <w:rsid w:val="00F32C19"/>
    <w:rsid w:val="00F33200"/>
    <w:rsid w:val="00F33452"/>
    <w:rsid w:val="00F340F8"/>
    <w:rsid w:val="00F350F1"/>
    <w:rsid w:val="00F358A0"/>
    <w:rsid w:val="00F3649E"/>
    <w:rsid w:val="00F36FBB"/>
    <w:rsid w:val="00F372E1"/>
    <w:rsid w:val="00F4004E"/>
    <w:rsid w:val="00F402A3"/>
    <w:rsid w:val="00F405E8"/>
    <w:rsid w:val="00F40D17"/>
    <w:rsid w:val="00F42150"/>
    <w:rsid w:val="00F421D9"/>
    <w:rsid w:val="00F4328D"/>
    <w:rsid w:val="00F43C3B"/>
    <w:rsid w:val="00F43EC4"/>
    <w:rsid w:val="00F4449A"/>
    <w:rsid w:val="00F44733"/>
    <w:rsid w:val="00F448C5"/>
    <w:rsid w:val="00F45502"/>
    <w:rsid w:val="00F4626D"/>
    <w:rsid w:val="00F46462"/>
    <w:rsid w:val="00F468A5"/>
    <w:rsid w:val="00F4722E"/>
    <w:rsid w:val="00F4737B"/>
    <w:rsid w:val="00F476E6"/>
    <w:rsid w:val="00F51592"/>
    <w:rsid w:val="00F51980"/>
    <w:rsid w:val="00F52328"/>
    <w:rsid w:val="00F5240F"/>
    <w:rsid w:val="00F52F4B"/>
    <w:rsid w:val="00F53047"/>
    <w:rsid w:val="00F558D1"/>
    <w:rsid w:val="00F56B14"/>
    <w:rsid w:val="00F56DE7"/>
    <w:rsid w:val="00F5717B"/>
    <w:rsid w:val="00F57186"/>
    <w:rsid w:val="00F572EB"/>
    <w:rsid w:val="00F60038"/>
    <w:rsid w:val="00F607B2"/>
    <w:rsid w:val="00F61175"/>
    <w:rsid w:val="00F61846"/>
    <w:rsid w:val="00F61BAF"/>
    <w:rsid w:val="00F61C57"/>
    <w:rsid w:val="00F6205C"/>
    <w:rsid w:val="00F6246F"/>
    <w:rsid w:val="00F6379C"/>
    <w:rsid w:val="00F63D54"/>
    <w:rsid w:val="00F65001"/>
    <w:rsid w:val="00F65125"/>
    <w:rsid w:val="00F65A27"/>
    <w:rsid w:val="00F65DDB"/>
    <w:rsid w:val="00F66773"/>
    <w:rsid w:val="00F67917"/>
    <w:rsid w:val="00F704A1"/>
    <w:rsid w:val="00F70602"/>
    <w:rsid w:val="00F70EF1"/>
    <w:rsid w:val="00F70F3E"/>
    <w:rsid w:val="00F710A0"/>
    <w:rsid w:val="00F7114B"/>
    <w:rsid w:val="00F715D7"/>
    <w:rsid w:val="00F71C11"/>
    <w:rsid w:val="00F72DDB"/>
    <w:rsid w:val="00F72F98"/>
    <w:rsid w:val="00F730CE"/>
    <w:rsid w:val="00F73BE5"/>
    <w:rsid w:val="00F73CD1"/>
    <w:rsid w:val="00F74659"/>
    <w:rsid w:val="00F75360"/>
    <w:rsid w:val="00F758F8"/>
    <w:rsid w:val="00F7590C"/>
    <w:rsid w:val="00F75D8C"/>
    <w:rsid w:val="00F75E29"/>
    <w:rsid w:val="00F76682"/>
    <w:rsid w:val="00F77169"/>
    <w:rsid w:val="00F779B7"/>
    <w:rsid w:val="00F77C6F"/>
    <w:rsid w:val="00F77E25"/>
    <w:rsid w:val="00F80508"/>
    <w:rsid w:val="00F807AE"/>
    <w:rsid w:val="00F807D2"/>
    <w:rsid w:val="00F80962"/>
    <w:rsid w:val="00F8107D"/>
    <w:rsid w:val="00F81F21"/>
    <w:rsid w:val="00F8466D"/>
    <w:rsid w:val="00F84690"/>
    <w:rsid w:val="00F85422"/>
    <w:rsid w:val="00F86659"/>
    <w:rsid w:val="00F86E59"/>
    <w:rsid w:val="00F87551"/>
    <w:rsid w:val="00F878A8"/>
    <w:rsid w:val="00F87925"/>
    <w:rsid w:val="00F87D9A"/>
    <w:rsid w:val="00F9014F"/>
    <w:rsid w:val="00F90167"/>
    <w:rsid w:val="00F92297"/>
    <w:rsid w:val="00F923F5"/>
    <w:rsid w:val="00F936AC"/>
    <w:rsid w:val="00F93899"/>
    <w:rsid w:val="00F93AE8"/>
    <w:rsid w:val="00F94189"/>
    <w:rsid w:val="00F94F6E"/>
    <w:rsid w:val="00F94F78"/>
    <w:rsid w:val="00F95BD3"/>
    <w:rsid w:val="00F95E72"/>
    <w:rsid w:val="00F95E7F"/>
    <w:rsid w:val="00F96F2D"/>
    <w:rsid w:val="00F97752"/>
    <w:rsid w:val="00F979A0"/>
    <w:rsid w:val="00FA030A"/>
    <w:rsid w:val="00FA0421"/>
    <w:rsid w:val="00FA10C3"/>
    <w:rsid w:val="00FA1AFC"/>
    <w:rsid w:val="00FA1E0E"/>
    <w:rsid w:val="00FA2345"/>
    <w:rsid w:val="00FA24B3"/>
    <w:rsid w:val="00FA3699"/>
    <w:rsid w:val="00FA3A10"/>
    <w:rsid w:val="00FA46BA"/>
    <w:rsid w:val="00FA540A"/>
    <w:rsid w:val="00FA5810"/>
    <w:rsid w:val="00FA5DB5"/>
    <w:rsid w:val="00FA6126"/>
    <w:rsid w:val="00FA61E7"/>
    <w:rsid w:val="00FA624D"/>
    <w:rsid w:val="00FA62F2"/>
    <w:rsid w:val="00FA666B"/>
    <w:rsid w:val="00FA69DC"/>
    <w:rsid w:val="00FA6C5E"/>
    <w:rsid w:val="00FA71CE"/>
    <w:rsid w:val="00FA7349"/>
    <w:rsid w:val="00FA7F84"/>
    <w:rsid w:val="00FB009E"/>
    <w:rsid w:val="00FB05D8"/>
    <w:rsid w:val="00FB0DE5"/>
    <w:rsid w:val="00FB10CA"/>
    <w:rsid w:val="00FB121D"/>
    <w:rsid w:val="00FB1483"/>
    <w:rsid w:val="00FB1E3F"/>
    <w:rsid w:val="00FB2588"/>
    <w:rsid w:val="00FB3BD2"/>
    <w:rsid w:val="00FB3DB1"/>
    <w:rsid w:val="00FB3F1B"/>
    <w:rsid w:val="00FB404C"/>
    <w:rsid w:val="00FB419E"/>
    <w:rsid w:val="00FB484C"/>
    <w:rsid w:val="00FB5007"/>
    <w:rsid w:val="00FB5131"/>
    <w:rsid w:val="00FB529D"/>
    <w:rsid w:val="00FB58F3"/>
    <w:rsid w:val="00FB5D7B"/>
    <w:rsid w:val="00FB714A"/>
    <w:rsid w:val="00FC0E2D"/>
    <w:rsid w:val="00FC1B07"/>
    <w:rsid w:val="00FC1E23"/>
    <w:rsid w:val="00FC1F41"/>
    <w:rsid w:val="00FC25D0"/>
    <w:rsid w:val="00FC2697"/>
    <w:rsid w:val="00FC2CAD"/>
    <w:rsid w:val="00FC3D88"/>
    <w:rsid w:val="00FC45B5"/>
    <w:rsid w:val="00FC4EC7"/>
    <w:rsid w:val="00FC75EE"/>
    <w:rsid w:val="00FD0210"/>
    <w:rsid w:val="00FD0465"/>
    <w:rsid w:val="00FD0A4F"/>
    <w:rsid w:val="00FD0F11"/>
    <w:rsid w:val="00FD13B8"/>
    <w:rsid w:val="00FD1675"/>
    <w:rsid w:val="00FD1698"/>
    <w:rsid w:val="00FD18E1"/>
    <w:rsid w:val="00FD1C48"/>
    <w:rsid w:val="00FD1D42"/>
    <w:rsid w:val="00FD2278"/>
    <w:rsid w:val="00FD2DDC"/>
    <w:rsid w:val="00FD34B4"/>
    <w:rsid w:val="00FD3656"/>
    <w:rsid w:val="00FD3A3C"/>
    <w:rsid w:val="00FD3F4C"/>
    <w:rsid w:val="00FD409C"/>
    <w:rsid w:val="00FD4309"/>
    <w:rsid w:val="00FD4A0E"/>
    <w:rsid w:val="00FD4C0F"/>
    <w:rsid w:val="00FD5D0E"/>
    <w:rsid w:val="00FD5E73"/>
    <w:rsid w:val="00FD6C38"/>
    <w:rsid w:val="00FD7439"/>
    <w:rsid w:val="00FD793B"/>
    <w:rsid w:val="00FD7F06"/>
    <w:rsid w:val="00FD7FB5"/>
    <w:rsid w:val="00FE039A"/>
    <w:rsid w:val="00FE04EC"/>
    <w:rsid w:val="00FE0C2F"/>
    <w:rsid w:val="00FE1853"/>
    <w:rsid w:val="00FE1D8A"/>
    <w:rsid w:val="00FE21E0"/>
    <w:rsid w:val="00FE23B2"/>
    <w:rsid w:val="00FE3597"/>
    <w:rsid w:val="00FE3A62"/>
    <w:rsid w:val="00FE3B1C"/>
    <w:rsid w:val="00FE3C51"/>
    <w:rsid w:val="00FE4517"/>
    <w:rsid w:val="00FE46F9"/>
    <w:rsid w:val="00FE4A67"/>
    <w:rsid w:val="00FE5320"/>
    <w:rsid w:val="00FE54C5"/>
    <w:rsid w:val="00FE5E10"/>
    <w:rsid w:val="00FE7681"/>
    <w:rsid w:val="00FE7737"/>
    <w:rsid w:val="00FE7754"/>
    <w:rsid w:val="00FE7A4A"/>
    <w:rsid w:val="00FE7ECF"/>
    <w:rsid w:val="00FE7FCF"/>
    <w:rsid w:val="00FE7FED"/>
    <w:rsid w:val="00FF09E8"/>
    <w:rsid w:val="00FF0BAB"/>
    <w:rsid w:val="00FF0C48"/>
    <w:rsid w:val="00FF1D9F"/>
    <w:rsid w:val="00FF23C6"/>
    <w:rsid w:val="00FF29F1"/>
    <w:rsid w:val="00FF3011"/>
    <w:rsid w:val="00FF32EA"/>
    <w:rsid w:val="00FF392D"/>
    <w:rsid w:val="00FF397B"/>
    <w:rsid w:val="00FF47A7"/>
    <w:rsid w:val="00FF4938"/>
    <w:rsid w:val="00FF5752"/>
    <w:rsid w:val="00FF59E6"/>
    <w:rsid w:val="00FF5B14"/>
    <w:rsid w:val="00FF5F3E"/>
    <w:rsid w:val="00FF614F"/>
    <w:rsid w:val="00FF6ABF"/>
    <w:rsid w:val="0B234FFC"/>
    <w:rsid w:val="0DDF67D8"/>
    <w:rsid w:val="10E9D847"/>
    <w:rsid w:val="1C0BC57D"/>
    <w:rsid w:val="1D4D2B26"/>
    <w:rsid w:val="28DB80BE"/>
    <w:rsid w:val="37B2A38E"/>
    <w:rsid w:val="43DB7887"/>
    <w:rsid w:val="4AF93785"/>
    <w:rsid w:val="4F5BB2D3"/>
    <w:rsid w:val="56372AE3"/>
    <w:rsid w:val="731B0FD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787BA"/>
  <w15:docId w15:val="{FF724C1E-20BE-4CAF-BD5D-718B699E8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1" w:unhideWhenUsed="1"/>
    <w:lsdException w:name="annotation text" w:semiHidden="1" w:unhideWhenUsed="1"/>
    <w:lsdException w:name="header" w:semiHidden="1" w:unhideWhenUsed="1"/>
    <w:lsdException w:name="footer" w:semiHidden="1" w:unhideWhenUsed="1"/>
    <w:lsdException w:name="caption" w:semiHidden="1" w:uiPriority="35" w:unhideWhenUsed="1" w:qFormat="1"/>
    <w:lsdException w:name="footnote reference" w:semiHidden="1" w:unhideWhenUsed="1"/>
    <w:lsdException w:name="annotation reference" w:semiHidden="1" w:unhideWhenUsed="1"/>
    <w:lsdException w:name="endnote reference" w:semiHidden="1" w:unhideWhenUsed="1"/>
    <w:lsdException w:name="endnote text" w:semiHidden="1" w:unhideWhenUsed="1"/>
    <w:lsdException w:name="List Bullet" w:semiHidden="1" w:unhideWhenUsed="1" w:qFormat="1"/>
    <w:lsdException w:name="List Number" w:qFormat="1"/>
    <w:lsdException w:name="List Bullet 2" w:semiHidden="1" w:unhideWhenUsed="1" w:qFormat="1"/>
    <w:lsdException w:name="List Bullet 3" w:semiHidden="1" w:unhideWhenUsed="1"/>
    <w:lsdException w:name="List Bullet 4" w:semiHidden="1" w:unhideWhenUsed="1"/>
    <w:lsdException w:name="Title" w:uiPriority="10" w:qFormat="1"/>
    <w:lsdException w:name="Default Paragraph Font" w:semiHidden="1" w:uiPriority="1" w:unhideWhenUsed="1"/>
    <w:lsdException w:name="Subtitle" w:semiHidden="1" w:uiPriority="11" w:unhideWhenUsed="1" w:qFormat="1"/>
    <w:lsdException w:name="Date" w:semiHidden="1" w:unhideWhenUsed="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nhideWhenUsed="1"/>
    <w:lsdException w:name="HTML Bottom of Form" w:semiHidden="1" w:unhideWhenUsed="1"/>
    <w:lsdException w:name="Normal (Web)"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atentStyles>
  <w:style w:type="paragraph" w:default="1" w:styleId="Normal">
    <w:name w:val="Normal"/>
    <w:qFormat/>
    <w:rsid w:val="00F45502"/>
    <w:pPr>
      <w:spacing w:after="200"/>
    </w:pPr>
    <w:rPr>
      <w:rFonts w:ascii="Verdana" w:hAnsi="Verdana"/>
      <w:sz w:val="20"/>
      <w:lang w:eastAsia="en-US"/>
    </w:rPr>
  </w:style>
  <w:style w:type="paragraph" w:styleId="Heading1">
    <w:name w:val="heading 1"/>
    <w:basedOn w:val="Normal"/>
    <w:next w:val="Normal"/>
    <w:link w:val="Heading1Char"/>
    <w:uiPriority w:val="9"/>
    <w:qFormat/>
    <w:rsid w:val="00DF2153"/>
    <w:pPr>
      <w:pageBreakBefore/>
      <w:tabs>
        <w:tab w:val="center" w:pos="4513"/>
        <w:tab w:val="right" w:pos="9026"/>
      </w:tabs>
      <w:spacing w:after="480"/>
      <w:outlineLvl w:val="0"/>
    </w:pPr>
    <w:rPr>
      <w:b/>
      <w:color w:val="4C6968" w:themeColor="text1"/>
      <w:sz w:val="50"/>
      <w:szCs w:val="24"/>
    </w:rPr>
  </w:style>
  <w:style w:type="paragraph" w:styleId="Heading2">
    <w:name w:val="heading 2"/>
    <w:basedOn w:val="Normal"/>
    <w:next w:val="Normal"/>
    <w:link w:val="Heading2Char"/>
    <w:uiPriority w:val="9"/>
    <w:qFormat/>
    <w:rsid w:val="00245AEA"/>
    <w:pPr>
      <w:keepNext/>
      <w:keepLines/>
      <w:spacing w:before="120" w:after="120" w:line="276" w:lineRule="auto"/>
      <w:outlineLvl w:val="1"/>
    </w:pPr>
    <w:rPr>
      <w:b/>
      <w:color w:val="48555E" w:themeColor="text2"/>
      <w:sz w:val="32"/>
      <w:szCs w:val="20"/>
    </w:rPr>
  </w:style>
  <w:style w:type="paragraph" w:styleId="Heading3">
    <w:name w:val="heading 3"/>
    <w:basedOn w:val="Normal"/>
    <w:next w:val="Normal"/>
    <w:link w:val="Heading3Char"/>
    <w:uiPriority w:val="9"/>
    <w:qFormat/>
    <w:rsid w:val="00245AEA"/>
    <w:pPr>
      <w:keepNext/>
      <w:keepLines/>
      <w:spacing w:before="120" w:after="120" w:line="276" w:lineRule="auto"/>
      <w:outlineLvl w:val="2"/>
    </w:pPr>
    <w:rPr>
      <w:rFonts w:cs="Arial"/>
      <w:b/>
      <w:color w:val="48555E" w:themeColor="text2"/>
      <w:sz w:val="26"/>
    </w:rPr>
  </w:style>
  <w:style w:type="paragraph" w:styleId="Heading4">
    <w:name w:val="heading 4"/>
    <w:basedOn w:val="Normal"/>
    <w:next w:val="Normal"/>
    <w:link w:val="Heading4Char"/>
    <w:uiPriority w:val="9"/>
    <w:qFormat/>
    <w:rsid w:val="003268F7"/>
    <w:pPr>
      <w:keepNext/>
      <w:spacing w:before="120"/>
      <w:outlineLvl w:val="3"/>
    </w:pPr>
    <w:rPr>
      <w:rFonts w:cs="Arial"/>
      <w:sz w:val="22"/>
    </w:rPr>
  </w:style>
  <w:style w:type="paragraph" w:styleId="Heading5">
    <w:name w:val="heading 5"/>
    <w:basedOn w:val="Normal"/>
    <w:next w:val="Normal"/>
    <w:link w:val="Heading5Char"/>
    <w:uiPriority w:val="9"/>
    <w:qFormat/>
    <w:rsid w:val="008015ED"/>
    <w:pPr>
      <w:keepNext/>
      <w:keepLines/>
      <w:spacing w:before="40" w:after="240"/>
      <w:outlineLvl w:val="4"/>
    </w:pPr>
    <w:rPr>
      <w:rFonts w:eastAsiaTheme="majorEastAsia" w:cstheme="majorBidi"/>
      <w:i/>
      <w:color w:val="4C6968" w:themeColor="text1"/>
    </w:rPr>
  </w:style>
  <w:style w:type="paragraph" w:styleId="Heading6">
    <w:name w:val="heading 6"/>
    <w:basedOn w:val="Normal"/>
    <w:next w:val="Normal"/>
    <w:link w:val="Heading6Char"/>
    <w:uiPriority w:val="9"/>
    <w:qFormat/>
    <w:rsid w:val="00ED3151"/>
    <w:pPr>
      <w:keepNext/>
      <w:keepLines/>
      <w:spacing w:before="40" w:after="0"/>
      <w:outlineLvl w:val="5"/>
    </w:pPr>
    <w:rPr>
      <w:rFonts w:asciiTheme="majorHAnsi" w:eastAsiaTheme="majorEastAsia" w:hAnsiTheme="majorHAnsi" w:cstheme="majorBidi"/>
      <w:color w:val="253433" w:themeColor="accent1" w:themeShade="7F"/>
    </w:rPr>
  </w:style>
  <w:style w:type="paragraph" w:styleId="Heading7">
    <w:name w:val="heading 7"/>
    <w:basedOn w:val="Normal"/>
    <w:next w:val="Normal"/>
    <w:link w:val="Heading7Char"/>
    <w:uiPriority w:val="9"/>
    <w:qFormat/>
    <w:rsid w:val="00245AEA"/>
    <w:pPr>
      <w:keepNext/>
      <w:keepLines/>
      <w:spacing w:before="40" w:after="0" w:line="276" w:lineRule="auto"/>
      <w:ind w:left="1296" w:hanging="1296"/>
      <w:outlineLvl w:val="6"/>
    </w:pPr>
    <w:rPr>
      <w:rFonts w:asciiTheme="majorHAnsi" w:eastAsiaTheme="majorEastAsia" w:hAnsiTheme="majorHAnsi" w:cstheme="majorBidi"/>
      <w:i/>
      <w:iCs/>
      <w:color w:val="253433" w:themeColor="accent1" w:themeShade="7F"/>
      <w:sz w:val="22"/>
    </w:rPr>
  </w:style>
  <w:style w:type="paragraph" w:styleId="Heading8">
    <w:name w:val="heading 8"/>
    <w:basedOn w:val="Normal"/>
    <w:next w:val="Normal"/>
    <w:link w:val="Heading8Char"/>
    <w:uiPriority w:val="9"/>
    <w:qFormat/>
    <w:rsid w:val="00245AEA"/>
    <w:pPr>
      <w:keepNext/>
      <w:keepLines/>
      <w:spacing w:before="40" w:after="0" w:line="276" w:lineRule="auto"/>
      <w:ind w:left="1440" w:hanging="1440"/>
      <w:outlineLvl w:val="7"/>
    </w:pPr>
    <w:rPr>
      <w:rFonts w:asciiTheme="majorHAnsi" w:eastAsiaTheme="majorEastAsia" w:hAnsiTheme="majorHAnsi" w:cstheme="majorBidi"/>
      <w:color w:val="618584" w:themeColor="text1" w:themeTint="D8"/>
      <w:sz w:val="21"/>
      <w:szCs w:val="21"/>
    </w:rPr>
  </w:style>
  <w:style w:type="paragraph" w:styleId="Heading9">
    <w:name w:val="heading 9"/>
    <w:basedOn w:val="Normal"/>
    <w:next w:val="Normal"/>
    <w:link w:val="Heading9Char"/>
    <w:uiPriority w:val="9"/>
    <w:qFormat/>
    <w:rsid w:val="00245AEA"/>
    <w:pPr>
      <w:keepNext/>
      <w:keepLines/>
      <w:spacing w:before="40" w:after="0" w:line="276" w:lineRule="auto"/>
      <w:ind w:left="1584" w:hanging="1584"/>
      <w:outlineLvl w:val="8"/>
    </w:pPr>
    <w:rPr>
      <w:rFonts w:asciiTheme="majorHAnsi" w:eastAsiaTheme="majorEastAsia" w:hAnsiTheme="majorHAnsi" w:cstheme="majorBidi"/>
      <w:i/>
      <w:iCs/>
      <w:color w:val="61858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rsid w:val="00CA62BF"/>
    <w:rPr>
      <w:b/>
      <w:color w:val="4C6968" w:themeColor="text1"/>
      <w:sz w:val="24"/>
    </w:rPr>
  </w:style>
  <w:style w:type="character" w:customStyle="1" w:styleId="DateChar">
    <w:name w:val="Date Char"/>
    <w:basedOn w:val="DefaultParagraphFont"/>
    <w:link w:val="Date"/>
    <w:uiPriority w:val="99"/>
    <w:rsid w:val="00A83CEF"/>
    <w:rPr>
      <w:rFonts w:ascii="Verdana" w:hAnsi="Verdana"/>
      <w:b/>
      <w:color w:val="4C6968" w:themeColor="text1"/>
      <w:sz w:val="24"/>
      <w:lang w:eastAsia="en-US"/>
    </w:rPr>
  </w:style>
  <w:style w:type="paragraph" w:styleId="Footer">
    <w:name w:val="footer"/>
    <w:basedOn w:val="Normal"/>
    <w:link w:val="FooterChar"/>
    <w:uiPriority w:val="99"/>
    <w:rsid w:val="00DE06C0"/>
    <w:pPr>
      <w:tabs>
        <w:tab w:val="center" w:pos="4513"/>
        <w:tab w:val="right" w:pos="9026"/>
      </w:tabs>
      <w:spacing w:after="0"/>
    </w:pPr>
    <w:rPr>
      <w:sz w:val="16"/>
    </w:rPr>
  </w:style>
  <w:style w:type="character" w:customStyle="1" w:styleId="FooterChar">
    <w:name w:val="Footer Char"/>
    <w:basedOn w:val="DefaultParagraphFont"/>
    <w:link w:val="Footer"/>
    <w:uiPriority w:val="99"/>
    <w:rsid w:val="00A83CEF"/>
    <w:rPr>
      <w:rFonts w:ascii="Verdana" w:hAnsi="Verdana"/>
      <w:sz w:val="16"/>
      <w:lang w:eastAsia="en-US"/>
    </w:rPr>
  </w:style>
  <w:style w:type="paragraph" w:styleId="BalloonText">
    <w:name w:val="Balloon Text"/>
    <w:basedOn w:val="Normal"/>
    <w:link w:val="BalloonTextChar"/>
    <w:uiPriority w:val="99"/>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A83CEF"/>
    <w:rPr>
      <w:rFonts w:ascii="Tahoma" w:hAnsi="Tahoma" w:cs="Tahoma"/>
      <w:sz w:val="16"/>
      <w:szCs w:val="16"/>
      <w:lang w:eastAsia="en-US"/>
    </w:rPr>
  </w:style>
  <w:style w:type="numbering" w:customStyle="1" w:styleId="KeyPoints">
    <w:name w:val="Key Points"/>
    <w:basedOn w:val="NoList"/>
    <w:uiPriority w:val="99"/>
    <w:pPr>
      <w:numPr>
        <w:numId w:val="1"/>
      </w:numPr>
    </w:pPr>
  </w:style>
  <w:style w:type="paragraph" w:customStyle="1" w:styleId="1NumberedPointsStyle">
    <w:name w:val="1. Numbered Points Style"/>
    <w:basedOn w:val="Normal"/>
    <w:uiPriority w:val="99"/>
  </w:style>
  <w:style w:type="numbering" w:customStyle="1" w:styleId="BulletList">
    <w:name w:val="Bullet List"/>
    <w:uiPriority w:val="99"/>
    <w:pPr>
      <w:numPr>
        <w:numId w:val="2"/>
      </w:numPr>
    </w:pPr>
  </w:style>
  <w:style w:type="paragraph" w:customStyle="1" w:styleId="1BulletStyleList">
    <w:name w:val="1. Bullet Style List"/>
    <w:basedOn w:val="Normal"/>
    <w:uiPriority w:val="99"/>
    <w:rPr>
      <w:rFonts w:eastAsia="Times New Roman"/>
      <w:szCs w:val="20"/>
      <w:lang w:eastAsia="en-AU"/>
    </w:rPr>
  </w:style>
  <w:style w:type="character" w:customStyle="1" w:styleId="Heading1Char">
    <w:name w:val="Heading 1 Char"/>
    <w:basedOn w:val="DefaultParagraphFont"/>
    <w:link w:val="Heading1"/>
    <w:uiPriority w:val="9"/>
    <w:rsid w:val="00A83CEF"/>
    <w:rPr>
      <w:rFonts w:ascii="Verdana" w:hAnsi="Verdana"/>
      <w:b/>
      <w:color w:val="4C6968" w:themeColor="text1"/>
      <w:sz w:val="50"/>
      <w:szCs w:val="24"/>
      <w:lang w:eastAsia="en-US"/>
    </w:rPr>
  </w:style>
  <w:style w:type="character" w:customStyle="1" w:styleId="Heading2Char">
    <w:name w:val="Heading 2 Char"/>
    <w:basedOn w:val="DefaultParagraphFont"/>
    <w:link w:val="Heading2"/>
    <w:uiPriority w:val="9"/>
    <w:rsid w:val="00A83CEF"/>
    <w:rPr>
      <w:rFonts w:ascii="Verdana" w:hAnsi="Verdana"/>
      <w:b/>
      <w:color w:val="48555E" w:themeColor="text2"/>
      <w:sz w:val="32"/>
      <w:szCs w:val="20"/>
      <w:lang w:eastAsia="en-US"/>
    </w:rPr>
  </w:style>
  <w:style w:type="character" w:customStyle="1" w:styleId="Heading3Char">
    <w:name w:val="Heading 3 Char"/>
    <w:basedOn w:val="DefaultParagraphFont"/>
    <w:link w:val="Heading3"/>
    <w:uiPriority w:val="9"/>
    <w:rsid w:val="00A83CEF"/>
    <w:rPr>
      <w:rFonts w:ascii="Verdana" w:hAnsi="Verdana" w:cs="Arial"/>
      <w:b/>
      <w:color w:val="48555E" w:themeColor="text2"/>
      <w:sz w:val="26"/>
      <w:lang w:eastAsia="en-US"/>
    </w:rPr>
  </w:style>
  <w:style w:type="character" w:customStyle="1" w:styleId="Heading4Char">
    <w:name w:val="Heading 4 Char"/>
    <w:basedOn w:val="DefaultParagraphFont"/>
    <w:link w:val="Heading4"/>
    <w:uiPriority w:val="9"/>
    <w:rsid w:val="00A83CEF"/>
    <w:rPr>
      <w:rFonts w:ascii="Verdana" w:hAnsi="Verdana" w:cs="Arial"/>
      <w:lang w:eastAsia="en-US"/>
    </w:rPr>
  </w:style>
  <w:style w:type="paragraph" w:styleId="ListBullet">
    <w:name w:val="List Bullet"/>
    <w:basedOn w:val="Normal"/>
    <w:uiPriority w:val="99"/>
    <w:qFormat/>
    <w:rsid w:val="00143215"/>
    <w:pPr>
      <w:numPr>
        <w:numId w:val="8"/>
      </w:numPr>
      <w:spacing w:after="120"/>
    </w:pPr>
  </w:style>
  <w:style w:type="paragraph" w:styleId="ListBullet2">
    <w:name w:val="List Bullet 2"/>
    <w:basedOn w:val="Normal"/>
    <w:uiPriority w:val="99"/>
    <w:qFormat/>
    <w:rsid w:val="003C03FC"/>
    <w:pPr>
      <w:numPr>
        <w:numId w:val="11"/>
      </w:numPr>
    </w:pPr>
  </w:style>
  <w:style w:type="numbering" w:customStyle="1" w:styleId="Attach">
    <w:name w:val="Attach"/>
    <w:basedOn w:val="NoList"/>
    <w:uiPriority w:val="99"/>
    <w:pPr>
      <w:numPr>
        <w:numId w:val="3"/>
      </w:numPr>
    </w:pPr>
  </w:style>
  <w:style w:type="character" w:customStyle="1" w:styleId="Heading5Char">
    <w:name w:val="Heading 5 Char"/>
    <w:basedOn w:val="DefaultParagraphFont"/>
    <w:link w:val="Heading5"/>
    <w:uiPriority w:val="9"/>
    <w:rsid w:val="00A83CEF"/>
    <w:rPr>
      <w:rFonts w:ascii="Verdana" w:eastAsiaTheme="majorEastAsia" w:hAnsi="Verdana" w:cstheme="majorBidi"/>
      <w:i/>
      <w:color w:val="4C6968" w:themeColor="text1"/>
      <w:sz w:val="20"/>
      <w:lang w:eastAsia="en-US"/>
    </w:rPr>
  </w:style>
  <w:style w:type="paragraph" w:styleId="ListNumber">
    <w:name w:val="List Number"/>
    <w:basedOn w:val="Normal"/>
    <w:uiPriority w:val="99"/>
    <w:qFormat/>
    <w:rsid w:val="00A92904"/>
    <w:pPr>
      <w:numPr>
        <w:numId w:val="9"/>
      </w:numPr>
      <w:spacing w:before="120" w:after="120"/>
    </w:pPr>
  </w:style>
  <w:style w:type="paragraph" w:styleId="ListNumber2">
    <w:name w:val="List Number 2"/>
    <w:basedOn w:val="Normal"/>
    <w:uiPriority w:val="99"/>
    <w:rsid w:val="00375F4F"/>
    <w:pPr>
      <w:numPr>
        <w:numId w:val="10"/>
      </w:numPr>
      <w:spacing w:after="120"/>
    </w:pPr>
    <w:rPr>
      <w:rFonts w:cs="Segoe UI"/>
    </w:rPr>
  </w:style>
  <w:style w:type="paragraph" w:styleId="ListNumber3">
    <w:name w:val="List Number 3"/>
    <w:basedOn w:val="Normal"/>
    <w:uiPriority w:val="99"/>
    <w:rsid w:val="00FE0C2F"/>
    <w:pPr>
      <w:spacing w:after="120"/>
    </w:pPr>
    <w:rPr>
      <w:rFonts w:cs="Segoe UI"/>
    </w:rPr>
  </w:style>
  <w:style w:type="paragraph" w:styleId="Header">
    <w:name w:val="header"/>
    <w:basedOn w:val="Normal"/>
    <w:link w:val="HeaderChar"/>
    <w:uiPriority w:val="99"/>
    <w:rsid w:val="004E09A7"/>
    <w:pPr>
      <w:tabs>
        <w:tab w:val="center" w:pos="4513"/>
        <w:tab w:val="right" w:pos="9026"/>
      </w:tabs>
      <w:spacing w:after="0"/>
    </w:pPr>
  </w:style>
  <w:style w:type="character" w:customStyle="1" w:styleId="HeaderChar">
    <w:name w:val="Header Char"/>
    <w:basedOn w:val="DefaultParagraphFont"/>
    <w:link w:val="Header"/>
    <w:uiPriority w:val="99"/>
    <w:rsid w:val="00A83CEF"/>
    <w:rPr>
      <w:rFonts w:ascii="Verdana" w:hAnsi="Verdana"/>
      <w:sz w:val="20"/>
      <w:lang w:eastAsia="en-US"/>
    </w:rPr>
  </w:style>
  <w:style w:type="table" w:styleId="TableGrid">
    <w:name w:val="Table Grid"/>
    <w:basedOn w:val="TableNormal"/>
    <w:uiPriority w:val="39"/>
    <w:tblPr>
      <w:tblBorders>
        <w:top w:val="single" w:sz="4" w:space="0" w:color="4C6968" w:themeColor="text1"/>
        <w:left w:val="single" w:sz="4" w:space="0" w:color="4C6968" w:themeColor="text1"/>
        <w:bottom w:val="single" w:sz="4" w:space="0" w:color="4C6968" w:themeColor="text1"/>
        <w:right w:val="single" w:sz="4" w:space="0" w:color="4C6968" w:themeColor="text1"/>
        <w:insideH w:val="single" w:sz="4" w:space="0" w:color="4C6968" w:themeColor="text1"/>
        <w:insideV w:val="single" w:sz="4" w:space="0" w:color="4C6968" w:themeColor="text1"/>
      </w:tblBorders>
    </w:tblPr>
  </w:style>
  <w:style w:type="paragraph" w:styleId="Title">
    <w:name w:val="Title"/>
    <w:basedOn w:val="Normal"/>
    <w:next w:val="Normal"/>
    <w:link w:val="TitleChar"/>
    <w:uiPriority w:val="10"/>
    <w:qFormat/>
    <w:rsid w:val="00473F5B"/>
    <w:pPr>
      <w:spacing w:after="0"/>
      <w:contextualSpacing/>
    </w:pPr>
    <w:rPr>
      <w:rFonts w:eastAsiaTheme="majorEastAsia" w:cstheme="majorBidi"/>
      <w:b/>
      <w:color w:val="FFFFFF"/>
      <w:spacing w:val="-10"/>
      <w:kern w:val="28"/>
      <w:sz w:val="70"/>
      <w:szCs w:val="56"/>
    </w:rPr>
  </w:style>
  <w:style w:type="character" w:customStyle="1" w:styleId="TitleChar">
    <w:name w:val="Title Char"/>
    <w:basedOn w:val="DefaultParagraphFont"/>
    <w:link w:val="Title"/>
    <w:uiPriority w:val="10"/>
    <w:rsid w:val="00A83CEF"/>
    <w:rPr>
      <w:rFonts w:ascii="Verdana" w:eastAsiaTheme="majorEastAsia" w:hAnsi="Verdana" w:cstheme="majorBidi"/>
      <w:b/>
      <w:color w:val="FFFFFF"/>
      <w:spacing w:val="-10"/>
      <w:kern w:val="28"/>
      <w:sz w:val="70"/>
      <w:szCs w:val="56"/>
      <w:lang w:eastAsia="en-US"/>
    </w:rPr>
  </w:style>
  <w:style w:type="character" w:styleId="CommentReference">
    <w:name w:val="annotation reference"/>
    <w:basedOn w:val="DefaultParagraphFont"/>
    <w:uiPriority w:val="99"/>
    <w:rPr>
      <w:sz w:val="16"/>
      <w:szCs w:val="16"/>
    </w:rPr>
  </w:style>
  <w:style w:type="table" w:styleId="PlainTable1">
    <w:name w:val="Plain Table 1"/>
    <w:basedOn w:val="TableNormal"/>
    <w:uiPriority w:val="41"/>
    <w:rsid w:val="007C3F00"/>
    <w:tblPr>
      <w:tblStyleRowBandSize w:val="1"/>
      <w:tblStyleColBandSize w:val="1"/>
      <w:tblBorders>
        <w:top w:val="single" w:sz="4" w:space="0" w:color="72ADC4" w:themeColor="background1" w:themeShade="BF"/>
        <w:left w:val="single" w:sz="4" w:space="0" w:color="72ADC4" w:themeColor="background1" w:themeShade="BF"/>
        <w:bottom w:val="single" w:sz="4" w:space="0" w:color="72ADC4" w:themeColor="background1" w:themeShade="BF"/>
        <w:right w:val="single" w:sz="4" w:space="0" w:color="72ADC4" w:themeColor="background1" w:themeShade="BF"/>
        <w:insideH w:val="single" w:sz="4" w:space="0" w:color="72ADC4" w:themeColor="background1" w:themeShade="BF"/>
        <w:insideV w:val="single" w:sz="4" w:space="0" w:color="72ADC4" w:themeColor="background1" w:themeShade="BF"/>
      </w:tblBorders>
    </w:tblPr>
    <w:tblStylePr w:type="firstRow">
      <w:rPr>
        <w:b/>
        <w:bCs/>
      </w:rPr>
    </w:tblStylePr>
    <w:tblStylePr w:type="lastRow">
      <w:rPr>
        <w:b/>
        <w:bCs/>
      </w:rPr>
      <w:tblPr/>
      <w:tcPr>
        <w:tcBorders>
          <w:top w:val="double" w:sz="4" w:space="0" w:color="72ADC4" w:themeColor="background1" w:themeShade="BF"/>
        </w:tcBorders>
      </w:tcPr>
    </w:tblStylePr>
    <w:tblStylePr w:type="firstCol">
      <w:rPr>
        <w:b/>
        <w:bCs/>
      </w:rPr>
    </w:tblStylePr>
    <w:tblStylePr w:type="lastCol">
      <w:rPr>
        <w:b/>
        <w:bCs/>
      </w:rPr>
    </w:tblStylePr>
    <w:tblStylePr w:type="band1Vert">
      <w:tblPr/>
      <w:tcPr>
        <w:shd w:val="clear" w:color="auto" w:fill="ACCFDC" w:themeFill="background1" w:themeFillShade="F2"/>
      </w:tcPr>
    </w:tblStylePr>
    <w:tblStylePr w:type="band1Horz">
      <w:tblPr/>
      <w:tcPr>
        <w:shd w:val="clear" w:color="auto" w:fill="ACCFDC" w:themeFill="background1" w:themeFillShade="F2"/>
      </w:tcPr>
    </w:tblStylePr>
  </w:style>
  <w:style w:type="paragraph" w:customStyle="1" w:styleId="TableHeader">
    <w:name w:val="Table Header"/>
    <w:basedOn w:val="Normal"/>
    <w:qFormat/>
    <w:rsid w:val="003268F7"/>
    <w:pPr>
      <w:spacing w:before="120" w:after="120"/>
    </w:pPr>
    <w:rPr>
      <w:b/>
      <w:color w:val="FFFFFF"/>
    </w:rPr>
  </w:style>
  <w:style w:type="paragraph" w:styleId="CommentSubject">
    <w:name w:val="annotation subject"/>
    <w:basedOn w:val="Normal"/>
    <w:next w:val="Normal"/>
    <w:link w:val="CommentSubjectChar"/>
    <w:uiPriority w:val="99"/>
    <w:rsid w:val="00CA62BF"/>
    <w:rPr>
      <w:b/>
      <w:bCs/>
      <w:szCs w:val="20"/>
    </w:rPr>
  </w:style>
  <w:style w:type="character" w:customStyle="1" w:styleId="CommentSubjectChar">
    <w:name w:val="Comment Subject Char"/>
    <w:basedOn w:val="DefaultParagraphFont"/>
    <w:link w:val="CommentSubject"/>
    <w:uiPriority w:val="99"/>
    <w:rsid w:val="00A83CEF"/>
    <w:rPr>
      <w:rFonts w:ascii="Verdana" w:hAnsi="Verdana"/>
      <w:b/>
      <w:bCs/>
      <w:sz w:val="20"/>
      <w:szCs w:val="20"/>
      <w:lang w:eastAsia="en-US"/>
    </w:rPr>
  </w:style>
  <w:style w:type="paragraph" w:styleId="NormalWeb">
    <w:name w:val="Normal (Web)"/>
    <w:basedOn w:val="Normal"/>
    <w:uiPriority w:val="99"/>
    <w:pPr>
      <w:spacing w:before="100" w:beforeAutospacing="1" w:after="100" w:afterAutospacing="1"/>
    </w:pPr>
    <w:rPr>
      <w:rFonts w:ascii="Times New Roman" w:eastAsia="Times New Roman" w:hAnsi="Times New Roman"/>
      <w:szCs w:val="24"/>
      <w:lang w:eastAsia="en-AU"/>
    </w:rPr>
  </w:style>
  <w:style w:type="paragraph" w:customStyle="1" w:styleId="TableText">
    <w:name w:val="Table Text"/>
    <w:basedOn w:val="Normal"/>
    <w:qFormat/>
    <w:rsid w:val="003268F7"/>
    <w:pPr>
      <w:spacing w:before="120" w:after="120"/>
    </w:pPr>
  </w:style>
  <w:style w:type="character" w:styleId="PlaceholderText">
    <w:name w:val="Placeholder Text"/>
    <w:basedOn w:val="DefaultParagraphFont"/>
    <w:uiPriority w:val="99"/>
    <w:rPr>
      <w:color w:val="808080"/>
    </w:rPr>
  </w:style>
  <w:style w:type="character" w:styleId="Hyperlink">
    <w:name w:val="Hyperlink"/>
    <w:basedOn w:val="DefaultParagraphFont"/>
    <w:uiPriority w:val="99"/>
    <w:rPr>
      <w:color w:val="48545E" w:themeColor="hyperlink"/>
      <w:u w:val="single"/>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rsid w:val="00AA7CB2"/>
    <w:rPr>
      <w:color w:val="FFFFFF" w:themeColor="followedHyperlink"/>
      <w:u w:val="single"/>
    </w:rPr>
  </w:style>
  <w:style w:type="character" w:styleId="UnresolvedMention">
    <w:name w:val="Unresolved Mention"/>
    <w:basedOn w:val="DefaultParagraphFont"/>
    <w:uiPriority w:val="99"/>
    <w:rsid w:val="00AA7CB2"/>
    <w:rPr>
      <w:color w:val="605E5C"/>
      <w:shd w:val="clear" w:color="auto" w:fill="E1DFDD"/>
    </w:rPr>
  </w:style>
  <w:style w:type="paragraph" w:customStyle="1" w:styleId="TableHeading">
    <w:name w:val="Table Heading"/>
    <w:basedOn w:val="Normal"/>
    <w:qFormat/>
    <w:rsid w:val="003268F7"/>
    <w:pPr>
      <w:spacing w:before="240" w:after="120"/>
    </w:pPr>
    <w:rPr>
      <w:color w:val="4C6968" w:themeColor="text1"/>
    </w:rPr>
  </w:style>
  <w:style w:type="table" w:styleId="TableGridLight">
    <w:name w:val="Grid Table Light"/>
    <w:basedOn w:val="TableNormal"/>
    <w:uiPriority w:val="40"/>
    <w:rsid w:val="003268F7"/>
    <w:rPr>
      <w:rFonts w:ascii="Verdana" w:hAnsi="Verdana"/>
      <w:sz w:val="20"/>
    </w:rPr>
    <w:tblPr>
      <w:tblBorders>
        <w:top w:val="single" w:sz="4" w:space="0" w:color="48555E" w:themeColor="text2"/>
        <w:bottom w:val="single" w:sz="4" w:space="0" w:color="48555E" w:themeColor="text2"/>
        <w:insideH w:val="single" w:sz="4" w:space="0" w:color="48555E" w:themeColor="text2"/>
      </w:tblBorders>
    </w:tblPr>
    <w:tblStylePr w:type="firstRow">
      <w:tblPr/>
      <w:tcPr>
        <w:shd w:val="clear" w:color="auto" w:fill="4C6968" w:themeFill="text1"/>
      </w:tcPr>
    </w:tblStylePr>
  </w:style>
  <w:style w:type="paragraph" w:styleId="Subtitle">
    <w:name w:val="Subtitle"/>
    <w:basedOn w:val="Normal"/>
    <w:next w:val="Normal"/>
    <w:link w:val="SubtitleChar"/>
    <w:uiPriority w:val="11"/>
    <w:qFormat/>
    <w:rsid w:val="00E56ACF"/>
    <w:pPr>
      <w:numPr>
        <w:ilvl w:val="1"/>
      </w:numPr>
      <w:spacing w:before="360" w:after="160"/>
    </w:pPr>
    <w:rPr>
      <w:rFonts w:eastAsiaTheme="minorEastAsia" w:cstheme="minorBidi"/>
      <w:color w:val="FFFFFF"/>
      <w:spacing w:val="15"/>
      <w:sz w:val="30"/>
    </w:rPr>
  </w:style>
  <w:style w:type="character" w:customStyle="1" w:styleId="SubtitleChar">
    <w:name w:val="Subtitle Char"/>
    <w:basedOn w:val="DefaultParagraphFont"/>
    <w:link w:val="Subtitle"/>
    <w:uiPriority w:val="11"/>
    <w:rsid w:val="00A83CEF"/>
    <w:rPr>
      <w:rFonts w:ascii="Verdana" w:eastAsiaTheme="minorEastAsia" w:hAnsi="Verdana" w:cstheme="minorBidi"/>
      <w:color w:val="FFFFFF"/>
      <w:spacing w:val="15"/>
      <w:sz w:val="30"/>
      <w:lang w:eastAsia="en-US"/>
    </w:rPr>
  </w:style>
  <w:style w:type="paragraph" w:customStyle="1" w:styleId="Author">
    <w:name w:val="Author"/>
    <w:basedOn w:val="Normal"/>
    <w:qFormat/>
    <w:rsid w:val="00E56ACF"/>
    <w:pPr>
      <w:spacing w:before="600" w:after="120"/>
    </w:pPr>
    <w:rPr>
      <w:color w:val="FFFFFF"/>
    </w:rPr>
  </w:style>
  <w:style w:type="paragraph" w:customStyle="1" w:styleId="IntroductionParagraph">
    <w:name w:val="Introduction Paragraph"/>
    <w:basedOn w:val="Normal"/>
    <w:qFormat/>
    <w:rsid w:val="002C07A5"/>
    <w:pPr>
      <w:spacing w:after="360"/>
    </w:pPr>
    <w:rPr>
      <w:b/>
      <w:color w:val="FFFFFF"/>
      <w:sz w:val="28"/>
    </w:rPr>
  </w:style>
  <w:style w:type="paragraph" w:customStyle="1" w:styleId="NormalWhite">
    <w:name w:val="Normal White"/>
    <w:basedOn w:val="Normal"/>
    <w:qFormat/>
    <w:rsid w:val="002C07A5"/>
    <w:rPr>
      <w:color w:val="FFFFFF"/>
    </w:rPr>
  </w:style>
  <w:style w:type="paragraph" w:customStyle="1" w:styleId="FigureHeading">
    <w:name w:val="Figure Heading"/>
    <w:basedOn w:val="TableHeading"/>
    <w:qFormat/>
    <w:rsid w:val="00142E0B"/>
  </w:style>
  <w:style w:type="paragraph" w:styleId="TOC2">
    <w:name w:val="toc 2"/>
    <w:basedOn w:val="Normal"/>
    <w:next w:val="Normal"/>
    <w:autoRedefine/>
    <w:uiPriority w:val="39"/>
    <w:rsid w:val="00B12528"/>
    <w:pPr>
      <w:tabs>
        <w:tab w:val="right" w:leader="dot" w:pos="9628"/>
      </w:tabs>
      <w:spacing w:after="100"/>
      <w:ind w:left="200"/>
    </w:pPr>
    <w:rPr>
      <w:noProof/>
    </w:rPr>
  </w:style>
  <w:style w:type="paragraph" w:styleId="TOC1">
    <w:name w:val="toc 1"/>
    <w:basedOn w:val="Normal"/>
    <w:next w:val="Normal"/>
    <w:autoRedefine/>
    <w:uiPriority w:val="39"/>
    <w:rsid w:val="002E0900"/>
    <w:pPr>
      <w:tabs>
        <w:tab w:val="right" w:leader="dot" w:pos="9628"/>
      </w:tabs>
      <w:spacing w:before="240" w:after="100"/>
    </w:pPr>
    <w:rPr>
      <w:b/>
      <w:noProof/>
      <w:color w:val="48555E" w:themeColor="text2"/>
      <w:sz w:val="24"/>
    </w:rPr>
  </w:style>
  <w:style w:type="paragraph" w:styleId="TOC3">
    <w:name w:val="toc 3"/>
    <w:basedOn w:val="Normal"/>
    <w:next w:val="Normal"/>
    <w:autoRedefine/>
    <w:uiPriority w:val="39"/>
    <w:rsid w:val="009A1676"/>
    <w:pPr>
      <w:tabs>
        <w:tab w:val="right" w:leader="dot" w:pos="9628"/>
      </w:tabs>
      <w:spacing w:after="100"/>
      <w:ind w:left="400"/>
    </w:pPr>
    <w:rPr>
      <w:noProof/>
    </w:rPr>
  </w:style>
  <w:style w:type="paragraph" w:customStyle="1" w:styleId="AppendicesHeading1">
    <w:name w:val="Appendices Heading 1"/>
    <w:basedOn w:val="Heading1"/>
    <w:qFormat/>
    <w:rsid w:val="007935B6"/>
  </w:style>
  <w:style w:type="paragraph" w:customStyle="1" w:styleId="AppendicesHeading2">
    <w:name w:val="Appendices Heading 2"/>
    <w:basedOn w:val="Heading2"/>
    <w:qFormat/>
    <w:rsid w:val="007935B6"/>
  </w:style>
  <w:style w:type="paragraph" w:customStyle="1" w:styleId="AppendicesHeading3">
    <w:name w:val="Appendices Heading 3"/>
    <w:basedOn w:val="Heading3"/>
    <w:qFormat/>
    <w:rsid w:val="007935B6"/>
  </w:style>
  <w:style w:type="paragraph" w:customStyle="1" w:styleId="AppendicesHeading4">
    <w:name w:val="Appendices Heading 4"/>
    <w:basedOn w:val="Heading4"/>
    <w:qFormat/>
    <w:rsid w:val="007935B6"/>
  </w:style>
  <w:style w:type="paragraph" w:customStyle="1" w:styleId="AppendicesHeading5">
    <w:name w:val="Appendices Heading 5"/>
    <w:basedOn w:val="Heading5"/>
    <w:qFormat/>
    <w:rsid w:val="007935B6"/>
  </w:style>
  <w:style w:type="paragraph" w:customStyle="1" w:styleId="Instructions">
    <w:name w:val="Instructions"/>
    <w:basedOn w:val="Normal"/>
    <w:qFormat/>
    <w:rsid w:val="001C0F11"/>
    <w:pPr>
      <w:pBdr>
        <w:top w:val="single" w:sz="4" w:space="1" w:color="BCD8E3" w:themeColor="background1"/>
        <w:left w:val="single" w:sz="4" w:space="4" w:color="BCD8E3" w:themeColor="background1"/>
        <w:bottom w:val="single" w:sz="4" w:space="1" w:color="BCD8E3" w:themeColor="background1"/>
        <w:right w:val="single" w:sz="4" w:space="4" w:color="BCD8E3" w:themeColor="background1"/>
      </w:pBdr>
      <w:shd w:val="clear" w:color="auto" w:fill="BCD8E3" w:themeFill="background1"/>
      <w:ind w:left="113" w:right="113"/>
    </w:pPr>
  </w:style>
  <w:style w:type="paragraph" w:styleId="CommentText">
    <w:name w:val="annotation text"/>
    <w:basedOn w:val="Normal"/>
    <w:link w:val="CommentTextChar"/>
    <w:uiPriority w:val="99"/>
    <w:rsid w:val="00ED3151"/>
    <w:rPr>
      <w:rFonts w:ascii="Cambria" w:eastAsiaTheme="minorHAnsi" w:hAnsi="Cambria" w:cstheme="minorBidi"/>
      <w:szCs w:val="20"/>
    </w:rPr>
  </w:style>
  <w:style w:type="character" w:customStyle="1" w:styleId="CommentTextChar">
    <w:name w:val="Comment Text Char"/>
    <w:basedOn w:val="DefaultParagraphFont"/>
    <w:link w:val="CommentText"/>
    <w:uiPriority w:val="99"/>
    <w:rsid w:val="00A83CEF"/>
    <w:rPr>
      <w:rFonts w:ascii="Cambria" w:eastAsiaTheme="minorHAnsi" w:hAnsi="Cambria" w:cstheme="minorBidi"/>
      <w:sz w:val="20"/>
      <w:szCs w:val="20"/>
      <w:lang w:eastAsia="en-US"/>
    </w:rPr>
  </w:style>
  <w:style w:type="character" w:customStyle="1" w:styleId="Heading6Char">
    <w:name w:val="Heading 6 Char"/>
    <w:basedOn w:val="DefaultParagraphFont"/>
    <w:link w:val="Heading6"/>
    <w:uiPriority w:val="9"/>
    <w:rsid w:val="00A83CEF"/>
    <w:rPr>
      <w:rFonts w:asciiTheme="majorHAnsi" w:eastAsiaTheme="majorEastAsia" w:hAnsiTheme="majorHAnsi" w:cstheme="majorBidi"/>
      <w:color w:val="253433" w:themeColor="accent1" w:themeShade="7F"/>
      <w:sz w:val="20"/>
      <w:lang w:eastAsia="en-US"/>
    </w:rPr>
  </w:style>
  <w:style w:type="character" w:styleId="FootnoteReference">
    <w:name w:val="footnote reference"/>
    <w:basedOn w:val="DefaultParagraphFont"/>
    <w:uiPriority w:val="99"/>
    <w:rsid w:val="00ED3151"/>
    <w:rPr>
      <w:vertAlign w:val="superscript"/>
    </w:rPr>
  </w:style>
  <w:style w:type="character" w:customStyle="1" w:styleId="Heading7Char">
    <w:name w:val="Heading 7 Char"/>
    <w:basedOn w:val="DefaultParagraphFont"/>
    <w:link w:val="Heading7"/>
    <w:uiPriority w:val="9"/>
    <w:rsid w:val="00A83CEF"/>
    <w:rPr>
      <w:rFonts w:asciiTheme="majorHAnsi" w:eastAsiaTheme="majorEastAsia" w:hAnsiTheme="majorHAnsi" w:cstheme="majorBidi"/>
      <w:i/>
      <w:iCs/>
      <w:color w:val="253433" w:themeColor="accent1" w:themeShade="7F"/>
      <w:lang w:eastAsia="en-US"/>
    </w:rPr>
  </w:style>
  <w:style w:type="character" w:customStyle="1" w:styleId="Heading8Char">
    <w:name w:val="Heading 8 Char"/>
    <w:basedOn w:val="DefaultParagraphFont"/>
    <w:link w:val="Heading8"/>
    <w:uiPriority w:val="9"/>
    <w:rsid w:val="00A83CEF"/>
    <w:rPr>
      <w:rFonts w:asciiTheme="majorHAnsi" w:eastAsiaTheme="majorEastAsia" w:hAnsiTheme="majorHAnsi" w:cstheme="majorBidi"/>
      <w:color w:val="618584" w:themeColor="text1" w:themeTint="D8"/>
      <w:sz w:val="21"/>
      <w:szCs w:val="21"/>
      <w:lang w:eastAsia="en-US"/>
    </w:rPr>
  </w:style>
  <w:style w:type="character" w:customStyle="1" w:styleId="Heading9Char">
    <w:name w:val="Heading 9 Char"/>
    <w:basedOn w:val="DefaultParagraphFont"/>
    <w:link w:val="Heading9"/>
    <w:uiPriority w:val="9"/>
    <w:rsid w:val="00A83CEF"/>
    <w:rPr>
      <w:rFonts w:asciiTheme="majorHAnsi" w:eastAsiaTheme="majorEastAsia" w:hAnsiTheme="majorHAnsi" w:cstheme="majorBidi"/>
      <w:i/>
      <w:iCs/>
      <w:color w:val="618584" w:themeColor="text1" w:themeTint="D8"/>
      <w:sz w:val="21"/>
      <w:szCs w:val="21"/>
      <w:lang w:eastAsia="en-US"/>
    </w:rPr>
  </w:style>
  <w:style w:type="numbering" w:customStyle="1" w:styleId="List1">
    <w:name w:val="List1"/>
    <w:basedOn w:val="NoList"/>
    <w:uiPriority w:val="99"/>
    <w:rsid w:val="00245AEA"/>
    <w:pPr>
      <w:numPr>
        <w:numId w:val="4"/>
      </w:numPr>
    </w:pPr>
  </w:style>
  <w:style w:type="paragraph" w:styleId="ListBullet3">
    <w:name w:val="List Bullet 3"/>
    <w:basedOn w:val="Normal"/>
    <w:uiPriority w:val="99"/>
    <w:rsid w:val="00C84056"/>
    <w:pPr>
      <w:numPr>
        <w:numId w:val="7"/>
      </w:numPr>
      <w:spacing w:after="120"/>
      <w:contextualSpacing/>
    </w:pPr>
    <w:rPr>
      <w:rFonts w:eastAsiaTheme="minorHAnsi" w:cstheme="minorBidi"/>
    </w:rPr>
  </w:style>
  <w:style w:type="paragraph" w:styleId="ListParagraph">
    <w:name w:val="List Paragraph"/>
    <w:basedOn w:val="Normal"/>
    <w:uiPriority w:val="34"/>
    <w:qFormat/>
    <w:rsid w:val="000451CB"/>
    <w:pPr>
      <w:ind w:left="720"/>
      <w:contextualSpacing/>
    </w:pPr>
  </w:style>
  <w:style w:type="numbering" w:customStyle="1" w:styleId="Style1">
    <w:name w:val="Style1"/>
    <w:uiPriority w:val="99"/>
    <w:rsid w:val="00245AEA"/>
    <w:pPr>
      <w:numPr>
        <w:numId w:val="5"/>
      </w:numPr>
    </w:pPr>
  </w:style>
  <w:style w:type="paragraph" w:customStyle="1" w:styleId="subsectiontext">
    <w:name w:val="subsectiontext"/>
    <w:basedOn w:val="Normal"/>
    <w:rsid w:val="00245AEA"/>
    <w:pPr>
      <w:spacing w:before="100" w:beforeAutospacing="1" w:after="100" w:afterAutospacing="1"/>
    </w:pPr>
    <w:rPr>
      <w:rFonts w:ascii="Times New Roman" w:eastAsia="Times New Roman" w:hAnsi="Times New Roman"/>
      <w:sz w:val="24"/>
      <w:szCs w:val="24"/>
      <w:lang w:eastAsia="en-AU"/>
    </w:rPr>
  </w:style>
  <w:style w:type="paragraph" w:customStyle="1" w:styleId="paragraphtext">
    <w:name w:val="paragraphtext"/>
    <w:basedOn w:val="Normal"/>
    <w:rsid w:val="00245AEA"/>
    <w:pPr>
      <w:spacing w:before="100" w:beforeAutospacing="1" w:after="100" w:afterAutospacing="1"/>
    </w:pPr>
    <w:rPr>
      <w:rFonts w:ascii="Times New Roman" w:eastAsia="Times New Roman" w:hAnsi="Times New Roman"/>
      <w:sz w:val="24"/>
      <w:szCs w:val="24"/>
      <w:lang w:eastAsia="en-AU"/>
    </w:rPr>
  </w:style>
  <w:style w:type="paragraph" w:customStyle="1" w:styleId="paragraph">
    <w:name w:val="paragraph"/>
    <w:basedOn w:val="Normal"/>
    <w:rsid w:val="00245AEA"/>
    <w:pPr>
      <w:spacing w:before="100" w:beforeAutospacing="1" w:after="100" w:afterAutospacing="1"/>
    </w:pPr>
    <w:rPr>
      <w:rFonts w:ascii="Times New Roman" w:eastAsia="Times New Roman" w:hAnsi="Times New Roman"/>
      <w:sz w:val="24"/>
      <w:szCs w:val="24"/>
      <w:lang w:eastAsia="en-AU"/>
    </w:rPr>
  </w:style>
  <w:style w:type="character" w:customStyle="1" w:styleId="normaltextrun">
    <w:name w:val="normaltextrun"/>
    <w:basedOn w:val="DefaultParagraphFont"/>
    <w:rsid w:val="00245AEA"/>
  </w:style>
  <w:style w:type="character" w:customStyle="1" w:styleId="eop">
    <w:name w:val="eop"/>
    <w:basedOn w:val="DefaultParagraphFont"/>
    <w:rsid w:val="00245AEA"/>
  </w:style>
  <w:style w:type="paragraph" w:styleId="Revision">
    <w:name w:val="Revision"/>
    <w:hidden/>
    <w:uiPriority w:val="99"/>
    <w:semiHidden/>
    <w:rsid w:val="00245AEA"/>
    <w:rPr>
      <w:rFonts w:ascii="Cambria" w:eastAsiaTheme="minorHAnsi" w:hAnsi="Cambria" w:cstheme="minorBidi"/>
      <w:lang w:eastAsia="en-US"/>
    </w:rPr>
  </w:style>
  <w:style w:type="paragraph" w:styleId="Caption">
    <w:name w:val="caption"/>
    <w:basedOn w:val="Normal"/>
    <w:next w:val="Normal"/>
    <w:uiPriority w:val="35"/>
    <w:qFormat/>
    <w:rsid w:val="00245AEA"/>
    <w:pPr>
      <w:spacing w:line="276" w:lineRule="auto"/>
    </w:pPr>
    <w:rPr>
      <w:rFonts w:ascii="Cambria" w:eastAsiaTheme="minorHAnsi" w:hAnsi="Cambria" w:cstheme="minorBidi"/>
      <w:iCs/>
      <w:color w:val="4C6968" w:themeColor="text1"/>
      <w:sz w:val="22"/>
      <w:szCs w:val="18"/>
    </w:rPr>
  </w:style>
  <w:style w:type="paragraph" w:styleId="FootnoteText">
    <w:name w:val="footnote text"/>
    <w:basedOn w:val="Normal"/>
    <w:link w:val="FootnoteTextChar"/>
    <w:uiPriority w:val="99"/>
    <w:rsid w:val="00F01111"/>
    <w:pPr>
      <w:spacing w:after="0"/>
    </w:pPr>
    <w:rPr>
      <w:rFonts w:eastAsiaTheme="minorHAnsi" w:cstheme="minorBidi"/>
      <w:szCs w:val="20"/>
    </w:rPr>
  </w:style>
  <w:style w:type="character" w:customStyle="1" w:styleId="FootnoteTextChar">
    <w:name w:val="Footnote Text Char"/>
    <w:basedOn w:val="DefaultParagraphFont"/>
    <w:link w:val="FootnoteText"/>
    <w:uiPriority w:val="99"/>
    <w:rsid w:val="00F01111"/>
    <w:rPr>
      <w:rFonts w:ascii="Verdana" w:eastAsiaTheme="minorHAnsi" w:hAnsi="Verdana" w:cstheme="minorBidi"/>
      <w:sz w:val="20"/>
      <w:szCs w:val="20"/>
      <w:lang w:eastAsia="en-US"/>
    </w:rPr>
  </w:style>
  <w:style w:type="paragraph" w:styleId="EndnoteText">
    <w:name w:val="endnote text"/>
    <w:basedOn w:val="Normal"/>
    <w:link w:val="EndnoteTextChar"/>
    <w:uiPriority w:val="99"/>
    <w:rsid w:val="00245AEA"/>
    <w:pPr>
      <w:spacing w:after="0"/>
    </w:pPr>
    <w:rPr>
      <w:rFonts w:ascii="Cambria" w:eastAsiaTheme="minorHAnsi" w:hAnsi="Cambria" w:cstheme="minorBidi"/>
      <w:szCs w:val="20"/>
    </w:rPr>
  </w:style>
  <w:style w:type="character" w:customStyle="1" w:styleId="EndnoteTextChar">
    <w:name w:val="Endnote Text Char"/>
    <w:basedOn w:val="DefaultParagraphFont"/>
    <w:link w:val="EndnoteText"/>
    <w:uiPriority w:val="99"/>
    <w:rsid w:val="00A83CEF"/>
    <w:rPr>
      <w:rFonts w:ascii="Cambria" w:eastAsiaTheme="minorHAnsi" w:hAnsi="Cambria" w:cstheme="minorBidi"/>
      <w:sz w:val="20"/>
      <w:szCs w:val="20"/>
      <w:lang w:eastAsia="en-US"/>
    </w:rPr>
  </w:style>
  <w:style w:type="character" w:styleId="EndnoteReference">
    <w:name w:val="endnote reference"/>
    <w:basedOn w:val="DefaultParagraphFont"/>
    <w:uiPriority w:val="99"/>
    <w:rsid w:val="00245AEA"/>
    <w:rPr>
      <w:vertAlign w:val="superscript"/>
    </w:rPr>
  </w:style>
  <w:style w:type="paragraph" w:styleId="ListBullet4">
    <w:name w:val="List Bullet 4"/>
    <w:basedOn w:val="Normal"/>
    <w:uiPriority w:val="99"/>
    <w:rsid w:val="0043440B"/>
    <w:pPr>
      <w:numPr>
        <w:numId w:val="6"/>
      </w:numPr>
      <w:contextualSpacing/>
    </w:pPr>
  </w:style>
  <w:style w:type="paragraph" w:styleId="List5">
    <w:name w:val="List 5"/>
    <w:basedOn w:val="Normal"/>
    <w:uiPriority w:val="99"/>
    <w:rsid w:val="006969C4"/>
    <w:pPr>
      <w:ind w:left="1415" w:hanging="283"/>
      <w:contextualSpacing/>
    </w:pPr>
  </w:style>
  <w:style w:type="paragraph" w:customStyle="1" w:styleId="CUNumber1">
    <w:name w:val="CU_Number1"/>
    <w:basedOn w:val="Normal"/>
    <w:qFormat/>
    <w:rsid w:val="00D73DD9"/>
    <w:pPr>
      <w:numPr>
        <w:numId w:val="14"/>
      </w:numPr>
      <w:spacing w:after="240"/>
      <w:outlineLvl w:val="0"/>
    </w:pPr>
    <w:rPr>
      <w:rFonts w:ascii="Arial" w:eastAsia="Times New Roman" w:hAnsi="Arial"/>
      <w:szCs w:val="20"/>
    </w:rPr>
  </w:style>
  <w:style w:type="paragraph" w:customStyle="1" w:styleId="CUNumber2">
    <w:name w:val="CU_Number2"/>
    <w:basedOn w:val="Normal"/>
    <w:qFormat/>
    <w:rsid w:val="00D73DD9"/>
    <w:pPr>
      <w:numPr>
        <w:ilvl w:val="1"/>
        <w:numId w:val="14"/>
      </w:numPr>
      <w:spacing w:after="240"/>
      <w:outlineLvl w:val="1"/>
    </w:pPr>
    <w:rPr>
      <w:rFonts w:ascii="Arial" w:eastAsia="Times New Roman" w:hAnsi="Arial"/>
      <w:szCs w:val="20"/>
    </w:rPr>
  </w:style>
  <w:style w:type="paragraph" w:customStyle="1" w:styleId="CUNumber3">
    <w:name w:val="CU_Number3"/>
    <w:basedOn w:val="Normal"/>
    <w:qFormat/>
    <w:rsid w:val="00D73DD9"/>
    <w:pPr>
      <w:numPr>
        <w:ilvl w:val="2"/>
        <w:numId w:val="14"/>
      </w:numPr>
      <w:spacing w:after="240"/>
      <w:outlineLvl w:val="2"/>
    </w:pPr>
    <w:rPr>
      <w:rFonts w:ascii="Arial" w:eastAsia="Times New Roman" w:hAnsi="Arial"/>
      <w:szCs w:val="20"/>
    </w:rPr>
  </w:style>
  <w:style w:type="paragraph" w:customStyle="1" w:styleId="CUNumber4">
    <w:name w:val="CU_Number4"/>
    <w:basedOn w:val="Normal"/>
    <w:qFormat/>
    <w:rsid w:val="00D73DD9"/>
    <w:pPr>
      <w:numPr>
        <w:ilvl w:val="3"/>
        <w:numId w:val="14"/>
      </w:numPr>
      <w:spacing w:after="240"/>
      <w:outlineLvl w:val="3"/>
    </w:pPr>
    <w:rPr>
      <w:rFonts w:ascii="Arial" w:eastAsia="Times New Roman" w:hAnsi="Arial"/>
      <w:szCs w:val="20"/>
    </w:rPr>
  </w:style>
  <w:style w:type="paragraph" w:customStyle="1" w:styleId="CUNumber5">
    <w:name w:val="CU_Number5"/>
    <w:basedOn w:val="Normal"/>
    <w:qFormat/>
    <w:rsid w:val="00D73DD9"/>
    <w:pPr>
      <w:numPr>
        <w:ilvl w:val="4"/>
        <w:numId w:val="14"/>
      </w:numPr>
      <w:spacing w:after="240"/>
      <w:outlineLvl w:val="4"/>
    </w:pPr>
    <w:rPr>
      <w:rFonts w:ascii="Arial" w:eastAsia="Times New Roman" w:hAnsi="Arial"/>
      <w:szCs w:val="20"/>
    </w:rPr>
  </w:style>
  <w:style w:type="paragraph" w:customStyle="1" w:styleId="CUNumber6">
    <w:name w:val="CU_Number6"/>
    <w:basedOn w:val="Normal"/>
    <w:qFormat/>
    <w:rsid w:val="00D73DD9"/>
    <w:pPr>
      <w:numPr>
        <w:ilvl w:val="5"/>
        <w:numId w:val="14"/>
      </w:numPr>
      <w:spacing w:after="240"/>
      <w:outlineLvl w:val="5"/>
    </w:pPr>
    <w:rPr>
      <w:rFonts w:ascii="Arial" w:eastAsia="Times New Roman" w:hAnsi="Arial"/>
      <w:szCs w:val="20"/>
    </w:rPr>
  </w:style>
  <w:style w:type="paragraph" w:customStyle="1" w:styleId="CUNumber7">
    <w:name w:val="CU_Number7"/>
    <w:basedOn w:val="Normal"/>
    <w:qFormat/>
    <w:rsid w:val="00D73DD9"/>
    <w:pPr>
      <w:numPr>
        <w:ilvl w:val="6"/>
        <w:numId w:val="14"/>
      </w:numPr>
      <w:spacing w:after="240"/>
      <w:outlineLvl w:val="6"/>
    </w:pPr>
    <w:rPr>
      <w:rFonts w:ascii="Arial" w:eastAsia="Times New Roman" w:hAnsi="Arial"/>
      <w:szCs w:val="20"/>
    </w:rPr>
  </w:style>
  <w:style w:type="paragraph" w:customStyle="1" w:styleId="CUNumber8">
    <w:name w:val="CU_Number8"/>
    <w:basedOn w:val="Normal"/>
    <w:qFormat/>
    <w:rsid w:val="00D73DD9"/>
    <w:pPr>
      <w:numPr>
        <w:ilvl w:val="7"/>
        <w:numId w:val="14"/>
      </w:numPr>
      <w:spacing w:after="240"/>
      <w:outlineLvl w:val="7"/>
    </w:pPr>
    <w:rPr>
      <w:rFonts w:ascii="Arial" w:eastAsia="Times New Roman" w:hAnsi="Arial"/>
      <w:szCs w:val="20"/>
    </w:rPr>
  </w:style>
  <w:style w:type="paragraph" w:customStyle="1" w:styleId="AnnexureHeading">
    <w:name w:val="Annexure Heading"/>
    <w:basedOn w:val="Normal"/>
    <w:next w:val="Normal"/>
    <w:rsid w:val="00D73DD9"/>
    <w:pPr>
      <w:pageBreakBefore/>
      <w:numPr>
        <w:numId w:val="12"/>
      </w:numPr>
      <w:spacing w:after="220"/>
    </w:pPr>
    <w:rPr>
      <w:rFonts w:ascii="Arial" w:eastAsia="Times New Roman" w:hAnsi="Arial"/>
      <w:b/>
      <w:sz w:val="24"/>
      <w:szCs w:val="24"/>
    </w:rPr>
  </w:style>
  <w:style w:type="numbering" w:customStyle="1" w:styleId="CUNumber">
    <w:name w:val="CU_Number"/>
    <w:uiPriority w:val="99"/>
    <w:rsid w:val="00D73DD9"/>
    <w:pPr>
      <w:numPr>
        <w:numId w:val="13"/>
      </w:numPr>
    </w:pPr>
  </w:style>
  <w:style w:type="paragraph" w:customStyle="1" w:styleId="Pa3">
    <w:name w:val="Pa3"/>
    <w:basedOn w:val="Normal"/>
    <w:next w:val="Normal"/>
    <w:uiPriority w:val="99"/>
    <w:rsid w:val="0010229B"/>
    <w:pPr>
      <w:autoSpaceDE w:val="0"/>
      <w:autoSpaceDN w:val="0"/>
      <w:adjustRightInd w:val="0"/>
      <w:spacing w:after="0" w:line="201" w:lineRule="atLeast"/>
    </w:pPr>
    <w:rPr>
      <w:rFonts w:ascii="Roc Grotesk" w:hAnsi="Roc Grotesk"/>
      <w:sz w:val="24"/>
      <w:szCs w:val="24"/>
      <w:lang w:eastAsia="en-AU"/>
    </w:rPr>
  </w:style>
  <w:style w:type="character" w:customStyle="1" w:styleId="A3">
    <w:name w:val="A3"/>
    <w:uiPriority w:val="99"/>
    <w:rsid w:val="0010229B"/>
    <w:rPr>
      <w:rFonts w:cs="Roc Grotesk"/>
      <w:color w:val="47545E"/>
      <w:sz w:val="18"/>
      <w:szCs w:val="18"/>
    </w:rPr>
  </w:style>
  <w:style w:type="paragraph" w:customStyle="1" w:styleId="Pa4">
    <w:name w:val="Pa4"/>
    <w:basedOn w:val="Normal"/>
    <w:next w:val="Normal"/>
    <w:uiPriority w:val="99"/>
    <w:rsid w:val="0010229B"/>
    <w:pPr>
      <w:autoSpaceDE w:val="0"/>
      <w:autoSpaceDN w:val="0"/>
      <w:adjustRightInd w:val="0"/>
      <w:spacing w:after="0" w:line="201" w:lineRule="atLeast"/>
    </w:pPr>
    <w:rPr>
      <w:rFonts w:ascii="Roc Grotesk" w:hAnsi="Roc Grotesk"/>
      <w:sz w:val="24"/>
      <w:szCs w:val="24"/>
      <w:lang w:eastAsia="en-AU"/>
    </w:rPr>
  </w:style>
  <w:style w:type="character" w:customStyle="1" w:styleId="A4">
    <w:name w:val="A4"/>
    <w:uiPriority w:val="99"/>
    <w:rsid w:val="0010229B"/>
    <w:rPr>
      <w:rFonts w:cs="Roc Grotesk"/>
      <w:color w:val="47545E"/>
      <w:sz w:val="18"/>
      <w:szCs w:val="18"/>
      <w:u w:val="single"/>
    </w:rPr>
  </w:style>
  <w:style w:type="character" w:styleId="IntenseReference">
    <w:name w:val="Intense Reference"/>
    <w:basedOn w:val="DefaultParagraphFont"/>
    <w:uiPriority w:val="32"/>
    <w:qFormat/>
    <w:rsid w:val="00492E5A"/>
    <w:rPr>
      <w:b/>
      <w:bCs/>
      <w:smallCaps/>
      <w:color w:val="4C6968" w:themeColor="accent1"/>
      <w:spacing w:val="5"/>
    </w:rPr>
  </w:style>
  <w:style w:type="character" w:styleId="IntenseEmphasis">
    <w:name w:val="Intense Emphasis"/>
    <w:basedOn w:val="DefaultParagraphFont"/>
    <w:uiPriority w:val="21"/>
    <w:qFormat/>
    <w:rsid w:val="00C94C7E"/>
    <w:rPr>
      <w:i/>
      <w:iCs/>
      <w:color w:val="4C6968" w:themeColor="accent1"/>
    </w:rPr>
  </w:style>
  <w:style w:type="character" w:styleId="SubtleEmphasis">
    <w:name w:val="Subtle Emphasis"/>
    <w:basedOn w:val="DefaultParagraphFont"/>
    <w:uiPriority w:val="19"/>
    <w:qFormat/>
    <w:rsid w:val="00F12AAB"/>
    <w:rPr>
      <w:i/>
      <w:iCs/>
      <w:color w:val="6F9796" w:themeColor="text1" w:themeTint="BF"/>
    </w:rPr>
  </w:style>
  <w:style w:type="character" w:styleId="SubtleReference">
    <w:name w:val="Subtle Reference"/>
    <w:basedOn w:val="DefaultParagraphFont"/>
    <w:uiPriority w:val="31"/>
    <w:qFormat/>
    <w:rsid w:val="006A56DE"/>
    <w:rPr>
      <w:smallCaps/>
      <w:color w:val="83A5A4" w:themeColor="text1" w:themeTint="A5"/>
    </w:rPr>
  </w:style>
  <w:style w:type="character" w:customStyle="1" w:styleId="cf01">
    <w:name w:val="cf01"/>
    <w:basedOn w:val="DefaultParagraphFont"/>
    <w:rsid w:val="001A3771"/>
    <w:rPr>
      <w:rFonts w:ascii="Segoe UI" w:hAnsi="Segoe UI" w:cs="Segoe UI" w:hint="default"/>
      <w:sz w:val="18"/>
      <w:szCs w:val="18"/>
    </w:rPr>
  </w:style>
  <w:style w:type="character" w:styleId="Mention">
    <w:name w:val="Mention"/>
    <w:basedOn w:val="DefaultParagraphFont"/>
    <w:uiPriority w:val="99"/>
    <w:rsid w:val="006F6AC3"/>
    <w:rPr>
      <w:color w:val="2B579A"/>
      <w:shd w:val="clear" w:color="auto" w:fill="E1DFDD"/>
    </w:rPr>
  </w:style>
  <w:style w:type="paragraph" w:styleId="TOC5">
    <w:name w:val="toc 5"/>
    <w:basedOn w:val="Normal"/>
    <w:next w:val="Normal"/>
    <w:autoRedefine/>
    <w:uiPriority w:val="39"/>
    <w:rsid w:val="000B32D5"/>
    <w:pPr>
      <w:tabs>
        <w:tab w:val="right" w:leader="dot" w:pos="9628"/>
      </w:tabs>
      <w:spacing w:after="100"/>
      <w:ind w:left="800"/>
    </w:pPr>
  </w:style>
  <w:style w:type="character" w:styleId="Emphasis">
    <w:name w:val="Emphasis"/>
    <w:basedOn w:val="DefaultParagraphFont"/>
    <w:uiPriority w:val="20"/>
    <w:qFormat/>
    <w:rsid w:val="00A461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29278">
      <w:bodyDiv w:val="1"/>
      <w:marLeft w:val="0"/>
      <w:marRight w:val="0"/>
      <w:marTop w:val="0"/>
      <w:marBottom w:val="0"/>
      <w:divBdr>
        <w:top w:val="none" w:sz="0" w:space="0" w:color="auto"/>
        <w:left w:val="none" w:sz="0" w:space="0" w:color="auto"/>
        <w:bottom w:val="none" w:sz="0" w:space="0" w:color="auto"/>
        <w:right w:val="none" w:sz="0" w:space="0" w:color="auto"/>
      </w:divBdr>
      <w:divsChild>
        <w:div w:id="311060908">
          <w:marLeft w:val="0"/>
          <w:marRight w:val="0"/>
          <w:marTop w:val="0"/>
          <w:marBottom w:val="0"/>
          <w:divBdr>
            <w:top w:val="none" w:sz="0" w:space="0" w:color="auto"/>
            <w:left w:val="none" w:sz="0" w:space="0" w:color="auto"/>
            <w:bottom w:val="none" w:sz="0" w:space="0" w:color="auto"/>
            <w:right w:val="none" w:sz="0" w:space="0" w:color="auto"/>
          </w:divBdr>
        </w:div>
      </w:divsChild>
    </w:div>
    <w:div w:id="210003767">
      <w:bodyDiv w:val="1"/>
      <w:marLeft w:val="0"/>
      <w:marRight w:val="0"/>
      <w:marTop w:val="0"/>
      <w:marBottom w:val="0"/>
      <w:divBdr>
        <w:top w:val="none" w:sz="0" w:space="0" w:color="auto"/>
        <w:left w:val="none" w:sz="0" w:space="0" w:color="auto"/>
        <w:bottom w:val="none" w:sz="0" w:space="0" w:color="auto"/>
        <w:right w:val="none" w:sz="0" w:space="0" w:color="auto"/>
      </w:divBdr>
      <w:divsChild>
        <w:div w:id="144397795">
          <w:marLeft w:val="0"/>
          <w:marRight w:val="0"/>
          <w:marTop w:val="0"/>
          <w:marBottom w:val="0"/>
          <w:divBdr>
            <w:top w:val="none" w:sz="0" w:space="0" w:color="auto"/>
            <w:left w:val="none" w:sz="0" w:space="0" w:color="auto"/>
            <w:bottom w:val="none" w:sz="0" w:space="0" w:color="auto"/>
            <w:right w:val="none" w:sz="0" w:space="0" w:color="auto"/>
          </w:divBdr>
          <w:divsChild>
            <w:div w:id="1157264909">
              <w:marLeft w:val="0"/>
              <w:marRight w:val="0"/>
              <w:marTop w:val="0"/>
              <w:marBottom w:val="0"/>
              <w:divBdr>
                <w:top w:val="single" w:sz="6" w:space="0" w:color="666666"/>
                <w:left w:val="single" w:sz="6" w:space="0" w:color="666666"/>
                <w:bottom w:val="single" w:sz="48" w:space="0" w:color="000000"/>
                <w:right w:val="single" w:sz="6" w:space="0" w:color="666666"/>
              </w:divBdr>
              <w:divsChild>
                <w:div w:id="562184448">
                  <w:marLeft w:val="0"/>
                  <w:marRight w:val="0"/>
                  <w:marTop w:val="0"/>
                  <w:marBottom w:val="0"/>
                  <w:divBdr>
                    <w:top w:val="none" w:sz="0" w:space="0" w:color="auto"/>
                    <w:left w:val="none" w:sz="0" w:space="0" w:color="auto"/>
                    <w:bottom w:val="none" w:sz="0" w:space="0" w:color="auto"/>
                    <w:right w:val="none" w:sz="0" w:space="0" w:color="auto"/>
                  </w:divBdr>
                  <w:divsChild>
                    <w:div w:id="629476871">
                      <w:marLeft w:val="150"/>
                      <w:marRight w:val="0"/>
                      <w:marTop w:val="150"/>
                      <w:marBottom w:val="0"/>
                      <w:divBdr>
                        <w:top w:val="none" w:sz="0" w:space="0" w:color="auto"/>
                        <w:left w:val="none" w:sz="0" w:space="0" w:color="auto"/>
                        <w:bottom w:val="none" w:sz="0" w:space="0" w:color="auto"/>
                        <w:right w:val="none" w:sz="0" w:space="0" w:color="auto"/>
                      </w:divBdr>
                      <w:divsChild>
                        <w:div w:id="805513206">
                          <w:marLeft w:val="0"/>
                          <w:marRight w:val="0"/>
                          <w:marTop w:val="0"/>
                          <w:marBottom w:val="0"/>
                          <w:divBdr>
                            <w:top w:val="none" w:sz="0" w:space="0" w:color="auto"/>
                            <w:left w:val="none" w:sz="0" w:space="0" w:color="auto"/>
                            <w:bottom w:val="none" w:sz="0" w:space="0" w:color="auto"/>
                            <w:right w:val="none" w:sz="0" w:space="0" w:color="auto"/>
                          </w:divBdr>
                          <w:divsChild>
                            <w:div w:id="1205947322">
                              <w:marLeft w:val="0"/>
                              <w:marRight w:val="0"/>
                              <w:marTop w:val="0"/>
                              <w:marBottom w:val="0"/>
                              <w:divBdr>
                                <w:top w:val="none" w:sz="0" w:space="0" w:color="auto"/>
                                <w:left w:val="none" w:sz="0" w:space="0" w:color="auto"/>
                                <w:bottom w:val="none" w:sz="0" w:space="0" w:color="auto"/>
                                <w:right w:val="none" w:sz="0" w:space="0" w:color="auto"/>
                              </w:divBdr>
                              <w:divsChild>
                                <w:div w:id="1520924222">
                                  <w:marLeft w:val="0"/>
                                  <w:marRight w:val="0"/>
                                  <w:marTop w:val="0"/>
                                  <w:marBottom w:val="0"/>
                                  <w:divBdr>
                                    <w:top w:val="none" w:sz="0" w:space="0" w:color="auto"/>
                                    <w:left w:val="none" w:sz="0" w:space="0" w:color="auto"/>
                                    <w:bottom w:val="none" w:sz="0" w:space="0" w:color="auto"/>
                                    <w:right w:val="none" w:sz="0" w:space="0" w:color="auto"/>
                                  </w:divBdr>
                                  <w:divsChild>
                                    <w:div w:id="1266616800">
                                      <w:marLeft w:val="0"/>
                                      <w:marRight w:val="0"/>
                                      <w:marTop w:val="0"/>
                                      <w:marBottom w:val="0"/>
                                      <w:divBdr>
                                        <w:top w:val="none" w:sz="0" w:space="0" w:color="auto"/>
                                        <w:left w:val="none" w:sz="0" w:space="0" w:color="auto"/>
                                        <w:bottom w:val="none" w:sz="0" w:space="0" w:color="auto"/>
                                        <w:right w:val="none" w:sz="0" w:space="0" w:color="auto"/>
                                      </w:divBdr>
                                      <w:divsChild>
                                        <w:div w:id="327951791">
                                          <w:marLeft w:val="0"/>
                                          <w:marRight w:val="0"/>
                                          <w:marTop w:val="0"/>
                                          <w:marBottom w:val="0"/>
                                          <w:divBdr>
                                            <w:top w:val="none" w:sz="0" w:space="0" w:color="auto"/>
                                            <w:left w:val="none" w:sz="0" w:space="0" w:color="auto"/>
                                            <w:bottom w:val="none" w:sz="0" w:space="0" w:color="auto"/>
                                            <w:right w:val="none" w:sz="0" w:space="0" w:color="auto"/>
                                          </w:divBdr>
                                          <w:divsChild>
                                            <w:div w:id="2080905658">
                                              <w:marLeft w:val="0"/>
                                              <w:marRight w:val="0"/>
                                              <w:marTop w:val="0"/>
                                              <w:marBottom w:val="0"/>
                                              <w:divBdr>
                                                <w:top w:val="none" w:sz="0" w:space="0" w:color="auto"/>
                                                <w:left w:val="none" w:sz="0" w:space="0" w:color="auto"/>
                                                <w:bottom w:val="none" w:sz="0" w:space="0" w:color="auto"/>
                                                <w:right w:val="none" w:sz="0" w:space="0" w:color="auto"/>
                                              </w:divBdr>
                                              <w:divsChild>
                                                <w:div w:id="20988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8543637">
      <w:bodyDiv w:val="1"/>
      <w:marLeft w:val="0"/>
      <w:marRight w:val="0"/>
      <w:marTop w:val="0"/>
      <w:marBottom w:val="0"/>
      <w:divBdr>
        <w:top w:val="none" w:sz="0" w:space="0" w:color="auto"/>
        <w:left w:val="none" w:sz="0" w:space="0" w:color="auto"/>
        <w:bottom w:val="none" w:sz="0" w:space="0" w:color="auto"/>
        <w:right w:val="none" w:sz="0" w:space="0" w:color="auto"/>
      </w:divBdr>
      <w:divsChild>
        <w:div w:id="1550266171">
          <w:marLeft w:val="0"/>
          <w:marRight w:val="0"/>
          <w:marTop w:val="0"/>
          <w:marBottom w:val="0"/>
          <w:divBdr>
            <w:top w:val="none" w:sz="0" w:space="0" w:color="auto"/>
            <w:left w:val="none" w:sz="0" w:space="0" w:color="auto"/>
            <w:bottom w:val="none" w:sz="0" w:space="0" w:color="auto"/>
            <w:right w:val="none" w:sz="0" w:space="0" w:color="auto"/>
          </w:divBdr>
        </w:div>
      </w:divsChild>
    </w:div>
    <w:div w:id="289940150">
      <w:bodyDiv w:val="1"/>
      <w:marLeft w:val="0"/>
      <w:marRight w:val="0"/>
      <w:marTop w:val="0"/>
      <w:marBottom w:val="0"/>
      <w:divBdr>
        <w:top w:val="none" w:sz="0" w:space="0" w:color="auto"/>
        <w:left w:val="none" w:sz="0" w:space="0" w:color="auto"/>
        <w:bottom w:val="none" w:sz="0" w:space="0" w:color="auto"/>
        <w:right w:val="none" w:sz="0" w:space="0" w:color="auto"/>
      </w:divBdr>
      <w:divsChild>
        <w:div w:id="633292588">
          <w:marLeft w:val="0"/>
          <w:marRight w:val="0"/>
          <w:marTop w:val="0"/>
          <w:marBottom w:val="0"/>
          <w:divBdr>
            <w:top w:val="none" w:sz="0" w:space="0" w:color="auto"/>
            <w:left w:val="none" w:sz="0" w:space="0" w:color="auto"/>
            <w:bottom w:val="none" w:sz="0" w:space="0" w:color="auto"/>
            <w:right w:val="none" w:sz="0" w:space="0" w:color="auto"/>
          </w:divBdr>
        </w:div>
      </w:divsChild>
    </w:div>
    <w:div w:id="306281135">
      <w:bodyDiv w:val="1"/>
      <w:marLeft w:val="0"/>
      <w:marRight w:val="0"/>
      <w:marTop w:val="0"/>
      <w:marBottom w:val="0"/>
      <w:divBdr>
        <w:top w:val="none" w:sz="0" w:space="0" w:color="auto"/>
        <w:left w:val="none" w:sz="0" w:space="0" w:color="auto"/>
        <w:bottom w:val="none" w:sz="0" w:space="0" w:color="auto"/>
        <w:right w:val="none" w:sz="0" w:space="0" w:color="auto"/>
      </w:divBdr>
      <w:divsChild>
        <w:div w:id="661660885">
          <w:marLeft w:val="0"/>
          <w:marRight w:val="0"/>
          <w:marTop w:val="0"/>
          <w:marBottom w:val="0"/>
          <w:divBdr>
            <w:top w:val="none" w:sz="0" w:space="0" w:color="auto"/>
            <w:left w:val="none" w:sz="0" w:space="0" w:color="auto"/>
            <w:bottom w:val="none" w:sz="0" w:space="0" w:color="auto"/>
            <w:right w:val="none" w:sz="0" w:space="0" w:color="auto"/>
          </w:divBdr>
        </w:div>
      </w:divsChild>
    </w:div>
    <w:div w:id="307710295">
      <w:bodyDiv w:val="1"/>
      <w:marLeft w:val="0"/>
      <w:marRight w:val="0"/>
      <w:marTop w:val="0"/>
      <w:marBottom w:val="0"/>
      <w:divBdr>
        <w:top w:val="none" w:sz="0" w:space="0" w:color="auto"/>
        <w:left w:val="none" w:sz="0" w:space="0" w:color="auto"/>
        <w:bottom w:val="none" w:sz="0" w:space="0" w:color="auto"/>
        <w:right w:val="none" w:sz="0" w:space="0" w:color="auto"/>
      </w:divBdr>
      <w:divsChild>
        <w:div w:id="905258207">
          <w:marLeft w:val="0"/>
          <w:marRight w:val="0"/>
          <w:marTop w:val="0"/>
          <w:marBottom w:val="0"/>
          <w:divBdr>
            <w:top w:val="none" w:sz="0" w:space="0" w:color="auto"/>
            <w:left w:val="none" w:sz="0" w:space="0" w:color="auto"/>
            <w:bottom w:val="none" w:sz="0" w:space="0" w:color="auto"/>
            <w:right w:val="none" w:sz="0" w:space="0" w:color="auto"/>
          </w:divBdr>
        </w:div>
      </w:divsChild>
    </w:div>
    <w:div w:id="330452024">
      <w:bodyDiv w:val="1"/>
      <w:marLeft w:val="0"/>
      <w:marRight w:val="0"/>
      <w:marTop w:val="0"/>
      <w:marBottom w:val="0"/>
      <w:divBdr>
        <w:top w:val="none" w:sz="0" w:space="0" w:color="auto"/>
        <w:left w:val="none" w:sz="0" w:space="0" w:color="auto"/>
        <w:bottom w:val="none" w:sz="0" w:space="0" w:color="auto"/>
        <w:right w:val="none" w:sz="0" w:space="0" w:color="auto"/>
      </w:divBdr>
    </w:div>
    <w:div w:id="440105841">
      <w:bodyDiv w:val="1"/>
      <w:marLeft w:val="0"/>
      <w:marRight w:val="0"/>
      <w:marTop w:val="0"/>
      <w:marBottom w:val="0"/>
      <w:divBdr>
        <w:top w:val="none" w:sz="0" w:space="0" w:color="auto"/>
        <w:left w:val="none" w:sz="0" w:space="0" w:color="auto"/>
        <w:bottom w:val="none" w:sz="0" w:space="0" w:color="auto"/>
        <w:right w:val="none" w:sz="0" w:space="0" w:color="auto"/>
      </w:divBdr>
      <w:divsChild>
        <w:div w:id="1186332676">
          <w:marLeft w:val="0"/>
          <w:marRight w:val="0"/>
          <w:marTop w:val="0"/>
          <w:marBottom w:val="0"/>
          <w:divBdr>
            <w:top w:val="none" w:sz="0" w:space="0" w:color="auto"/>
            <w:left w:val="none" w:sz="0" w:space="0" w:color="auto"/>
            <w:bottom w:val="none" w:sz="0" w:space="0" w:color="auto"/>
            <w:right w:val="none" w:sz="0" w:space="0" w:color="auto"/>
          </w:divBdr>
        </w:div>
      </w:divsChild>
    </w:div>
    <w:div w:id="630600052">
      <w:bodyDiv w:val="1"/>
      <w:marLeft w:val="0"/>
      <w:marRight w:val="0"/>
      <w:marTop w:val="0"/>
      <w:marBottom w:val="0"/>
      <w:divBdr>
        <w:top w:val="none" w:sz="0" w:space="0" w:color="auto"/>
        <w:left w:val="none" w:sz="0" w:space="0" w:color="auto"/>
        <w:bottom w:val="none" w:sz="0" w:space="0" w:color="auto"/>
        <w:right w:val="none" w:sz="0" w:space="0" w:color="auto"/>
      </w:divBdr>
      <w:divsChild>
        <w:div w:id="821388626">
          <w:marLeft w:val="0"/>
          <w:marRight w:val="0"/>
          <w:marTop w:val="0"/>
          <w:marBottom w:val="0"/>
          <w:divBdr>
            <w:top w:val="none" w:sz="0" w:space="0" w:color="auto"/>
            <w:left w:val="none" w:sz="0" w:space="0" w:color="auto"/>
            <w:bottom w:val="none" w:sz="0" w:space="0" w:color="auto"/>
            <w:right w:val="none" w:sz="0" w:space="0" w:color="auto"/>
          </w:divBdr>
        </w:div>
      </w:divsChild>
    </w:div>
    <w:div w:id="661393241">
      <w:bodyDiv w:val="1"/>
      <w:marLeft w:val="0"/>
      <w:marRight w:val="0"/>
      <w:marTop w:val="0"/>
      <w:marBottom w:val="0"/>
      <w:divBdr>
        <w:top w:val="none" w:sz="0" w:space="0" w:color="auto"/>
        <w:left w:val="none" w:sz="0" w:space="0" w:color="auto"/>
        <w:bottom w:val="none" w:sz="0" w:space="0" w:color="auto"/>
        <w:right w:val="none" w:sz="0" w:space="0" w:color="auto"/>
      </w:divBdr>
      <w:divsChild>
        <w:div w:id="69541524">
          <w:marLeft w:val="0"/>
          <w:marRight w:val="0"/>
          <w:marTop w:val="0"/>
          <w:marBottom w:val="0"/>
          <w:divBdr>
            <w:top w:val="none" w:sz="0" w:space="0" w:color="auto"/>
            <w:left w:val="none" w:sz="0" w:space="0" w:color="auto"/>
            <w:bottom w:val="none" w:sz="0" w:space="0" w:color="auto"/>
            <w:right w:val="none" w:sz="0" w:space="0" w:color="auto"/>
          </w:divBdr>
        </w:div>
      </w:divsChild>
    </w:div>
    <w:div w:id="701900294">
      <w:bodyDiv w:val="1"/>
      <w:marLeft w:val="0"/>
      <w:marRight w:val="0"/>
      <w:marTop w:val="0"/>
      <w:marBottom w:val="0"/>
      <w:divBdr>
        <w:top w:val="none" w:sz="0" w:space="0" w:color="auto"/>
        <w:left w:val="none" w:sz="0" w:space="0" w:color="auto"/>
        <w:bottom w:val="none" w:sz="0" w:space="0" w:color="auto"/>
        <w:right w:val="none" w:sz="0" w:space="0" w:color="auto"/>
      </w:divBdr>
      <w:divsChild>
        <w:div w:id="16319494">
          <w:marLeft w:val="0"/>
          <w:marRight w:val="0"/>
          <w:marTop w:val="0"/>
          <w:marBottom w:val="0"/>
          <w:divBdr>
            <w:top w:val="none" w:sz="0" w:space="0" w:color="auto"/>
            <w:left w:val="none" w:sz="0" w:space="0" w:color="auto"/>
            <w:bottom w:val="none" w:sz="0" w:space="0" w:color="auto"/>
            <w:right w:val="none" w:sz="0" w:space="0" w:color="auto"/>
          </w:divBdr>
        </w:div>
        <w:div w:id="37972812">
          <w:marLeft w:val="0"/>
          <w:marRight w:val="0"/>
          <w:marTop w:val="0"/>
          <w:marBottom w:val="0"/>
          <w:divBdr>
            <w:top w:val="none" w:sz="0" w:space="0" w:color="auto"/>
            <w:left w:val="none" w:sz="0" w:space="0" w:color="auto"/>
            <w:bottom w:val="none" w:sz="0" w:space="0" w:color="auto"/>
            <w:right w:val="none" w:sz="0" w:space="0" w:color="auto"/>
          </w:divBdr>
        </w:div>
        <w:div w:id="64837481">
          <w:marLeft w:val="0"/>
          <w:marRight w:val="0"/>
          <w:marTop w:val="0"/>
          <w:marBottom w:val="0"/>
          <w:divBdr>
            <w:top w:val="none" w:sz="0" w:space="0" w:color="auto"/>
            <w:left w:val="none" w:sz="0" w:space="0" w:color="auto"/>
            <w:bottom w:val="none" w:sz="0" w:space="0" w:color="auto"/>
            <w:right w:val="none" w:sz="0" w:space="0" w:color="auto"/>
          </w:divBdr>
        </w:div>
        <w:div w:id="142049249">
          <w:marLeft w:val="0"/>
          <w:marRight w:val="0"/>
          <w:marTop w:val="0"/>
          <w:marBottom w:val="0"/>
          <w:divBdr>
            <w:top w:val="none" w:sz="0" w:space="0" w:color="auto"/>
            <w:left w:val="none" w:sz="0" w:space="0" w:color="auto"/>
            <w:bottom w:val="none" w:sz="0" w:space="0" w:color="auto"/>
            <w:right w:val="none" w:sz="0" w:space="0" w:color="auto"/>
          </w:divBdr>
        </w:div>
        <w:div w:id="177811356">
          <w:marLeft w:val="0"/>
          <w:marRight w:val="0"/>
          <w:marTop w:val="0"/>
          <w:marBottom w:val="0"/>
          <w:divBdr>
            <w:top w:val="none" w:sz="0" w:space="0" w:color="auto"/>
            <w:left w:val="none" w:sz="0" w:space="0" w:color="auto"/>
            <w:bottom w:val="none" w:sz="0" w:space="0" w:color="auto"/>
            <w:right w:val="none" w:sz="0" w:space="0" w:color="auto"/>
          </w:divBdr>
        </w:div>
        <w:div w:id="181209504">
          <w:marLeft w:val="0"/>
          <w:marRight w:val="0"/>
          <w:marTop w:val="0"/>
          <w:marBottom w:val="0"/>
          <w:divBdr>
            <w:top w:val="none" w:sz="0" w:space="0" w:color="auto"/>
            <w:left w:val="none" w:sz="0" w:space="0" w:color="auto"/>
            <w:bottom w:val="none" w:sz="0" w:space="0" w:color="auto"/>
            <w:right w:val="none" w:sz="0" w:space="0" w:color="auto"/>
          </w:divBdr>
        </w:div>
        <w:div w:id="230697939">
          <w:marLeft w:val="0"/>
          <w:marRight w:val="0"/>
          <w:marTop w:val="0"/>
          <w:marBottom w:val="0"/>
          <w:divBdr>
            <w:top w:val="none" w:sz="0" w:space="0" w:color="auto"/>
            <w:left w:val="none" w:sz="0" w:space="0" w:color="auto"/>
            <w:bottom w:val="none" w:sz="0" w:space="0" w:color="auto"/>
            <w:right w:val="none" w:sz="0" w:space="0" w:color="auto"/>
          </w:divBdr>
        </w:div>
        <w:div w:id="245581071">
          <w:marLeft w:val="0"/>
          <w:marRight w:val="0"/>
          <w:marTop w:val="0"/>
          <w:marBottom w:val="0"/>
          <w:divBdr>
            <w:top w:val="none" w:sz="0" w:space="0" w:color="auto"/>
            <w:left w:val="none" w:sz="0" w:space="0" w:color="auto"/>
            <w:bottom w:val="none" w:sz="0" w:space="0" w:color="auto"/>
            <w:right w:val="none" w:sz="0" w:space="0" w:color="auto"/>
          </w:divBdr>
        </w:div>
        <w:div w:id="277418106">
          <w:marLeft w:val="0"/>
          <w:marRight w:val="0"/>
          <w:marTop w:val="0"/>
          <w:marBottom w:val="0"/>
          <w:divBdr>
            <w:top w:val="none" w:sz="0" w:space="0" w:color="auto"/>
            <w:left w:val="none" w:sz="0" w:space="0" w:color="auto"/>
            <w:bottom w:val="none" w:sz="0" w:space="0" w:color="auto"/>
            <w:right w:val="none" w:sz="0" w:space="0" w:color="auto"/>
          </w:divBdr>
        </w:div>
        <w:div w:id="280383555">
          <w:marLeft w:val="0"/>
          <w:marRight w:val="0"/>
          <w:marTop w:val="0"/>
          <w:marBottom w:val="0"/>
          <w:divBdr>
            <w:top w:val="none" w:sz="0" w:space="0" w:color="auto"/>
            <w:left w:val="none" w:sz="0" w:space="0" w:color="auto"/>
            <w:bottom w:val="none" w:sz="0" w:space="0" w:color="auto"/>
            <w:right w:val="none" w:sz="0" w:space="0" w:color="auto"/>
          </w:divBdr>
        </w:div>
        <w:div w:id="295792579">
          <w:marLeft w:val="0"/>
          <w:marRight w:val="0"/>
          <w:marTop w:val="0"/>
          <w:marBottom w:val="0"/>
          <w:divBdr>
            <w:top w:val="none" w:sz="0" w:space="0" w:color="auto"/>
            <w:left w:val="none" w:sz="0" w:space="0" w:color="auto"/>
            <w:bottom w:val="none" w:sz="0" w:space="0" w:color="auto"/>
            <w:right w:val="none" w:sz="0" w:space="0" w:color="auto"/>
          </w:divBdr>
        </w:div>
        <w:div w:id="321668532">
          <w:marLeft w:val="0"/>
          <w:marRight w:val="0"/>
          <w:marTop w:val="0"/>
          <w:marBottom w:val="0"/>
          <w:divBdr>
            <w:top w:val="none" w:sz="0" w:space="0" w:color="auto"/>
            <w:left w:val="none" w:sz="0" w:space="0" w:color="auto"/>
            <w:bottom w:val="none" w:sz="0" w:space="0" w:color="auto"/>
            <w:right w:val="none" w:sz="0" w:space="0" w:color="auto"/>
          </w:divBdr>
        </w:div>
        <w:div w:id="347215679">
          <w:marLeft w:val="0"/>
          <w:marRight w:val="0"/>
          <w:marTop w:val="0"/>
          <w:marBottom w:val="0"/>
          <w:divBdr>
            <w:top w:val="none" w:sz="0" w:space="0" w:color="auto"/>
            <w:left w:val="none" w:sz="0" w:space="0" w:color="auto"/>
            <w:bottom w:val="none" w:sz="0" w:space="0" w:color="auto"/>
            <w:right w:val="none" w:sz="0" w:space="0" w:color="auto"/>
          </w:divBdr>
        </w:div>
        <w:div w:id="349912950">
          <w:marLeft w:val="0"/>
          <w:marRight w:val="0"/>
          <w:marTop w:val="0"/>
          <w:marBottom w:val="0"/>
          <w:divBdr>
            <w:top w:val="none" w:sz="0" w:space="0" w:color="auto"/>
            <w:left w:val="none" w:sz="0" w:space="0" w:color="auto"/>
            <w:bottom w:val="none" w:sz="0" w:space="0" w:color="auto"/>
            <w:right w:val="none" w:sz="0" w:space="0" w:color="auto"/>
          </w:divBdr>
        </w:div>
        <w:div w:id="519203472">
          <w:marLeft w:val="0"/>
          <w:marRight w:val="0"/>
          <w:marTop w:val="0"/>
          <w:marBottom w:val="0"/>
          <w:divBdr>
            <w:top w:val="none" w:sz="0" w:space="0" w:color="auto"/>
            <w:left w:val="none" w:sz="0" w:space="0" w:color="auto"/>
            <w:bottom w:val="none" w:sz="0" w:space="0" w:color="auto"/>
            <w:right w:val="none" w:sz="0" w:space="0" w:color="auto"/>
          </w:divBdr>
        </w:div>
        <w:div w:id="532814655">
          <w:marLeft w:val="0"/>
          <w:marRight w:val="0"/>
          <w:marTop w:val="0"/>
          <w:marBottom w:val="0"/>
          <w:divBdr>
            <w:top w:val="none" w:sz="0" w:space="0" w:color="auto"/>
            <w:left w:val="none" w:sz="0" w:space="0" w:color="auto"/>
            <w:bottom w:val="none" w:sz="0" w:space="0" w:color="auto"/>
            <w:right w:val="none" w:sz="0" w:space="0" w:color="auto"/>
          </w:divBdr>
        </w:div>
        <w:div w:id="539442437">
          <w:marLeft w:val="0"/>
          <w:marRight w:val="0"/>
          <w:marTop w:val="0"/>
          <w:marBottom w:val="0"/>
          <w:divBdr>
            <w:top w:val="none" w:sz="0" w:space="0" w:color="auto"/>
            <w:left w:val="none" w:sz="0" w:space="0" w:color="auto"/>
            <w:bottom w:val="none" w:sz="0" w:space="0" w:color="auto"/>
            <w:right w:val="none" w:sz="0" w:space="0" w:color="auto"/>
          </w:divBdr>
        </w:div>
        <w:div w:id="568661655">
          <w:marLeft w:val="0"/>
          <w:marRight w:val="0"/>
          <w:marTop w:val="0"/>
          <w:marBottom w:val="0"/>
          <w:divBdr>
            <w:top w:val="none" w:sz="0" w:space="0" w:color="auto"/>
            <w:left w:val="none" w:sz="0" w:space="0" w:color="auto"/>
            <w:bottom w:val="none" w:sz="0" w:space="0" w:color="auto"/>
            <w:right w:val="none" w:sz="0" w:space="0" w:color="auto"/>
          </w:divBdr>
        </w:div>
        <w:div w:id="585576121">
          <w:marLeft w:val="0"/>
          <w:marRight w:val="0"/>
          <w:marTop w:val="0"/>
          <w:marBottom w:val="0"/>
          <w:divBdr>
            <w:top w:val="none" w:sz="0" w:space="0" w:color="auto"/>
            <w:left w:val="none" w:sz="0" w:space="0" w:color="auto"/>
            <w:bottom w:val="none" w:sz="0" w:space="0" w:color="auto"/>
            <w:right w:val="none" w:sz="0" w:space="0" w:color="auto"/>
          </w:divBdr>
        </w:div>
        <w:div w:id="623268702">
          <w:marLeft w:val="0"/>
          <w:marRight w:val="0"/>
          <w:marTop w:val="0"/>
          <w:marBottom w:val="0"/>
          <w:divBdr>
            <w:top w:val="none" w:sz="0" w:space="0" w:color="auto"/>
            <w:left w:val="none" w:sz="0" w:space="0" w:color="auto"/>
            <w:bottom w:val="none" w:sz="0" w:space="0" w:color="auto"/>
            <w:right w:val="none" w:sz="0" w:space="0" w:color="auto"/>
          </w:divBdr>
        </w:div>
        <w:div w:id="634991732">
          <w:marLeft w:val="0"/>
          <w:marRight w:val="0"/>
          <w:marTop w:val="0"/>
          <w:marBottom w:val="0"/>
          <w:divBdr>
            <w:top w:val="none" w:sz="0" w:space="0" w:color="auto"/>
            <w:left w:val="none" w:sz="0" w:space="0" w:color="auto"/>
            <w:bottom w:val="none" w:sz="0" w:space="0" w:color="auto"/>
            <w:right w:val="none" w:sz="0" w:space="0" w:color="auto"/>
          </w:divBdr>
        </w:div>
        <w:div w:id="736249384">
          <w:marLeft w:val="0"/>
          <w:marRight w:val="0"/>
          <w:marTop w:val="0"/>
          <w:marBottom w:val="0"/>
          <w:divBdr>
            <w:top w:val="none" w:sz="0" w:space="0" w:color="auto"/>
            <w:left w:val="none" w:sz="0" w:space="0" w:color="auto"/>
            <w:bottom w:val="none" w:sz="0" w:space="0" w:color="auto"/>
            <w:right w:val="none" w:sz="0" w:space="0" w:color="auto"/>
          </w:divBdr>
        </w:div>
        <w:div w:id="737089876">
          <w:marLeft w:val="0"/>
          <w:marRight w:val="0"/>
          <w:marTop w:val="0"/>
          <w:marBottom w:val="0"/>
          <w:divBdr>
            <w:top w:val="none" w:sz="0" w:space="0" w:color="auto"/>
            <w:left w:val="none" w:sz="0" w:space="0" w:color="auto"/>
            <w:bottom w:val="none" w:sz="0" w:space="0" w:color="auto"/>
            <w:right w:val="none" w:sz="0" w:space="0" w:color="auto"/>
          </w:divBdr>
        </w:div>
        <w:div w:id="749540999">
          <w:marLeft w:val="0"/>
          <w:marRight w:val="0"/>
          <w:marTop w:val="0"/>
          <w:marBottom w:val="0"/>
          <w:divBdr>
            <w:top w:val="none" w:sz="0" w:space="0" w:color="auto"/>
            <w:left w:val="none" w:sz="0" w:space="0" w:color="auto"/>
            <w:bottom w:val="none" w:sz="0" w:space="0" w:color="auto"/>
            <w:right w:val="none" w:sz="0" w:space="0" w:color="auto"/>
          </w:divBdr>
        </w:div>
        <w:div w:id="750616297">
          <w:marLeft w:val="0"/>
          <w:marRight w:val="0"/>
          <w:marTop w:val="0"/>
          <w:marBottom w:val="0"/>
          <w:divBdr>
            <w:top w:val="none" w:sz="0" w:space="0" w:color="auto"/>
            <w:left w:val="none" w:sz="0" w:space="0" w:color="auto"/>
            <w:bottom w:val="none" w:sz="0" w:space="0" w:color="auto"/>
            <w:right w:val="none" w:sz="0" w:space="0" w:color="auto"/>
          </w:divBdr>
        </w:div>
        <w:div w:id="755520064">
          <w:marLeft w:val="0"/>
          <w:marRight w:val="0"/>
          <w:marTop w:val="0"/>
          <w:marBottom w:val="0"/>
          <w:divBdr>
            <w:top w:val="none" w:sz="0" w:space="0" w:color="auto"/>
            <w:left w:val="none" w:sz="0" w:space="0" w:color="auto"/>
            <w:bottom w:val="none" w:sz="0" w:space="0" w:color="auto"/>
            <w:right w:val="none" w:sz="0" w:space="0" w:color="auto"/>
          </w:divBdr>
        </w:div>
        <w:div w:id="762536180">
          <w:marLeft w:val="0"/>
          <w:marRight w:val="0"/>
          <w:marTop w:val="0"/>
          <w:marBottom w:val="0"/>
          <w:divBdr>
            <w:top w:val="none" w:sz="0" w:space="0" w:color="auto"/>
            <w:left w:val="none" w:sz="0" w:space="0" w:color="auto"/>
            <w:bottom w:val="none" w:sz="0" w:space="0" w:color="auto"/>
            <w:right w:val="none" w:sz="0" w:space="0" w:color="auto"/>
          </w:divBdr>
        </w:div>
        <w:div w:id="803306690">
          <w:marLeft w:val="0"/>
          <w:marRight w:val="0"/>
          <w:marTop w:val="0"/>
          <w:marBottom w:val="0"/>
          <w:divBdr>
            <w:top w:val="none" w:sz="0" w:space="0" w:color="auto"/>
            <w:left w:val="none" w:sz="0" w:space="0" w:color="auto"/>
            <w:bottom w:val="none" w:sz="0" w:space="0" w:color="auto"/>
            <w:right w:val="none" w:sz="0" w:space="0" w:color="auto"/>
          </w:divBdr>
        </w:div>
        <w:div w:id="824667808">
          <w:marLeft w:val="0"/>
          <w:marRight w:val="0"/>
          <w:marTop w:val="0"/>
          <w:marBottom w:val="0"/>
          <w:divBdr>
            <w:top w:val="none" w:sz="0" w:space="0" w:color="auto"/>
            <w:left w:val="none" w:sz="0" w:space="0" w:color="auto"/>
            <w:bottom w:val="none" w:sz="0" w:space="0" w:color="auto"/>
            <w:right w:val="none" w:sz="0" w:space="0" w:color="auto"/>
          </w:divBdr>
        </w:div>
        <w:div w:id="826364712">
          <w:marLeft w:val="0"/>
          <w:marRight w:val="0"/>
          <w:marTop w:val="0"/>
          <w:marBottom w:val="0"/>
          <w:divBdr>
            <w:top w:val="none" w:sz="0" w:space="0" w:color="auto"/>
            <w:left w:val="none" w:sz="0" w:space="0" w:color="auto"/>
            <w:bottom w:val="none" w:sz="0" w:space="0" w:color="auto"/>
            <w:right w:val="none" w:sz="0" w:space="0" w:color="auto"/>
          </w:divBdr>
        </w:div>
        <w:div w:id="837186046">
          <w:marLeft w:val="0"/>
          <w:marRight w:val="0"/>
          <w:marTop w:val="0"/>
          <w:marBottom w:val="0"/>
          <w:divBdr>
            <w:top w:val="none" w:sz="0" w:space="0" w:color="auto"/>
            <w:left w:val="none" w:sz="0" w:space="0" w:color="auto"/>
            <w:bottom w:val="none" w:sz="0" w:space="0" w:color="auto"/>
            <w:right w:val="none" w:sz="0" w:space="0" w:color="auto"/>
          </w:divBdr>
        </w:div>
        <w:div w:id="852261598">
          <w:marLeft w:val="0"/>
          <w:marRight w:val="0"/>
          <w:marTop w:val="0"/>
          <w:marBottom w:val="0"/>
          <w:divBdr>
            <w:top w:val="none" w:sz="0" w:space="0" w:color="auto"/>
            <w:left w:val="none" w:sz="0" w:space="0" w:color="auto"/>
            <w:bottom w:val="none" w:sz="0" w:space="0" w:color="auto"/>
            <w:right w:val="none" w:sz="0" w:space="0" w:color="auto"/>
          </w:divBdr>
        </w:div>
        <w:div w:id="927150721">
          <w:marLeft w:val="0"/>
          <w:marRight w:val="0"/>
          <w:marTop w:val="0"/>
          <w:marBottom w:val="0"/>
          <w:divBdr>
            <w:top w:val="none" w:sz="0" w:space="0" w:color="auto"/>
            <w:left w:val="none" w:sz="0" w:space="0" w:color="auto"/>
            <w:bottom w:val="none" w:sz="0" w:space="0" w:color="auto"/>
            <w:right w:val="none" w:sz="0" w:space="0" w:color="auto"/>
          </w:divBdr>
        </w:div>
        <w:div w:id="989749810">
          <w:marLeft w:val="0"/>
          <w:marRight w:val="0"/>
          <w:marTop w:val="0"/>
          <w:marBottom w:val="0"/>
          <w:divBdr>
            <w:top w:val="none" w:sz="0" w:space="0" w:color="auto"/>
            <w:left w:val="none" w:sz="0" w:space="0" w:color="auto"/>
            <w:bottom w:val="none" w:sz="0" w:space="0" w:color="auto"/>
            <w:right w:val="none" w:sz="0" w:space="0" w:color="auto"/>
          </w:divBdr>
        </w:div>
        <w:div w:id="999776885">
          <w:marLeft w:val="0"/>
          <w:marRight w:val="0"/>
          <w:marTop w:val="0"/>
          <w:marBottom w:val="0"/>
          <w:divBdr>
            <w:top w:val="none" w:sz="0" w:space="0" w:color="auto"/>
            <w:left w:val="none" w:sz="0" w:space="0" w:color="auto"/>
            <w:bottom w:val="none" w:sz="0" w:space="0" w:color="auto"/>
            <w:right w:val="none" w:sz="0" w:space="0" w:color="auto"/>
          </w:divBdr>
        </w:div>
        <w:div w:id="1001274579">
          <w:marLeft w:val="0"/>
          <w:marRight w:val="0"/>
          <w:marTop w:val="0"/>
          <w:marBottom w:val="0"/>
          <w:divBdr>
            <w:top w:val="none" w:sz="0" w:space="0" w:color="auto"/>
            <w:left w:val="none" w:sz="0" w:space="0" w:color="auto"/>
            <w:bottom w:val="none" w:sz="0" w:space="0" w:color="auto"/>
            <w:right w:val="none" w:sz="0" w:space="0" w:color="auto"/>
          </w:divBdr>
        </w:div>
        <w:div w:id="1047341882">
          <w:marLeft w:val="0"/>
          <w:marRight w:val="0"/>
          <w:marTop w:val="0"/>
          <w:marBottom w:val="0"/>
          <w:divBdr>
            <w:top w:val="none" w:sz="0" w:space="0" w:color="auto"/>
            <w:left w:val="none" w:sz="0" w:space="0" w:color="auto"/>
            <w:bottom w:val="none" w:sz="0" w:space="0" w:color="auto"/>
            <w:right w:val="none" w:sz="0" w:space="0" w:color="auto"/>
          </w:divBdr>
        </w:div>
        <w:div w:id="1080129776">
          <w:marLeft w:val="0"/>
          <w:marRight w:val="0"/>
          <w:marTop w:val="0"/>
          <w:marBottom w:val="0"/>
          <w:divBdr>
            <w:top w:val="none" w:sz="0" w:space="0" w:color="auto"/>
            <w:left w:val="none" w:sz="0" w:space="0" w:color="auto"/>
            <w:bottom w:val="none" w:sz="0" w:space="0" w:color="auto"/>
            <w:right w:val="none" w:sz="0" w:space="0" w:color="auto"/>
          </w:divBdr>
        </w:div>
        <w:div w:id="1097671226">
          <w:marLeft w:val="0"/>
          <w:marRight w:val="0"/>
          <w:marTop w:val="0"/>
          <w:marBottom w:val="0"/>
          <w:divBdr>
            <w:top w:val="none" w:sz="0" w:space="0" w:color="auto"/>
            <w:left w:val="none" w:sz="0" w:space="0" w:color="auto"/>
            <w:bottom w:val="none" w:sz="0" w:space="0" w:color="auto"/>
            <w:right w:val="none" w:sz="0" w:space="0" w:color="auto"/>
          </w:divBdr>
        </w:div>
        <w:div w:id="1107852661">
          <w:marLeft w:val="0"/>
          <w:marRight w:val="0"/>
          <w:marTop w:val="0"/>
          <w:marBottom w:val="0"/>
          <w:divBdr>
            <w:top w:val="none" w:sz="0" w:space="0" w:color="auto"/>
            <w:left w:val="none" w:sz="0" w:space="0" w:color="auto"/>
            <w:bottom w:val="none" w:sz="0" w:space="0" w:color="auto"/>
            <w:right w:val="none" w:sz="0" w:space="0" w:color="auto"/>
          </w:divBdr>
        </w:div>
        <w:div w:id="1196699584">
          <w:marLeft w:val="0"/>
          <w:marRight w:val="0"/>
          <w:marTop w:val="0"/>
          <w:marBottom w:val="0"/>
          <w:divBdr>
            <w:top w:val="none" w:sz="0" w:space="0" w:color="auto"/>
            <w:left w:val="none" w:sz="0" w:space="0" w:color="auto"/>
            <w:bottom w:val="none" w:sz="0" w:space="0" w:color="auto"/>
            <w:right w:val="none" w:sz="0" w:space="0" w:color="auto"/>
          </w:divBdr>
        </w:div>
        <w:div w:id="1197305614">
          <w:marLeft w:val="0"/>
          <w:marRight w:val="0"/>
          <w:marTop w:val="0"/>
          <w:marBottom w:val="0"/>
          <w:divBdr>
            <w:top w:val="none" w:sz="0" w:space="0" w:color="auto"/>
            <w:left w:val="none" w:sz="0" w:space="0" w:color="auto"/>
            <w:bottom w:val="none" w:sz="0" w:space="0" w:color="auto"/>
            <w:right w:val="none" w:sz="0" w:space="0" w:color="auto"/>
          </w:divBdr>
        </w:div>
        <w:div w:id="1212379816">
          <w:marLeft w:val="0"/>
          <w:marRight w:val="0"/>
          <w:marTop w:val="0"/>
          <w:marBottom w:val="0"/>
          <w:divBdr>
            <w:top w:val="none" w:sz="0" w:space="0" w:color="auto"/>
            <w:left w:val="none" w:sz="0" w:space="0" w:color="auto"/>
            <w:bottom w:val="none" w:sz="0" w:space="0" w:color="auto"/>
            <w:right w:val="none" w:sz="0" w:space="0" w:color="auto"/>
          </w:divBdr>
        </w:div>
        <w:div w:id="1223642958">
          <w:marLeft w:val="0"/>
          <w:marRight w:val="0"/>
          <w:marTop w:val="0"/>
          <w:marBottom w:val="0"/>
          <w:divBdr>
            <w:top w:val="none" w:sz="0" w:space="0" w:color="auto"/>
            <w:left w:val="none" w:sz="0" w:space="0" w:color="auto"/>
            <w:bottom w:val="none" w:sz="0" w:space="0" w:color="auto"/>
            <w:right w:val="none" w:sz="0" w:space="0" w:color="auto"/>
          </w:divBdr>
        </w:div>
        <w:div w:id="1255818990">
          <w:marLeft w:val="0"/>
          <w:marRight w:val="0"/>
          <w:marTop w:val="0"/>
          <w:marBottom w:val="0"/>
          <w:divBdr>
            <w:top w:val="none" w:sz="0" w:space="0" w:color="auto"/>
            <w:left w:val="none" w:sz="0" w:space="0" w:color="auto"/>
            <w:bottom w:val="none" w:sz="0" w:space="0" w:color="auto"/>
            <w:right w:val="none" w:sz="0" w:space="0" w:color="auto"/>
          </w:divBdr>
        </w:div>
        <w:div w:id="1264264833">
          <w:marLeft w:val="0"/>
          <w:marRight w:val="0"/>
          <w:marTop w:val="0"/>
          <w:marBottom w:val="0"/>
          <w:divBdr>
            <w:top w:val="none" w:sz="0" w:space="0" w:color="auto"/>
            <w:left w:val="none" w:sz="0" w:space="0" w:color="auto"/>
            <w:bottom w:val="none" w:sz="0" w:space="0" w:color="auto"/>
            <w:right w:val="none" w:sz="0" w:space="0" w:color="auto"/>
          </w:divBdr>
        </w:div>
        <w:div w:id="1293826261">
          <w:marLeft w:val="0"/>
          <w:marRight w:val="0"/>
          <w:marTop w:val="0"/>
          <w:marBottom w:val="0"/>
          <w:divBdr>
            <w:top w:val="none" w:sz="0" w:space="0" w:color="auto"/>
            <w:left w:val="none" w:sz="0" w:space="0" w:color="auto"/>
            <w:bottom w:val="none" w:sz="0" w:space="0" w:color="auto"/>
            <w:right w:val="none" w:sz="0" w:space="0" w:color="auto"/>
          </w:divBdr>
        </w:div>
        <w:div w:id="1293974496">
          <w:marLeft w:val="0"/>
          <w:marRight w:val="0"/>
          <w:marTop w:val="0"/>
          <w:marBottom w:val="0"/>
          <w:divBdr>
            <w:top w:val="none" w:sz="0" w:space="0" w:color="auto"/>
            <w:left w:val="none" w:sz="0" w:space="0" w:color="auto"/>
            <w:bottom w:val="none" w:sz="0" w:space="0" w:color="auto"/>
            <w:right w:val="none" w:sz="0" w:space="0" w:color="auto"/>
          </w:divBdr>
        </w:div>
        <w:div w:id="1332683576">
          <w:marLeft w:val="0"/>
          <w:marRight w:val="0"/>
          <w:marTop w:val="0"/>
          <w:marBottom w:val="0"/>
          <w:divBdr>
            <w:top w:val="none" w:sz="0" w:space="0" w:color="auto"/>
            <w:left w:val="none" w:sz="0" w:space="0" w:color="auto"/>
            <w:bottom w:val="none" w:sz="0" w:space="0" w:color="auto"/>
            <w:right w:val="none" w:sz="0" w:space="0" w:color="auto"/>
          </w:divBdr>
        </w:div>
        <w:div w:id="1334600318">
          <w:marLeft w:val="0"/>
          <w:marRight w:val="0"/>
          <w:marTop w:val="0"/>
          <w:marBottom w:val="0"/>
          <w:divBdr>
            <w:top w:val="none" w:sz="0" w:space="0" w:color="auto"/>
            <w:left w:val="none" w:sz="0" w:space="0" w:color="auto"/>
            <w:bottom w:val="none" w:sz="0" w:space="0" w:color="auto"/>
            <w:right w:val="none" w:sz="0" w:space="0" w:color="auto"/>
          </w:divBdr>
        </w:div>
        <w:div w:id="1404983883">
          <w:marLeft w:val="0"/>
          <w:marRight w:val="0"/>
          <w:marTop w:val="0"/>
          <w:marBottom w:val="0"/>
          <w:divBdr>
            <w:top w:val="none" w:sz="0" w:space="0" w:color="auto"/>
            <w:left w:val="none" w:sz="0" w:space="0" w:color="auto"/>
            <w:bottom w:val="none" w:sz="0" w:space="0" w:color="auto"/>
            <w:right w:val="none" w:sz="0" w:space="0" w:color="auto"/>
          </w:divBdr>
        </w:div>
        <w:div w:id="1496263411">
          <w:marLeft w:val="0"/>
          <w:marRight w:val="0"/>
          <w:marTop w:val="0"/>
          <w:marBottom w:val="0"/>
          <w:divBdr>
            <w:top w:val="none" w:sz="0" w:space="0" w:color="auto"/>
            <w:left w:val="none" w:sz="0" w:space="0" w:color="auto"/>
            <w:bottom w:val="none" w:sz="0" w:space="0" w:color="auto"/>
            <w:right w:val="none" w:sz="0" w:space="0" w:color="auto"/>
          </w:divBdr>
        </w:div>
        <w:div w:id="1603298868">
          <w:marLeft w:val="0"/>
          <w:marRight w:val="0"/>
          <w:marTop w:val="0"/>
          <w:marBottom w:val="0"/>
          <w:divBdr>
            <w:top w:val="none" w:sz="0" w:space="0" w:color="auto"/>
            <w:left w:val="none" w:sz="0" w:space="0" w:color="auto"/>
            <w:bottom w:val="none" w:sz="0" w:space="0" w:color="auto"/>
            <w:right w:val="none" w:sz="0" w:space="0" w:color="auto"/>
          </w:divBdr>
        </w:div>
        <w:div w:id="1712417616">
          <w:marLeft w:val="0"/>
          <w:marRight w:val="0"/>
          <w:marTop w:val="0"/>
          <w:marBottom w:val="0"/>
          <w:divBdr>
            <w:top w:val="none" w:sz="0" w:space="0" w:color="auto"/>
            <w:left w:val="none" w:sz="0" w:space="0" w:color="auto"/>
            <w:bottom w:val="none" w:sz="0" w:space="0" w:color="auto"/>
            <w:right w:val="none" w:sz="0" w:space="0" w:color="auto"/>
          </w:divBdr>
        </w:div>
        <w:div w:id="1713117057">
          <w:marLeft w:val="0"/>
          <w:marRight w:val="0"/>
          <w:marTop w:val="0"/>
          <w:marBottom w:val="0"/>
          <w:divBdr>
            <w:top w:val="none" w:sz="0" w:space="0" w:color="auto"/>
            <w:left w:val="none" w:sz="0" w:space="0" w:color="auto"/>
            <w:bottom w:val="none" w:sz="0" w:space="0" w:color="auto"/>
            <w:right w:val="none" w:sz="0" w:space="0" w:color="auto"/>
          </w:divBdr>
        </w:div>
        <w:div w:id="1751610670">
          <w:marLeft w:val="0"/>
          <w:marRight w:val="0"/>
          <w:marTop w:val="0"/>
          <w:marBottom w:val="0"/>
          <w:divBdr>
            <w:top w:val="none" w:sz="0" w:space="0" w:color="auto"/>
            <w:left w:val="none" w:sz="0" w:space="0" w:color="auto"/>
            <w:bottom w:val="none" w:sz="0" w:space="0" w:color="auto"/>
            <w:right w:val="none" w:sz="0" w:space="0" w:color="auto"/>
          </w:divBdr>
        </w:div>
        <w:div w:id="1756828525">
          <w:marLeft w:val="0"/>
          <w:marRight w:val="0"/>
          <w:marTop w:val="0"/>
          <w:marBottom w:val="0"/>
          <w:divBdr>
            <w:top w:val="none" w:sz="0" w:space="0" w:color="auto"/>
            <w:left w:val="none" w:sz="0" w:space="0" w:color="auto"/>
            <w:bottom w:val="none" w:sz="0" w:space="0" w:color="auto"/>
            <w:right w:val="none" w:sz="0" w:space="0" w:color="auto"/>
          </w:divBdr>
        </w:div>
        <w:div w:id="1791316403">
          <w:marLeft w:val="0"/>
          <w:marRight w:val="0"/>
          <w:marTop w:val="0"/>
          <w:marBottom w:val="0"/>
          <w:divBdr>
            <w:top w:val="none" w:sz="0" w:space="0" w:color="auto"/>
            <w:left w:val="none" w:sz="0" w:space="0" w:color="auto"/>
            <w:bottom w:val="none" w:sz="0" w:space="0" w:color="auto"/>
            <w:right w:val="none" w:sz="0" w:space="0" w:color="auto"/>
          </w:divBdr>
        </w:div>
        <w:div w:id="1797985470">
          <w:marLeft w:val="0"/>
          <w:marRight w:val="0"/>
          <w:marTop w:val="0"/>
          <w:marBottom w:val="0"/>
          <w:divBdr>
            <w:top w:val="none" w:sz="0" w:space="0" w:color="auto"/>
            <w:left w:val="none" w:sz="0" w:space="0" w:color="auto"/>
            <w:bottom w:val="none" w:sz="0" w:space="0" w:color="auto"/>
            <w:right w:val="none" w:sz="0" w:space="0" w:color="auto"/>
          </w:divBdr>
        </w:div>
        <w:div w:id="1798329932">
          <w:marLeft w:val="0"/>
          <w:marRight w:val="0"/>
          <w:marTop w:val="0"/>
          <w:marBottom w:val="0"/>
          <w:divBdr>
            <w:top w:val="none" w:sz="0" w:space="0" w:color="auto"/>
            <w:left w:val="none" w:sz="0" w:space="0" w:color="auto"/>
            <w:bottom w:val="none" w:sz="0" w:space="0" w:color="auto"/>
            <w:right w:val="none" w:sz="0" w:space="0" w:color="auto"/>
          </w:divBdr>
        </w:div>
        <w:div w:id="1856651153">
          <w:marLeft w:val="0"/>
          <w:marRight w:val="0"/>
          <w:marTop w:val="0"/>
          <w:marBottom w:val="0"/>
          <w:divBdr>
            <w:top w:val="none" w:sz="0" w:space="0" w:color="auto"/>
            <w:left w:val="none" w:sz="0" w:space="0" w:color="auto"/>
            <w:bottom w:val="none" w:sz="0" w:space="0" w:color="auto"/>
            <w:right w:val="none" w:sz="0" w:space="0" w:color="auto"/>
          </w:divBdr>
        </w:div>
        <w:div w:id="1911695647">
          <w:marLeft w:val="0"/>
          <w:marRight w:val="0"/>
          <w:marTop w:val="0"/>
          <w:marBottom w:val="0"/>
          <w:divBdr>
            <w:top w:val="none" w:sz="0" w:space="0" w:color="auto"/>
            <w:left w:val="none" w:sz="0" w:space="0" w:color="auto"/>
            <w:bottom w:val="none" w:sz="0" w:space="0" w:color="auto"/>
            <w:right w:val="none" w:sz="0" w:space="0" w:color="auto"/>
          </w:divBdr>
        </w:div>
        <w:div w:id="1965575577">
          <w:marLeft w:val="0"/>
          <w:marRight w:val="0"/>
          <w:marTop w:val="0"/>
          <w:marBottom w:val="0"/>
          <w:divBdr>
            <w:top w:val="none" w:sz="0" w:space="0" w:color="auto"/>
            <w:left w:val="none" w:sz="0" w:space="0" w:color="auto"/>
            <w:bottom w:val="none" w:sz="0" w:space="0" w:color="auto"/>
            <w:right w:val="none" w:sz="0" w:space="0" w:color="auto"/>
          </w:divBdr>
        </w:div>
        <w:div w:id="1977026311">
          <w:marLeft w:val="0"/>
          <w:marRight w:val="0"/>
          <w:marTop w:val="0"/>
          <w:marBottom w:val="0"/>
          <w:divBdr>
            <w:top w:val="none" w:sz="0" w:space="0" w:color="auto"/>
            <w:left w:val="none" w:sz="0" w:space="0" w:color="auto"/>
            <w:bottom w:val="none" w:sz="0" w:space="0" w:color="auto"/>
            <w:right w:val="none" w:sz="0" w:space="0" w:color="auto"/>
          </w:divBdr>
        </w:div>
        <w:div w:id="1990212657">
          <w:marLeft w:val="0"/>
          <w:marRight w:val="0"/>
          <w:marTop w:val="0"/>
          <w:marBottom w:val="0"/>
          <w:divBdr>
            <w:top w:val="none" w:sz="0" w:space="0" w:color="auto"/>
            <w:left w:val="none" w:sz="0" w:space="0" w:color="auto"/>
            <w:bottom w:val="none" w:sz="0" w:space="0" w:color="auto"/>
            <w:right w:val="none" w:sz="0" w:space="0" w:color="auto"/>
          </w:divBdr>
        </w:div>
        <w:div w:id="2051224814">
          <w:marLeft w:val="0"/>
          <w:marRight w:val="0"/>
          <w:marTop w:val="0"/>
          <w:marBottom w:val="0"/>
          <w:divBdr>
            <w:top w:val="none" w:sz="0" w:space="0" w:color="auto"/>
            <w:left w:val="none" w:sz="0" w:space="0" w:color="auto"/>
            <w:bottom w:val="none" w:sz="0" w:space="0" w:color="auto"/>
            <w:right w:val="none" w:sz="0" w:space="0" w:color="auto"/>
          </w:divBdr>
        </w:div>
      </w:divsChild>
    </w:div>
    <w:div w:id="713968466">
      <w:bodyDiv w:val="1"/>
      <w:marLeft w:val="0"/>
      <w:marRight w:val="0"/>
      <w:marTop w:val="0"/>
      <w:marBottom w:val="0"/>
      <w:divBdr>
        <w:top w:val="none" w:sz="0" w:space="0" w:color="auto"/>
        <w:left w:val="none" w:sz="0" w:space="0" w:color="auto"/>
        <w:bottom w:val="none" w:sz="0" w:space="0" w:color="auto"/>
        <w:right w:val="none" w:sz="0" w:space="0" w:color="auto"/>
      </w:divBdr>
      <w:divsChild>
        <w:div w:id="1322388338">
          <w:marLeft w:val="0"/>
          <w:marRight w:val="0"/>
          <w:marTop w:val="0"/>
          <w:marBottom w:val="0"/>
          <w:divBdr>
            <w:top w:val="none" w:sz="0" w:space="0" w:color="auto"/>
            <w:left w:val="none" w:sz="0" w:space="0" w:color="auto"/>
            <w:bottom w:val="none" w:sz="0" w:space="0" w:color="auto"/>
            <w:right w:val="none" w:sz="0" w:space="0" w:color="auto"/>
          </w:divBdr>
        </w:div>
      </w:divsChild>
    </w:div>
    <w:div w:id="851335639">
      <w:bodyDiv w:val="1"/>
      <w:marLeft w:val="0"/>
      <w:marRight w:val="0"/>
      <w:marTop w:val="0"/>
      <w:marBottom w:val="0"/>
      <w:divBdr>
        <w:top w:val="none" w:sz="0" w:space="0" w:color="auto"/>
        <w:left w:val="none" w:sz="0" w:space="0" w:color="auto"/>
        <w:bottom w:val="none" w:sz="0" w:space="0" w:color="auto"/>
        <w:right w:val="none" w:sz="0" w:space="0" w:color="auto"/>
      </w:divBdr>
      <w:divsChild>
        <w:div w:id="1091589804">
          <w:marLeft w:val="0"/>
          <w:marRight w:val="0"/>
          <w:marTop w:val="0"/>
          <w:marBottom w:val="0"/>
          <w:divBdr>
            <w:top w:val="none" w:sz="0" w:space="0" w:color="auto"/>
            <w:left w:val="none" w:sz="0" w:space="0" w:color="auto"/>
            <w:bottom w:val="none" w:sz="0" w:space="0" w:color="auto"/>
            <w:right w:val="none" w:sz="0" w:space="0" w:color="auto"/>
          </w:divBdr>
        </w:div>
      </w:divsChild>
    </w:div>
    <w:div w:id="938025472">
      <w:bodyDiv w:val="1"/>
      <w:marLeft w:val="0"/>
      <w:marRight w:val="0"/>
      <w:marTop w:val="0"/>
      <w:marBottom w:val="0"/>
      <w:divBdr>
        <w:top w:val="none" w:sz="0" w:space="0" w:color="auto"/>
        <w:left w:val="none" w:sz="0" w:space="0" w:color="auto"/>
        <w:bottom w:val="none" w:sz="0" w:space="0" w:color="auto"/>
        <w:right w:val="none" w:sz="0" w:space="0" w:color="auto"/>
      </w:divBdr>
      <w:divsChild>
        <w:div w:id="17900853">
          <w:marLeft w:val="0"/>
          <w:marRight w:val="0"/>
          <w:marTop w:val="0"/>
          <w:marBottom w:val="0"/>
          <w:divBdr>
            <w:top w:val="none" w:sz="0" w:space="0" w:color="auto"/>
            <w:left w:val="none" w:sz="0" w:space="0" w:color="auto"/>
            <w:bottom w:val="none" w:sz="0" w:space="0" w:color="auto"/>
            <w:right w:val="none" w:sz="0" w:space="0" w:color="auto"/>
          </w:divBdr>
        </w:div>
        <w:div w:id="30082354">
          <w:marLeft w:val="0"/>
          <w:marRight w:val="0"/>
          <w:marTop w:val="0"/>
          <w:marBottom w:val="0"/>
          <w:divBdr>
            <w:top w:val="none" w:sz="0" w:space="0" w:color="auto"/>
            <w:left w:val="none" w:sz="0" w:space="0" w:color="auto"/>
            <w:bottom w:val="none" w:sz="0" w:space="0" w:color="auto"/>
            <w:right w:val="none" w:sz="0" w:space="0" w:color="auto"/>
          </w:divBdr>
        </w:div>
        <w:div w:id="98070376">
          <w:marLeft w:val="0"/>
          <w:marRight w:val="0"/>
          <w:marTop w:val="0"/>
          <w:marBottom w:val="0"/>
          <w:divBdr>
            <w:top w:val="none" w:sz="0" w:space="0" w:color="auto"/>
            <w:left w:val="none" w:sz="0" w:space="0" w:color="auto"/>
            <w:bottom w:val="none" w:sz="0" w:space="0" w:color="auto"/>
            <w:right w:val="none" w:sz="0" w:space="0" w:color="auto"/>
          </w:divBdr>
        </w:div>
        <w:div w:id="98305991">
          <w:marLeft w:val="0"/>
          <w:marRight w:val="0"/>
          <w:marTop w:val="0"/>
          <w:marBottom w:val="0"/>
          <w:divBdr>
            <w:top w:val="none" w:sz="0" w:space="0" w:color="auto"/>
            <w:left w:val="none" w:sz="0" w:space="0" w:color="auto"/>
            <w:bottom w:val="none" w:sz="0" w:space="0" w:color="auto"/>
            <w:right w:val="none" w:sz="0" w:space="0" w:color="auto"/>
          </w:divBdr>
        </w:div>
        <w:div w:id="114569301">
          <w:marLeft w:val="0"/>
          <w:marRight w:val="0"/>
          <w:marTop w:val="0"/>
          <w:marBottom w:val="0"/>
          <w:divBdr>
            <w:top w:val="none" w:sz="0" w:space="0" w:color="auto"/>
            <w:left w:val="none" w:sz="0" w:space="0" w:color="auto"/>
            <w:bottom w:val="none" w:sz="0" w:space="0" w:color="auto"/>
            <w:right w:val="none" w:sz="0" w:space="0" w:color="auto"/>
          </w:divBdr>
        </w:div>
        <w:div w:id="119886034">
          <w:marLeft w:val="0"/>
          <w:marRight w:val="0"/>
          <w:marTop w:val="0"/>
          <w:marBottom w:val="0"/>
          <w:divBdr>
            <w:top w:val="none" w:sz="0" w:space="0" w:color="auto"/>
            <w:left w:val="none" w:sz="0" w:space="0" w:color="auto"/>
            <w:bottom w:val="none" w:sz="0" w:space="0" w:color="auto"/>
            <w:right w:val="none" w:sz="0" w:space="0" w:color="auto"/>
          </w:divBdr>
        </w:div>
        <w:div w:id="122429396">
          <w:marLeft w:val="0"/>
          <w:marRight w:val="0"/>
          <w:marTop w:val="0"/>
          <w:marBottom w:val="0"/>
          <w:divBdr>
            <w:top w:val="none" w:sz="0" w:space="0" w:color="auto"/>
            <w:left w:val="none" w:sz="0" w:space="0" w:color="auto"/>
            <w:bottom w:val="none" w:sz="0" w:space="0" w:color="auto"/>
            <w:right w:val="none" w:sz="0" w:space="0" w:color="auto"/>
          </w:divBdr>
        </w:div>
        <w:div w:id="176433354">
          <w:marLeft w:val="0"/>
          <w:marRight w:val="0"/>
          <w:marTop w:val="0"/>
          <w:marBottom w:val="0"/>
          <w:divBdr>
            <w:top w:val="none" w:sz="0" w:space="0" w:color="auto"/>
            <w:left w:val="none" w:sz="0" w:space="0" w:color="auto"/>
            <w:bottom w:val="none" w:sz="0" w:space="0" w:color="auto"/>
            <w:right w:val="none" w:sz="0" w:space="0" w:color="auto"/>
          </w:divBdr>
        </w:div>
        <w:div w:id="210769269">
          <w:marLeft w:val="0"/>
          <w:marRight w:val="0"/>
          <w:marTop w:val="0"/>
          <w:marBottom w:val="0"/>
          <w:divBdr>
            <w:top w:val="none" w:sz="0" w:space="0" w:color="auto"/>
            <w:left w:val="none" w:sz="0" w:space="0" w:color="auto"/>
            <w:bottom w:val="none" w:sz="0" w:space="0" w:color="auto"/>
            <w:right w:val="none" w:sz="0" w:space="0" w:color="auto"/>
          </w:divBdr>
        </w:div>
        <w:div w:id="271328484">
          <w:marLeft w:val="0"/>
          <w:marRight w:val="0"/>
          <w:marTop w:val="0"/>
          <w:marBottom w:val="0"/>
          <w:divBdr>
            <w:top w:val="none" w:sz="0" w:space="0" w:color="auto"/>
            <w:left w:val="none" w:sz="0" w:space="0" w:color="auto"/>
            <w:bottom w:val="none" w:sz="0" w:space="0" w:color="auto"/>
            <w:right w:val="none" w:sz="0" w:space="0" w:color="auto"/>
          </w:divBdr>
        </w:div>
        <w:div w:id="290981759">
          <w:marLeft w:val="0"/>
          <w:marRight w:val="0"/>
          <w:marTop w:val="0"/>
          <w:marBottom w:val="0"/>
          <w:divBdr>
            <w:top w:val="none" w:sz="0" w:space="0" w:color="auto"/>
            <w:left w:val="none" w:sz="0" w:space="0" w:color="auto"/>
            <w:bottom w:val="none" w:sz="0" w:space="0" w:color="auto"/>
            <w:right w:val="none" w:sz="0" w:space="0" w:color="auto"/>
          </w:divBdr>
        </w:div>
        <w:div w:id="292445687">
          <w:marLeft w:val="0"/>
          <w:marRight w:val="0"/>
          <w:marTop w:val="0"/>
          <w:marBottom w:val="0"/>
          <w:divBdr>
            <w:top w:val="none" w:sz="0" w:space="0" w:color="auto"/>
            <w:left w:val="none" w:sz="0" w:space="0" w:color="auto"/>
            <w:bottom w:val="none" w:sz="0" w:space="0" w:color="auto"/>
            <w:right w:val="none" w:sz="0" w:space="0" w:color="auto"/>
          </w:divBdr>
        </w:div>
        <w:div w:id="315455194">
          <w:marLeft w:val="0"/>
          <w:marRight w:val="0"/>
          <w:marTop w:val="0"/>
          <w:marBottom w:val="0"/>
          <w:divBdr>
            <w:top w:val="none" w:sz="0" w:space="0" w:color="auto"/>
            <w:left w:val="none" w:sz="0" w:space="0" w:color="auto"/>
            <w:bottom w:val="none" w:sz="0" w:space="0" w:color="auto"/>
            <w:right w:val="none" w:sz="0" w:space="0" w:color="auto"/>
          </w:divBdr>
        </w:div>
        <w:div w:id="323749379">
          <w:marLeft w:val="0"/>
          <w:marRight w:val="0"/>
          <w:marTop w:val="0"/>
          <w:marBottom w:val="0"/>
          <w:divBdr>
            <w:top w:val="none" w:sz="0" w:space="0" w:color="auto"/>
            <w:left w:val="none" w:sz="0" w:space="0" w:color="auto"/>
            <w:bottom w:val="none" w:sz="0" w:space="0" w:color="auto"/>
            <w:right w:val="none" w:sz="0" w:space="0" w:color="auto"/>
          </w:divBdr>
        </w:div>
        <w:div w:id="348263505">
          <w:marLeft w:val="0"/>
          <w:marRight w:val="0"/>
          <w:marTop w:val="0"/>
          <w:marBottom w:val="0"/>
          <w:divBdr>
            <w:top w:val="none" w:sz="0" w:space="0" w:color="auto"/>
            <w:left w:val="none" w:sz="0" w:space="0" w:color="auto"/>
            <w:bottom w:val="none" w:sz="0" w:space="0" w:color="auto"/>
            <w:right w:val="none" w:sz="0" w:space="0" w:color="auto"/>
          </w:divBdr>
        </w:div>
        <w:div w:id="371341829">
          <w:marLeft w:val="0"/>
          <w:marRight w:val="0"/>
          <w:marTop w:val="0"/>
          <w:marBottom w:val="0"/>
          <w:divBdr>
            <w:top w:val="none" w:sz="0" w:space="0" w:color="auto"/>
            <w:left w:val="none" w:sz="0" w:space="0" w:color="auto"/>
            <w:bottom w:val="none" w:sz="0" w:space="0" w:color="auto"/>
            <w:right w:val="none" w:sz="0" w:space="0" w:color="auto"/>
          </w:divBdr>
        </w:div>
        <w:div w:id="404302887">
          <w:marLeft w:val="0"/>
          <w:marRight w:val="0"/>
          <w:marTop w:val="0"/>
          <w:marBottom w:val="0"/>
          <w:divBdr>
            <w:top w:val="none" w:sz="0" w:space="0" w:color="auto"/>
            <w:left w:val="none" w:sz="0" w:space="0" w:color="auto"/>
            <w:bottom w:val="none" w:sz="0" w:space="0" w:color="auto"/>
            <w:right w:val="none" w:sz="0" w:space="0" w:color="auto"/>
          </w:divBdr>
        </w:div>
        <w:div w:id="408888282">
          <w:marLeft w:val="0"/>
          <w:marRight w:val="0"/>
          <w:marTop w:val="0"/>
          <w:marBottom w:val="0"/>
          <w:divBdr>
            <w:top w:val="none" w:sz="0" w:space="0" w:color="auto"/>
            <w:left w:val="none" w:sz="0" w:space="0" w:color="auto"/>
            <w:bottom w:val="none" w:sz="0" w:space="0" w:color="auto"/>
            <w:right w:val="none" w:sz="0" w:space="0" w:color="auto"/>
          </w:divBdr>
        </w:div>
        <w:div w:id="409543463">
          <w:marLeft w:val="0"/>
          <w:marRight w:val="0"/>
          <w:marTop w:val="0"/>
          <w:marBottom w:val="0"/>
          <w:divBdr>
            <w:top w:val="none" w:sz="0" w:space="0" w:color="auto"/>
            <w:left w:val="none" w:sz="0" w:space="0" w:color="auto"/>
            <w:bottom w:val="none" w:sz="0" w:space="0" w:color="auto"/>
            <w:right w:val="none" w:sz="0" w:space="0" w:color="auto"/>
          </w:divBdr>
        </w:div>
        <w:div w:id="438571556">
          <w:marLeft w:val="0"/>
          <w:marRight w:val="0"/>
          <w:marTop w:val="0"/>
          <w:marBottom w:val="0"/>
          <w:divBdr>
            <w:top w:val="none" w:sz="0" w:space="0" w:color="auto"/>
            <w:left w:val="none" w:sz="0" w:space="0" w:color="auto"/>
            <w:bottom w:val="none" w:sz="0" w:space="0" w:color="auto"/>
            <w:right w:val="none" w:sz="0" w:space="0" w:color="auto"/>
          </w:divBdr>
        </w:div>
        <w:div w:id="438984768">
          <w:marLeft w:val="0"/>
          <w:marRight w:val="0"/>
          <w:marTop w:val="0"/>
          <w:marBottom w:val="0"/>
          <w:divBdr>
            <w:top w:val="none" w:sz="0" w:space="0" w:color="auto"/>
            <w:left w:val="none" w:sz="0" w:space="0" w:color="auto"/>
            <w:bottom w:val="none" w:sz="0" w:space="0" w:color="auto"/>
            <w:right w:val="none" w:sz="0" w:space="0" w:color="auto"/>
          </w:divBdr>
        </w:div>
        <w:div w:id="524487818">
          <w:marLeft w:val="0"/>
          <w:marRight w:val="0"/>
          <w:marTop w:val="0"/>
          <w:marBottom w:val="0"/>
          <w:divBdr>
            <w:top w:val="none" w:sz="0" w:space="0" w:color="auto"/>
            <w:left w:val="none" w:sz="0" w:space="0" w:color="auto"/>
            <w:bottom w:val="none" w:sz="0" w:space="0" w:color="auto"/>
            <w:right w:val="none" w:sz="0" w:space="0" w:color="auto"/>
          </w:divBdr>
        </w:div>
        <w:div w:id="678116907">
          <w:marLeft w:val="0"/>
          <w:marRight w:val="0"/>
          <w:marTop w:val="0"/>
          <w:marBottom w:val="0"/>
          <w:divBdr>
            <w:top w:val="none" w:sz="0" w:space="0" w:color="auto"/>
            <w:left w:val="none" w:sz="0" w:space="0" w:color="auto"/>
            <w:bottom w:val="none" w:sz="0" w:space="0" w:color="auto"/>
            <w:right w:val="none" w:sz="0" w:space="0" w:color="auto"/>
          </w:divBdr>
        </w:div>
        <w:div w:id="689529460">
          <w:marLeft w:val="0"/>
          <w:marRight w:val="0"/>
          <w:marTop w:val="0"/>
          <w:marBottom w:val="0"/>
          <w:divBdr>
            <w:top w:val="none" w:sz="0" w:space="0" w:color="auto"/>
            <w:left w:val="none" w:sz="0" w:space="0" w:color="auto"/>
            <w:bottom w:val="none" w:sz="0" w:space="0" w:color="auto"/>
            <w:right w:val="none" w:sz="0" w:space="0" w:color="auto"/>
          </w:divBdr>
        </w:div>
        <w:div w:id="768476711">
          <w:marLeft w:val="0"/>
          <w:marRight w:val="0"/>
          <w:marTop w:val="0"/>
          <w:marBottom w:val="0"/>
          <w:divBdr>
            <w:top w:val="none" w:sz="0" w:space="0" w:color="auto"/>
            <w:left w:val="none" w:sz="0" w:space="0" w:color="auto"/>
            <w:bottom w:val="none" w:sz="0" w:space="0" w:color="auto"/>
            <w:right w:val="none" w:sz="0" w:space="0" w:color="auto"/>
          </w:divBdr>
        </w:div>
        <w:div w:id="771973551">
          <w:marLeft w:val="0"/>
          <w:marRight w:val="0"/>
          <w:marTop w:val="0"/>
          <w:marBottom w:val="0"/>
          <w:divBdr>
            <w:top w:val="none" w:sz="0" w:space="0" w:color="auto"/>
            <w:left w:val="none" w:sz="0" w:space="0" w:color="auto"/>
            <w:bottom w:val="none" w:sz="0" w:space="0" w:color="auto"/>
            <w:right w:val="none" w:sz="0" w:space="0" w:color="auto"/>
          </w:divBdr>
        </w:div>
        <w:div w:id="798769669">
          <w:marLeft w:val="0"/>
          <w:marRight w:val="0"/>
          <w:marTop w:val="0"/>
          <w:marBottom w:val="0"/>
          <w:divBdr>
            <w:top w:val="none" w:sz="0" w:space="0" w:color="auto"/>
            <w:left w:val="none" w:sz="0" w:space="0" w:color="auto"/>
            <w:bottom w:val="none" w:sz="0" w:space="0" w:color="auto"/>
            <w:right w:val="none" w:sz="0" w:space="0" w:color="auto"/>
          </w:divBdr>
        </w:div>
        <w:div w:id="809203947">
          <w:marLeft w:val="0"/>
          <w:marRight w:val="0"/>
          <w:marTop w:val="0"/>
          <w:marBottom w:val="0"/>
          <w:divBdr>
            <w:top w:val="none" w:sz="0" w:space="0" w:color="auto"/>
            <w:left w:val="none" w:sz="0" w:space="0" w:color="auto"/>
            <w:bottom w:val="none" w:sz="0" w:space="0" w:color="auto"/>
            <w:right w:val="none" w:sz="0" w:space="0" w:color="auto"/>
          </w:divBdr>
        </w:div>
        <w:div w:id="874003444">
          <w:marLeft w:val="0"/>
          <w:marRight w:val="0"/>
          <w:marTop w:val="0"/>
          <w:marBottom w:val="0"/>
          <w:divBdr>
            <w:top w:val="none" w:sz="0" w:space="0" w:color="auto"/>
            <w:left w:val="none" w:sz="0" w:space="0" w:color="auto"/>
            <w:bottom w:val="none" w:sz="0" w:space="0" w:color="auto"/>
            <w:right w:val="none" w:sz="0" w:space="0" w:color="auto"/>
          </w:divBdr>
        </w:div>
        <w:div w:id="902444532">
          <w:marLeft w:val="0"/>
          <w:marRight w:val="0"/>
          <w:marTop w:val="0"/>
          <w:marBottom w:val="0"/>
          <w:divBdr>
            <w:top w:val="none" w:sz="0" w:space="0" w:color="auto"/>
            <w:left w:val="none" w:sz="0" w:space="0" w:color="auto"/>
            <w:bottom w:val="none" w:sz="0" w:space="0" w:color="auto"/>
            <w:right w:val="none" w:sz="0" w:space="0" w:color="auto"/>
          </w:divBdr>
        </w:div>
        <w:div w:id="939024845">
          <w:marLeft w:val="0"/>
          <w:marRight w:val="0"/>
          <w:marTop w:val="0"/>
          <w:marBottom w:val="0"/>
          <w:divBdr>
            <w:top w:val="none" w:sz="0" w:space="0" w:color="auto"/>
            <w:left w:val="none" w:sz="0" w:space="0" w:color="auto"/>
            <w:bottom w:val="none" w:sz="0" w:space="0" w:color="auto"/>
            <w:right w:val="none" w:sz="0" w:space="0" w:color="auto"/>
          </w:divBdr>
        </w:div>
        <w:div w:id="962884976">
          <w:marLeft w:val="0"/>
          <w:marRight w:val="0"/>
          <w:marTop w:val="0"/>
          <w:marBottom w:val="0"/>
          <w:divBdr>
            <w:top w:val="none" w:sz="0" w:space="0" w:color="auto"/>
            <w:left w:val="none" w:sz="0" w:space="0" w:color="auto"/>
            <w:bottom w:val="none" w:sz="0" w:space="0" w:color="auto"/>
            <w:right w:val="none" w:sz="0" w:space="0" w:color="auto"/>
          </w:divBdr>
        </w:div>
        <w:div w:id="967273632">
          <w:marLeft w:val="0"/>
          <w:marRight w:val="0"/>
          <w:marTop w:val="0"/>
          <w:marBottom w:val="0"/>
          <w:divBdr>
            <w:top w:val="none" w:sz="0" w:space="0" w:color="auto"/>
            <w:left w:val="none" w:sz="0" w:space="0" w:color="auto"/>
            <w:bottom w:val="none" w:sz="0" w:space="0" w:color="auto"/>
            <w:right w:val="none" w:sz="0" w:space="0" w:color="auto"/>
          </w:divBdr>
        </w:div>
        <w:div w:id="1014843937">
          <w:marLeft w:val="0"/>
          <w:marRight w:val="0"/>
          <w:marTop w:val="0"/>
          <w:marBottom w:val="0"/>
          <w:divBdr>
            <w:top w:val="none" w:sz="0" w:space="0" w:color="auto"/>
            <w:left w:val="none" w:sz="0" w:space="0" w:color="auto"/>
            <w:bottom w:val="none" w:sz="0" w:space="0" w:color="auto"/>
            <w:right w:val="none" w:sz="0" w:space="0" w:color="auto"/>
          </w:divBdr>
        </w:div>
        <w:div w:id="1015886091">
          <w:marLeft w:val="0"/>
          <w:marRight w:val="0"/>
          <w:marTop w:val="0"/>
          <w:marBottom w:val="0"/>
          <w:divBdr>
            <w:top w:val="none" w:sz="0" w:space="0" w:color="auto"/>
            <w:left w:val="none" w:sz="0" w:space="0" w:color="auto"/>
            <w:bottom w:val="none" w:sz="0" w:space="0" w:color="auto"/>
            <w:right w:val="none" w:sz="0" w:space="0" w:color="auto"/>
          </w:divBdr>
        </w:div>
        <w:div w:id="1036614257">
          <w:marLeft w:val="0"/>
          <w:marRight w:val="0"/>
          <w:marTop w:val="0"/>
          <w:marBottom w:val="0"/>
          <w:divBdr>
            <w:top w:val="none" w:sz="0" w:space="0" w:color="auto"/>
            <w:left w:val="none" w:sz="0" w:space="0" w:color="auto"/>
            <w:bottom w:val="none" w:sz="0" w:space="0" w:color="auto"/>
            <w:right w:val="none" w:sz="0" w:space="0" w:color="auto"/>
          </w:divBdr>
        </w:div>
        <w:div w:id="1038776098">
          <w:marLeft w:val="0"/>
          <w:marRight w:val="0"/>
          <w:marTop w:val="0"/>
          <w:marBottom w:val="0"/>
          <w:divBdr>
            <w:top w:val="none" w:sz="0" w:space="0" w:color="auto"/>
            <w:left w:val="none" w:sz="0" w:space="0" w:color="auto"/>
            <w:bottom w:val="none" w:sz="0" w:space="0" w:color="auto"/>
            <w:right w:val="none" w:sz="0" w:space="0" w:color="auto"/>
          </w:divBdr>
        </w:div>
        <w:div w:id="1097864404">
          <w:marLeft w:val="0"/>
          <w:marRight w:val="0"/>
          <w:marTop w:val="0"/>
          <w:marBottom w:val="0"/>
          <w:divBdr>
            <w:top w:val="none" w:sz="0" w:space="0" w:color="auto"/>
            <w:left w:val="none" w:sz="0" w:space="0" w:color="auto"/>
            <w:bottom w:val="none" w:sz="0" w:space="0" w:color="auto"/>
            <w:right w:val="none" w:sz="0" w:space="0" w:color="auto"/>
          </w:divBdr>
        </w:div>
        <w:div w:id="1108623805">
          <w:marLeft w:val="0"/>
          <w:marRight w:val="0"/>
          <w:marTop w:val="0"/>
          <w:marBottom w:val="0"/>
          <w:divBdr>
            <w:top w:val="none" w:sz="0" w:space="0" w:color="auto"/>
            <w:left w:val="none" w:sz="0" w:space="0" w:color="auto"/>
            <w:bottom w:val="none" w:sz="0" w:space="0" w:color="auto"/>
            <w:right w:val="none" w:sz="0" w:space="0" w:color="auto"/>
          </w:divBdr>
        </w:div>
        <w:div w:id="1109467702">
          <w:marLeft w:val="0"/>
          <w:marRight w:val="0"/>
          <w:marTop w:val="0"/>
          <w:marBottom w:val="0"/>
          <w:divBdr>
            <w:top w:val="none" w:sz="0" w:space="0" w:color="auto"/>
            <w:left w:val="none" w:sz="0" w:space="0" w:color="auto"/>
            <w:bottom w:val="none" w:sz="0" w:space="0" w:color="auto"/>
            <w:right w:val="none" w:sz="0" w:space="0" w:color="auto"/>
          </w:divBdr>
        </w:div>
        <w:div w:id="1138111562">
          <w:marLeft w:val="0"/>
          <w:marRight w:val="0"/>
          <w:marTop w:val="0"/>
          <w:marBottom w:val="0"/>
          <w:divBdr>
            <w:top w:val="none" w:sz="0" w:space="0" w:color="auto"/>
            <w:left w:val="none" w:sz="0" w:space="0" w:color="auto"/>
            <w:bottom w:val="none" w:sz="0" w:space="0" w:color="auto"/>
            <w:right w:val="none" w:sz="0" w:space="0" w:color="auto"/>
          </w:divBdr>
        </w:div>
        <w:div w:id="1178622420">
          <w:marLeft w:val="0"/>
          <w:marRight w:val="0"/>
          <w:marTop w:val="0"/>
          <w:marBottom w:val="0"/>
          <w:divBdr>
            <w:top w:val="none" w:sz="0" w:space="0" w:color="auto"/>
            <w:left w:val="none" w:sz="0" w:space="0" w:color="auto"/>
            <w:bottom w:val="none" w:sz="0" w:space="0" w:color="auto"/>
            <w:right w:val="none" w:sz="0" w:space="0" w:color="auto"/>
          </w:divBdr>
        </w:div>
        <w:div w:id="1208222648">
          <w:marLeft w:val="0"/>
          <w:marRight w:val="0"/>
          <w:marTop w:val="0"/>
          <w:marBottom w:val="0"/>
          <w:divBdr>
            <w:top w:val="none" w:sz="0" w:space="0" w:color="auto"/>
            <w:left w:val="none" w:sz="0" w:space="0" w:color="auto"/>
            <w:bottom w:val="none" w:sz="0" w:space="0" w:color="auto"/>
            <w:right w:val="none" w:sz="0" w:space="0" w:color="auto"/>
          </w:divBdr>
        </w:div>
        <w:div w:id="1232033941">
          <w:marLeft w:val="0"/>
          <w:marRight w:val="0"/>
          <w:marTop w:val="0"/>
          <w:marBottom w:val="0"/>
          <w:divBdr>
            <w:top w:val="none" w:sz="0" w:space="0" w:color="auto"/>
            <w:left w:val="none" w:sz="0" w:space="0" w:color="auto"/>
            <w:bottom w:val="none" w:sz="0" w:space="0" w:color="auto"/>
            <w:right w:val="none" w:sz="0" w:space="0" w:color="auto"/>
          </w:divBdr>
        </w:div>
        <w:div w:id="1290434423">
          <w:marLeft w:val="0"/>
          <w:marRight w:val="0"/>
          <w:marTop w:val="0"/>
          <w:marBottom w:val="0"/>
          <w:divBdr>
            <w:top w:val="none" w:sz="0" w:space="0" w:color="auto"/>
            <w:left w:val="none" w:sz="0" w:space="0" w:color="auto"/>
            <w:bottom w:val="none" w:sz="0" w:space="0" w:color="auto"/>
            <w:right w:val="none" w:sz="0" w:space="0" w:color="auto"/>
          </w:divBdr>
        </w:div>
        <w:div w:id="1314525444">
          <w:marLeft w:val="0"/>
          <w:marRight w:val="0"/>
          <w:marTop w:val="0"/>
          <w:marBottom w:val="0"/>
          <w:divBdr>
            <w:top w:val="none" w:sz="0" w:space="0" w:color="auto"/>
            <w:left w:val="none" w:sz="0" w:space="0" w:color="auto"/>
            <w:bottom w:val="none" w:sz="0" w:space="0" w:color="auto"/>
            <w:right w:val="none" w:sz="0" w:space="0" w:color="auto"/>
          </w:divBdr>
        </w:div>
        <w:div w:id="1321614260">
          <w:marLeft w:val="0"/>
          <w:marRight w:val="0"/>
          <w:marTop w:val="0"/>
          <w:marBottom w:val="0"/>
          <w:divBdr>
            <w:top w:val="none" w:sz="0" w:space="0" w:color="auto"/>
            <w:left w:val="none" w:sz="0" w:space="0" w:color="auto"/>
            <w:bottom w:val="none" w:sz="0" w:space="0" w:color="auto"/>
            <w:right w:val="none" w:sz="0" w:space="0" w:color="auto"/>
          </w:divBdr>
        </w:div>
        <w:div w:id="1328554070">
          <w:marLeft w:val="0"/>
          <w:marRight w:val="0"/>
          <w:marTop w:val="0"/>
          <w:marBottom w:val="0"/>
          <w:divBdr>
            <w:top w:val="none" w:sz="0" w:space="0" w:color="auto"/>
            <w:left w:val="none" w:sz="0" w:space="0" w:color="auto"/>
            <w:bottom w:val="none" w:sz="0" w:space="0" w:color="auto"/>
            <w:right w:val="none" w:sz="0" w:space="0" w:color="auto"/>
          </w:divBdr>
        </w:div>
        <w:div w:id="1348676445">
          <w:marLeft w:val="0"/>
          <w:marRight w:val="0"/>
          <w:marTop w:val="0"/>
          <w:marBottom w:val="0"/>
          <w:divBdr>
            <w:top w:val="none" w:sz="0" w:space="0" w:color="auto"/>
            <w:left w:val="none" w:sz="0" w:space="0" w:color="auto"/>
            <w:bottom w:val="none" w:sz="0" w:space="0" w:color="auto"/>
            <w:right w:val="none" w:sz="0" w:space="0" w:color="auto"/>
          </w:divBdr>
        </w:div>
        <w:div w:id="1363283958">
          <w:marLeft w:val="0"/>
          <w:marRight w:val="0"/>
          <w:marTop w:val="0"/>
          <w:marBottom w:val="0"/>
          <w:divBdr>
            <w:top w:val="none" w:sz="0" w:space="0" w:color="auto"/>
            <w:left w:val="none" w:sz="0" w:space="0" w:color="auto"/>
            <w:bottom w:val="none" w:sz="0" w:space="0" w:color="auto"/>
            <w:right w:val="none" w:sz="0" w:space="0" w:color="auto"/>
          </w:divBdr>
        </w:div>
        <w:div w:id="1411807556">
          <w:marLeft w:val="0"/>
          <w:marRight w:val="0"/>
          <w:marTop w:val="0"/>
          <w:marBottom w:val="0"/>
          <w:divBdr>
            <w:top w:val="none" w:sz="0" w:space="0" w:color="auto"/>
            <w:left w:val="none" w:sz="0" w:space="0" w:color="auto"/>
            <w:bottom w:val="none" w:sz="0" w:space="0" w:color="auto"/>
            <w:right w:val="none" w:sz="0" w:space="0" w:color="auto"/>
          </w:divBdr>
        </w:div>
        <w:div w:id="1449858039">
          <w:marLeft w:val="0"/>
          <w:marRight w:val="0"/>
          <w:marTop w:val="0"/>
          <w:marBottom w:val="0"/>
          <w:divBdr>
            <w:top w:val="none" w:sz="0" w:space="0" w:color="auto"/>
            <w:left w:val="none" w:sz="0" w:space="0" w:color="auto"/>
            <w:bottom w:val="none" w:sz="0" w:space="0" w:color="auto"/>
            <w:right w:val="none" w:sz="0" w:space="0" w:color="auto"/>
          </w:divBdr>
        </w:div>
        <w:div w:id="1462920789">
          <w:marLeft w:val="0"/>
          <w:marRight w:val="0"/>
          <w:marTop w:val="0"/>
          <w:marBottom w:val="0"/>
          <w:divBdr>
            <w:top w:val="none" w:sz="0" w:space="0" w:color="auto"/>
            <w:left w:val="none" w:sz="0" w:space="0" w:color="auto"/>
            <w:bottom w:val="none" w:sz="0" w:space="0" w:color="auto"/>
            <w:right w:val="none" w:sz="0" w:space="0" w:color="auto"/>
          </w:divBdr>
        </w:div>
        <w:div w:id="1468010400">
          <w:marLeft w:val="0"/>
          <w:marRight w:val="0"/>
          <w:marTop w:val="0"/>
          <w:marBottom w:val="0"/>
          <w:divBdr>
            <w:top w:val="none" w:sz="0" w:space="0" w:color="auto"/>
            <w:left w:val="none" w:sz="0" w:space="0" w:color="auto"/>
            <w:bottom w:val="none" w:sz="0" w:space="0" w:color="auto"/>
            <w:right w:val="none" w:sz="0" w:space="0" w:color="auto"/>
          </w:divBdr>
        </w:div>
        <w:div w:id="1486553629">
          <w:marLeft w:val="0"/>
          <w:marRight w:val="0"/>
          <w:marTop w:val="0"/>
          <w:marBottom w:val="0"/>
          <w:divBdr>
            <w:top w:val="none" w:sz="0" w:space="0" w:color="auto"/>
            <w:left w:val="none" w:sz="0" w:space="0" w:color="auto"/>
            <w:bottom w:val="none" w:sz="0" w:space="0" w:color="auto"/>
            <w:right w:val="none" w:sz="0" w:space="0" w:color="auto"/>
          </w:divBdr>
        </w:div>
        <w:div w:id="1511992639">
          <w:marLeft w:val="0"/>
          <w:marRight w:val="0"/>
          <w:marTop w:val="0"/>
          <w:marBottom w:val="0"/>
          <w:divBdr>
            <w:top w:val="none" w:sz="0" w:space="0" w:color="auto"/>
            <w:left w:val="none" w:sz="0" w:space="0" w:color="auto"/>
            <w:bottom w:val="none" w:sz="0" w:space="0" w:color="auto"/>
            <w:right w:val="none" w:sz="0" w:space="0" w:color="auto"/>
          </w:divBdr>
        </w:div>
        <w:div w:id="1515610569">
          <w:marLeft w:val="0"/>
          <w:marRight w:val="0"/>
          <w:marTop w:val="0"/>
          <w:marBottom w:val="0"/>
          <w:divBdr>
            <w:top w:val="none" w:sz="0" w:space="0" w:color="auto"/>
            <w:left w:val="none" w:sz="0" w:space="0" w:color="auto"/>
            <w:bottom w:val="none" w:sz="0" w:space="0" w:color="auto"/>
            <w:right w:val="none" w:sz="0" w:space="0" w:color="auto"/>
          </w:divBdr>
        </w:div>
        <w:div w:id="1545024858">
          <w:marLeft w:val="0"/>
          <w:marRight w:val="0"/>
          <w:marTop w:val="0"/>
          <w:marBottom w:val="0"/>
          <w:divBdr>
            <w:top w:val="none" w:sz="0" w:space="0" w:color="auto"/>
            <w:left w:val="none" w:sz="0" w:space="0" w:color="auto"/>
            <w:bottom w:val="none" w:sz="0" w:space="0" w:color="auto"/>
            <w:right w:val="none" w:sz="0" w:space="0" w:color="auto"/>
          </w:divBdr>
        </w:div>
        <w:div w:id="1558471992">
          <w:marLeft w:val="0"/>
          <w:marRight w:val="0"/>
          <w:marTop w:val="0"/>
          <w:marBottom w:val="0"/>
          <w:divBdr>
            <w:top w:val="none" w:sz="0" w:space="0" w:color="auto"/>
            <w:left w:val="none" w:sz="0" w:space="0" w:color="auto"/>
            <w:bottom w:val="none" w:sz="0" w:space="0" w:color="auto"/>
            <w:right w:val="none" w:sz="0" w:space="0" w:color="auto"/>
          </w:divBdr>
        </w:div>
        <w:div w:id="1636250884">
          <w:marLeft w:val="0"/>
          <w:marRight w:val="0"/>
          <w:marTop w:val="0"/>
          <w:marBottom w:val="0"/>
          <w:divBdr>
            <w:top w:val="none" w:sz="0" w:space="0" w:color="auto"/>
            <w:left w:val="none" w:sz="0" w:space="0" w:color="auto"/>
            <w:bottom w:val="none" w:sz="0" w:space="0" w:color="auto"/>
            <w:right w:val="none" w:sz="0" w:space="0" w:color="auto"/>
          </w:divBdr>
        </w:div>
        <w:div w:id="1693459538">
          <w:marLeft w:val="0"/>
          <w:marRight w:val="0"/>
          <w:marTop w:val="0"/>
          <w:marBottom w:val="0"/>
          <w:divBdr>
            <w:top w:val="none" w:sz="0" w:space="0" w:color="auto"/>
            <w:left w:val="none" w:sz="0" w:space="0" w:color="auto"/>
            <w:bottom w:val="none" w:sz="0" w:space="0" w:color="auto"/>
            <w:right w:val="none" w:sz="0" w:space="0" w:color="auto"/>
          </w:divBdr>
        </w:div>
        <w:div w:id="1722826790">
          <w:marLeft w:val="0"/>
          <w:marRight w:val="0"/>
          <w:marTop w:val="0"/>
          <w:marBottom w:val="0"/>
          <w:divBdr>
            <w:top w:val="none" w:sz="0" w:space="0" w:color="auto"/>
            <w:left w:val="none" w:sz="0" w:space="0" w:color="auto"/>
            <w:bottom w:val="none" w:sz="0" w:space="0" w:color="auto"/>
            <w:right w:val="none" w:sz="0" w:space="0" w:color="auto"/>
          </w:divBdr>
        </w:div>
        <w:div w:id="1731657871">
          <w:marLeft w:val="0"/>
          <w:marRight w:val="0"/>
          <w:marTop w:val="0"/>
          <w:marBottom w:val="0"/>
          <w:divBdr>
            <w:top w:val="none" w:sz="0" w:space="0" w:color="auto"/>
            <w:left w:val="none" w:sz="0" w:space="0" w:color="auto"/>
            <w:bottom w:val="none" w:sz="0" w:space="0" w:color="auto"/>
            <w:right w:val="none" w:sz="0" w:space="0" w:color="auto"/>
          </w:divBdr>
        </w:div>
        <w:div w:id="1776553174">
          <w:marLeft w:val="0"/>
          <w:marRight w:val="0"/>
          <w:marTop w:val="0"/>
          <w:marBottom w:val="0"/>
          <w:divBdr>
            <w:top w:val="none" w:sz="0" w:space="0" w:color="auto"/>
            <w:left w:val="none" w:sz="0" w:space="0" w:color="auto"/>
            <w:bottom w:val="none" w:sz="0" w:space="0" w:color="auto"/>
            <w:right w:val="none" w:sz="0" w:space="0" w:color="auto"/>
          </w:divBdr>
        </w:div>
        <w:div w:id="1776901848">
          <w:marLeft w:val="0"/>
          <w:marRight w:val="0"/>
          <w:marTop w:val="0"/>
          <w:marBottom w:val="0"/>
          <w:divBdr>
            <w:top w:val="none" w:sz="0" w:space="0" w:color="auto"/>
            <w:left w:val="none" w:sz="0" w:space="0" w:color="auto"/>
            <w:bottom w:val="none" w:sz="0" w:space="0" w:color="auto"/>
            <w:right w:val="none" w:sz="0" w:space="0" w:color="auto"/>
          </w:divBdr>
        </w:div>
        <w:div w:id="1803383933">
          <w:marLeft w:val="0"/>
          <w:marRight w:val="0"/>
          <w:marTop w:val="0"/>
          <w:marBottom w:val="0"/>
          <w:divBdr>
            <w:top w:val="none" w:sz="0" w:space="0" w:color="auto"/>
            <w:left w:val="none" w:sz="0" w:space="0" w:color="auto"/>
            <w:bottom w:val="none" w:sz="0" w:space="0" w:color="auto"/>
            <w:right w:val="none" w:sz="0" w:space="0" w:color="auto"/>
          </w:divBdr>
        </w:div>
        <w:div w:id="1845778047">
          <w:marLeft w:val="0"/>
          <w:marRight w:val="0"/>
          <w:marTop w:val="0"/>
          <w:marBottom w:val="0"/>
          <w:divBdr>
            <w:top w:val="none" w:sz="0" w:space="0" w:color="auto"/>
            <w:left w:val="none" w:sz="0" w:space="0" w:color="auto"/>
            <w:bottom w:val="none" w:sz="0" w:space="0" w:color="auto"/>
            <w:right w:val="none" w:sz="0" w:space="0" w:color="auto"/>
          </w:divBdr>
        </w:div>
        <w:div w:id="1895502180">
          <w:marLeft w:val="0"/>
          <w:marRight w:val="0"/>
          <w:marTop w:val="0"/>
          <w:marBottom w:val="0"/>
          <w:divBdr>
            <w:top w:val="none" w:sz="0" w:space="0" w:color="auto"/>
            <w:left w:val="none" w:sz="0" w:space="0" w:color="auto"/>
            <w:bottom w:val="none" w:sz="0" w:space="0" w:color="auto"/>
            <w:right w:val="none" w:sz="0" w:space="0" w:color="auto"/>
          </w:divBdr>
        </w:div>
        <w:div w:id="1943411805">
          <w:marLeft w:val="0"/>
          <w:marRight w:val="0"/>
          <w:marTop w:val="0"/>
          <w:marBottom w:val="0"/>
          <w:divBdr>
            <w:top w:val="none" w:sz="0" w:space="0" w:color="auto"/>
            <w:left w:val="none" w:sz="0" w:space="0" w:color="auto"/>
            <w:bottom w:val="none" w:sz="0" w:space="0" w:color="auto"/>
            <w:right w:val="none" w:sz="0" w:space="0" w:color="auto"/>
          </w:divBdr>
        </w:div>
        <w:div w:id="1974403751">
          <w:marLeft w:val="0"/>
          <w:marRight w:val="0"/>
          <w:marTop w:val="0"/>
          <w:marBottom w:val="0"/>
          <w:divBdr>
            <w:top w:val="none" w:sz="0" w:space="0" w:color="auto"/>
            <w:left w:val="none" w:sz="0" w:space="0" w:color="auto"/>
            <w:bottom w:val="none" w:sz="0" w:space="0" w:color="auto"/>
            <w:right w:val="none" w:sz="0" w:space="0" w:color="auto"/>
          </w:divBdr>
        </w:div>
        <w:div w:id="2023389535">
          <w:marLeft w:val="0"/>
          <w:marRight w:val="0"/>
          <w:marTop w:val="0"/>
          <w:marBottom w:val="0"/>
          <w:divBdr>
            <w:top w:val="none" w:sz="0" w:space="0" w:color="auto"/>
            <w:left w:val="none" w:sz="0" w:space="0" w:color="auto"/>
            <w:bottom w:val="none" w:sz="0" w:space="0" w:color="auto"/>
            <w:right w:val="none" w:sz="0" w:space="0" w:color="auto"/>
          </w:divBdr>
        </w:div>
        <w:div w:id="2114006998">
          <w:marLeft w:val="0"/>
          <w:marRight w:val="0"/>
          <w:marTop w:val="0"/>
          <w:marBottom w:val="0"/>
          <w:divBdr>
            <w:top w:val="none" w:sz="0" w:space="0" w:color="auto"/>
            <w:left w:val="none" w:sz="0" w:space="0" w:color="auto"/>
            <w:bottom w:val="none" w:sz="0" w:space="0" w:color="auto"/>
            <w:right w:val="none" w:sz="0" w:space="0" w:color="auto"/>
          </w:divBdr>
        </w:div>
      </w:divsChild>
    </w:div>
    <w:div w:id="951284550">
      <w:bodyDiv w:val="1"/>
      <w:marLeft w:val="0"/>
      <w:marRight w:val="0"/>
      <w:marTop w:val="0"/>
      <w:marBottom w:val="0"/>
      <w:divBdr>
        <w:top w:val="none" w:sz="0" w:space="0" w:color="auto"/>
        <w:left w:val="none" w:sz="0" w:space="0" w:color="auto"/>
        <w:bottom w:val="none" w:sz="0" w:space="0" w:color="auto"/>
        <w:right w:val="none" w:sz="0" w:space="0" w:color="auto"/>
      </w:divBdr>
      <w:divsChild>
        <w:div w:id="339897186">
          <w:marLeft w:val="0"/>
          <w:marRight w:val="0"/>
          <w:marTop w:val="0"/>
          <w:marBottom w:val="0"/>
          <w:divBdr>
            <w:top w:val="none" w:sz="0" w:space="0" w:color="auto"/>
            <w:left w:val="none" w:sz="0" w:space="0" w:color="auto"/>
            <w:bottom w:val="none" w:sz="0" w:space="0" w:color="auto"/>
            <w:right w:val="none" w:sz="0" w:space="0" w:color="auto"/>
          </w:divBdr>
        </w:div>
      </w:divsChild>
    </w:div>
    <w:div w:id="1105421107">
      <w:bodyDiv w:val="1"/>
      <w:marLeft w:val="0"/>
      <w:marRight w:val="0"/>
      <w:marTop w:val="0"/>
      <w:marBottom w:val="0"/>
      <w:divBdr>
        <w:top w:val="none" w:sz="0" w:space="0" w:color="auto"/>
        <w:left w:val="none" w:sz="0" w:space="0" w:color="auto"/>
        <w:bottom w:val="none" w:sz="0" w:space="0" w:color="auto"/>
        <w:right w:val="none" w:sz="0" w:space="0" w:color="auto"/>
      </w:divBdr>
      <w:divsChild>
        <w:div w:id="1167601132">
          <w:marLeft w:val="0"/>
          <w:marRight w:val="0"/>
          <w:marTop w:val="0"/>
          <w:marBottom w:val="0"/>
          <w:divBdr>
            <w:top w:val="none" w:sz="0" w:space="0" w:color="auto"/>
            <w:left w:val="none" w:sz="0" w:space="0" w:color="auto"/>
            <w:bottom w:val="none" w:sz="0" w:space="0" w:color="auto"/>
            <w:right w:val="none" w:sz="0" w:space="0" w:color="auto"/>
          </w:divBdr>
        </w:div>
      </w:divsChild>
    </w:div>
    <w:div w:id="1164122866">
      <w:bodyDiv w:val="1"/>
      <w:marLeft w:val="0"/>
      <w:marRight w:val="0"/>
      <w:marTop w:val="0"/>
      <w:marBottom w:val="0"/>
      <w:divBdr>
        <w:top w:val="none" w:sz="0" w:space="0" w:color="auto"/>
        <w:left w:val="none" w:sz="0" w:space="0" w:color="auto"/>
        <w:bottom w:val="none" w:sz="0" w:space="0" w:color="auto"/>
        <w:right w:val="none" w:sz="0" w:space="0" w:color="auto"/>
      </w:divBdr>
      <w:divsChild>
        <w:div w:id="310598200">
          <w:marLeft w:val="0"/>
          <w:marRight w:val="0"/>
          <w:marTop w:val="0"/>
          <w:marBottom w:val="0"/>
          <w:divBdr>
            <w:top w:val="none" w:sz="0" w:space="0" w:color="auto"/>
            <w:left w:val="none" w:sz="0" w:space="0" w:color="auto"/>
            <w:bottom w:val="none" w:sz="0" w:space="0" w:color="auto"/>
            <w:right w:val="none" w:sz="0" w:space="0" w:color="auto"/>
          </w:divBdr>
        </w:div>
      </w:divsChild>
    </w:div>
    <w:div w:id="1348631545">
      <w:bodyDiv w:val="1"/>
      <w:marLeft w:val="0"/>
      <w:marRight w:val="0"/>
      <w:marTop w:val="0"/>
      <w:marBottom w:val="0"/>
      <w:divBdr>
        <w:top w:val="none" w:sz="0" w:space="0" w:color="auto"/>
        <w:left w:val="none" w:sz="0" w:space="0" w:color="auto"/>
        <w:bottom w:val="none" w:sz="0" w:space="0" w:color="auto"/>
        <w:right w:val="none" w:sz="0" w:space="0" w:color="auto"/>
      </w:divBdr>
      <w:divsChild>
        <w:div w:id="1784307007">
          <w:marLeft w:val="0"/>
          <w:marRight w:val="0"/>
          <w:marTop w:val="0"/>
          <w:marBottom w:val="0"/>
          <w:divBdr>
            <w:top w:val="none" w:sz="0" w:space="0" w:color="auto"/>
            <w:left w:val="none" w:sz="0" w:space="0" w:color="auto"/>
            <w:bottom w:val="none" w:sz="0" w:space="0" w:color="auto"/>
            <w:right w:val="none" w:sz="0" w:space="0" w:color="auto"/>
          </w:divBdr>
        </w:div>
      </w:divsChild>
    </w:div>
    <w:div w:id="1395078521">
      <w:bodyDiv w:val="1"/>
      <w:marLeft w:val="0"/>
      <w:marRight w:val="0"/>
      <w:marTop w:val="0"/>
      <w:marBottom w:val="0"/>
      <w:divBdr>
        <w:top w:val="none" w:sz="0" w:space="0" w:color="auto"/>
        <w:left w:val="none" w:sz="0" w:space="0" w:color="auto"/>
        <w:bottom w:val="none" w:sz="0" w:space="0" w:color="auto"/>
        <w:right w:val="none" w:sz="0" w:space="0" w:color="auto"/>
      </w:divBdr>
      <w:divsChild>
        <w:div w:id="1206797359">
          <w:marLeft w:val="0"/>
          <w:marRight w:val="0"/>
          <w:marTop w:val="0"/>
          <w:marBottom w:val="0"/>
          <w:divBdr>
            <w:top w:val="none" w:sz="0" w:space="0" w:color="auto"/>
            <w:left w:val="none" w:sz="0" w:space="0" w:color="auto"/>
            <w:bottom w:val="none" w:sz="0" w:space="0" w:color="auto"/>
            <w:right w:val="none" w:sz="0" w:space="0" w:color="auto"/>
          </w:divBdr>
        </w:div>
      </w:divsChild>
    </w:div>
    <w:div w:id="1402021415">
      <w:bodyDiv w:val="1"/>
      <w:marLeft w:val="0"/>
      <w:marRight w:val="0"/>
      <w:marTop w:val="0"/>
      <w:marBottom w:val="0"/>
      <w:divBdr>
        <w:top w:val="none" w:sz="0" w:space="0" w:color="auto"/>
        <w:left w:val="none" w:sz="0" w:space="0" w:color="auto"/>
        <w:bottom w:val="none" w:sz="0" w:space="0" w:color="auto"/>
        <w:right w:val="none" w:sz="0" w:space="0" w:color="auto"/>
      </w:divBdr>
      <w:divsChild>
        <w:div w:id="1121150211">
          <w:marLeft w:val="0"/>
          <w:marRight w:val="0"/>
          <w:marTop w:val="0"/>
          <w:marBottom w:val="0"/>
          <w:divBdr>
            <w:top w:val="none" w:sz="0" w:space="0" w:color="auto"/>
            <w:left w:val="none" w:sz="0" w:space="0" w:color="auto"/>
            <w:bottom w:val="none" w:sz="0" w:space="0" w:color="auto"/>
            <w:right w:val="none" w:sz="0" w:space="0" w:color="auto"/>
          </w:divBdr>
        </w:div>
      </w:divsChild>
    </w:div>
    <w:div w:id="1527939052">
      <w:bodyDiv w:val="1"/>
      <w:marLeft w:val="0"/>
      <w:marRight w:val="0"/>
      <w:marTop w:val="0"/>
      <w:marBottom w:val="0"/>
      <w:divBdr>
        <w:top w:val="none" w:sz="0" w:space="0" w:color="auto"/>
        <w:left w:val="none" w:sz="0" w:space="0" w:color="auto"/>
        <w:bottom w:val="none" w:sz="0" w:space="0" w:color="auto"/>
        <w:right w:val="none" w:sz="0" w:space="0" w:color="auto"/>
      </w:divBdr>
      <w:divsChild>
        <w:div w:id="1861360524">
          <w:marLeft w:val="0"/>
          <w:marRight w:val="0"/>
          <w:marTop w:val="0"/>
          <w:marBottom w:val="0"/>
          <w:divBdr>
            <w:top w:val="none" w:sz="0" w:space="0" w:color="auto"/>
            <w:left w:val="none" w:sz="0" w:space="0" w:color="auto"/>
            <w:bottom w:val="none" w:sz="0" w:space="0" w:color="auto"/>
            <w:right w:val="none" w:sz="0" w:space="0" w:color="auto"/>
          </w:divBdr>
        </w:div>
      </w:divsChild>
    </w:div>
    <w:div w:id="1627008950">
      <w:bodyDiv w:val="1"/>
      <w:marLeft w:val="0"/>
      <w:marRight w:val="0"/>
      <w:marTop w:val="0"/>
      <w:marBottom w:val="0"/>
      <w:divBdr>
        <w:top w:val="none" w:sz="0" w:space="0" w:color="auto"/>
        <w:left w:val="none" w:sz="0" w:space="0" w:color="auto"/>
        <w:bottom w:val="none" w:sz="0" w:space="0" w:color="auto"/>
        <w:right w:val="none" w:sz="0" w:space="0" w:color="auto"/>
      </w:divBdr>
      <w:divsChild>
        <w:div w:id="186871541">
          <w:marLeft w:val="0"/>
          <w:marRight w:val="0"/>
          <w:marTop w:val="0"/>
          <w:marBottom w:val="0"/>
          <w:divBdr>
            <w:top w:val="none" w:sz="0" w:space="0" w:color="auto"/>
            <w:left w:val="none" w:sz="0" w:space="0" w:color="auto"/>
            <w:bottom w:val="none" w:sz="0" w:space="0" w:color="auto"/>
            <w:right w:val="none" w:sz="0" w:space="0" w:color="auto"/>
          </w:divBdr>
        </w:div>
      </w:divsChild>
    </w:div>
    <w:div w:id="1653632749">
      <w:bodyDiv w:val="1"/>
      <w:marLeft w:val="0"/>
      <w:marRight w:val="0"/>
      <w:marTop w:val="0"/>
      <w:marBottom w:val="0"/>
      <w:divBdr>
        <w:top w:val="none" w:sz="0" w:space="0" w:color="auto"/>
        <w:left w:val="none" w:sz="0" w:space="0" w:color="auto"/>
        <w:bottom w:val="none" w:sz="0" w:space="0" w:color="auto"/>
        <w:right w:val="none" w:sz="0" w:space="0" w:color="auto"/>
      </w:divBdr>
      <w:divsChild>
        <w:div w:id="3869610">
          <w:marLeft w:val="0"/>
          <w:marRight w:val="0"/>
          <w:marTop w:val="0"/>
          <w:marBottom w:val="0"/>
          <w:divBdr>
            <w:top w:val="none" w:sz="0" w:space="0" w:color="auto"/>
            <w:left w:val="none" w:sz="0" w:space="0" w:color="auto"/>
            <w:bottom w:val="none" w:sz="0" w:space="0" w:color="auto"/>
            <w:right w:val="none" w:sz="0" w:space="0" w:color="auto"/>
          </w:divBdr>
        </w:div>
        <w:div w:id="13774587">
          <w:marLeft w:val="0"/>
          <w:marRight w:val="0"/>
          <w:marTop w:val="0"/>
          <w:marBottom w:val="0"/>
          <w:divBdr>
            <w:top w:val="none" w:sz="0" w:space="0" w:color="auto"/>
            <w:left w:val="none" w:sz="0" w:space="0" w:color="auto"/>
            <w:bottom w:val="none" w:sz="0" w:space="0" w:color="auto"/>
            <w:right w:val="none" w:sz="0" w:space="0" w:color="auto"/>
          </w:divBdr>
        </w:div>
        <w:div w:id="83502046">
          <w:marLeft w:val="0"/>
          <w:marRight w:val="0"/>
          <w:marTop w:val="0"/>
          <w:marBottom w:val="0"/>
          <w:divBdr>
            <w:top w:val="none" w:sz="0" w:space="0" w:color="auto"/>
            <w:left w:val="none" w:sz="0" w:space="0" w:color="auto"/>
            <w:bottom w:val="none" w:sz="0" w:space="0" w:color="auto"/>
            <w:right w:val="none" w:sz="0" w:space="0" w:color="auto"/>
          </w:divBdr>
        </w:div>
        <w:div w:id="84032957">
          <w:marLeft w:val="0"/>
          <w:marRight w:val="0"/>
          <w:marTop w:val="0"/>
          <w:marBottom w:val="0"/>
          <w:divBdr>
            <w:top w:val="none" w:sz="0" w:space="0" w:color="auto"/>
            <w:left w:val="none" w:sz="0" w:space="0" w:color="auto"/>
            <w:bottom w:val="none" w:sz="0" w:space="0" w:color="auto"/>
            <w:right w:val="none" w:sz="0" w:space="0" w:color="auto"/>
          </w:divBdr>
        </w:div>
        <w:div w:id="115680547">
          <w:marLeft w:val="0"/>
          <w:marRight w:val="0"/>
          <w:marTop w:val="0"/>
          <w:marBottom w:val="0"/>
          <w:divBdr>
            <w:top w:val="none" w:sz="0" w:space="0" w:color="auto"/>
            <w:left w:val="none" w:sz="0" w:space="0" w:color="auto"/>
            <w:bottom w:val="none" w:sz="0" w:space="0" w:color="auto"/>
            <w:right w:val="none" w:sz="0" w:space="0" w:color="auto"/>
          </w:divBdr>
        </w:div>
        <w:div w:id="127748623">
          <w:marLeft w:val="0"/>
          <w:marRight w:val="0"/>
          <w:marTop w:val="0"/>
          <w:marBottom w:val="0"/>
          <w:divBdr>
            <w:top w:val="none" w:sz="0" w:space="0" w:color="auto"/>
            <w:left w:val="none" w:sz="0" w:space="0" w:color="auto"/>
            <w:bottom w:val="none" w:sz="0" w:space="0" w:color="auto"/>
            <w:right w:val="none" w:sz="0" w:space="0" w:color="auto"/>
          </w:divBdr>
        </w:div>
        <w:div w:id="180752210">
          <w:marLeft w:val="0"/>
          <w:marRight w:val="0"/>
          <w:marTop w:val="0"/>
          <w:marBottom w:val="0"/>
          <w:divBdr>
            <w:top w:val="none" w:sz="0" w:space="0" w:color="auto"/>
            <w:left w:val="none" w:sz="0" w:space="0" w:color="auto"/>
            <w:bottom w:val="none" w:sz="0" w:space="0" w:color="auto"/>
            <w:right w:val="none" w:sz="0" w:space="0" w:color="auto"/>
          </w:divBdr>
        </w:div>
        <w:div w:id="192619836">
          <w:marLeft w:val="0"/>
          <w:marRight w:val="0"/>
          <w:marTop w:val="0"/>
          <w:marBottom w:val="0"/>
          <w:divBdr>
            <w:top w:val="none" w:sz="0" w:space="0" w:color="auto"/>
            <w:left w:val="none" w:sz="0" w:space="0" w:color="auto"/>
            <w:bottom w:val="none" w:sz="0" w:space="0" w:color="auto"/>
            <w:right w:val="none" w:sz="0" w:space="0" w:color="auto"/>
          </w:divBdr>
        </w:div>
        <w:div w:id="208030528">
          <w:marLeft w:val="0"/>
          <w:marRight w:val="0"/>
          <w:marTop w:val="0"/>
          <w:marBottom w:val="0"/>
          <w:divBdr>
            <w:top w:val="none" w:sz="0" w:space="0" w:color="auto"/>
            <w:left w:val="none" w:sz="0" w:space="0" w:color="auto"/>
            <w:bottom w:val="none" w:sz="0" w:space="0" w:color="auto"/>
            <w:right w:val="none" w:sz="0" w:space="0" w:color="auto"/>
          </w:divBdr>
        </w:div>
        <w:div w:id="308291617">
          <w:marLeft w:val="0"/>
          <w:marRight w:val="0"/>
          <w:marTop w:val="0"/>
          <w:marBottom w:val="0"/>
          <w:divBdr>
            <w:top w:val="none" w:sz="0" w:space="0" w:color="auto"/>
            <w:left w:val="none" w:sz="0" w:space="0" w:color="auto"/>
            <w:bottom w:val="none" w:sz="0" w:space="0" w:color="auto"/>
            <w:right w:val="none" w:sz="0" w:space="0" w:color="auto"/>
          </w:divBdr>
        </w:div>
        <w:div w:id="356590801">
          <w:marLeft w:val="0"/>
          <w:marRight w:val="0"/>
          <w:marTop w:val="0"/>
          <w:marBottom w:val="0"/>
          <w:divBdr>
            <w:top w:val="none" w:sz="0" w:space="0" w:color="auto"/>
            <w:left w:val="none" w:sz="0" w:space="0" w:color="auto"/>
            <w:bottom w:val="none" w:sz="0" w:space="0" w:color="auto"/>
            <w:right w:val="none" w:sz="0" w:space="0" w:color="auto"/>
          </w:divBdr>
        </w:div>
        <w:div w:id="501555736">
          <w:marLeft w:val="0"/>
          <w:marRight w:val="0"/>
          <w:marTop w:val="0"/>
          <w:marBottom w:val="0"/>
          <w:divBdr>
            <w:top w:val="none" w:sz="0" w:space="0" w:color="auto"/>
            <w:left w:val="none" w:sz="0" w:space="0" w:color="auto"/>
            <w:bottom w:val="none" w:sz="0" w:space="0" w:color="auto"/>
            <w:right w:val="none" w:sz="0" w:space="0" w:color="auto"/>
          </w:divBdr>
        </w:div>
        <w:div w:id="551429842">
          <w:marLeft w:val="0"/>
          <w:marRight w:val="0"/>
          <w:marTop w:val="0"/>
          <w:marBottom w:val="0"/>
          <w:divBdr>
            <w:top w:val="none" w:sz="0" w:space="0" w:color="auto"/>
            <w:left w:val="none" w:sz="0" w:space="0" w:color="auto"/>
            <w:bottom w:val="none" w:sz="0" w:space="0" w:color="auto"/>
            <w:right w:val="none" w:sz="0" w:space="0" w:color="auto"/>
          </w:divBdr>
        </w:div>
        <w:div w:id="560601477">
          <w:marLeft w:val="0"/>
          <w:marRight w:val="0"/>
          <w:marTop w:val="0"/>
          <w:marBottom w:val="0"/>
          <w:divBdr>
            <w:top w:val="none" w:sz="0" w:space="0" w:color="auto"/>
            <w:left w:val="none" w:sz="0" w:space="0" w:color="auto"/>
            <w:bottom w:val="none" w:sz="0" w:space="0" w:color="auto"/>
            <w:right w:val="none" w:sz="0" w:space="0" w:color="auto"/>
          </w:divBdr>
        </w:div>
        <w:div w:id="564141192">
          <w:marLeft w:val="0"/>
          <w:marRight w:val="0"/>
          <w:marTop w:val="0"/>
          <w:marBottom w:val="0"/>
          <w:divBdr>
            <w:top w:val="none" w:sz="0" w:space="0" w:color="auto"/>
            <w:left w:val="none" w:sz="0" w:space="0" w:color="auto"/>
            <w:bottom w:val="none" w:sz="0" w:space="0" w:color="auto"/>
            <w:right w:val="none" w:sz="0" w:space="0" w:color="auto"/>
          </w:divBdr>
        </w:div>
        <w:div w:id="614216318">
          <w:marLeft w:val="0"/>
          <w:marRight w:val="0"/>
          <w:marTop w:val="0"/>
          <w:marBottom w:val="0"/>
          <w:divBdr>
            <w:top w:val="none" w:sz="0" w:space="0" w:color="auto"/>
            <w:left w:val="none" w:sz="0" w:space="0" w:color="auto"/>
            <w:bottom w:val="none" w:sz="0" w:space="0" w:color="auto"/>
            <w:right w:val="none" w:sz="0" w:space="0" w:color="auto"/>
          </w:divBdr>
        </w:div>
        <w:div w:id="618418125">
          <w:marLeft w:val="0"/>
          <w:marRight w:val="0"/>
          <w:marTop w:val="0"/>
          <w:marBottom w:val="0"/>
          <w:divBdr>
            <w:top w:val="none" w:sz="0" w:space="0" w:color="auto"/>
            <w:left w:val="none" w:sz="0" w:space="0" w:color="auto"/>
            <w:bottom w:val="none" w:sz="0" w:space="0" w:color="auto"/>
            <w:right w:val="none" w:sz="0" w:space="0" w:color="auto"/>
          </w:divBdr>
        </w:div>
        <w:div w:id="634409622">
          <w:marLeft w:val="0"/>
          <w:marRight w:val="0"/>
          <w:marTop w:val="0"/>
          <w:marBottom w:val="0"/>
          <w:divBdr>
            <w:top w:val="none" w:sz="0" w:space="0" w:color="auto"/>
            <w:left w:val="none" w:sz="0" w:space="0" w:color="auto"/>
            <w:bottom w:val="none" w:sz="0" w:space="0" w:color="auto"/>
            <w:right w:val="none" w:sz="0" w:space="0" w:color="auto"/>
          </w:divBdr>
        </w:div>
        <w:div w:id="647712109">
          <w:marLeft w:val="0"/>
          <w:marRight w:val="0"/>
          <w:marTop w:val="0"/>
          <w:marBottom w:val="0"/>
          <w:divBdr>
            <w:top w:val="none" w:sz="0" w:space="0" w:color="auto"/>
            <w:left w:val="none" w:sz="0" w:space="0" w:color="auto"/>
            <w:bottom w:val="none" w:sz="0" w:space="0" w:color="auto"/>
            <w:right w:val="none" w:sz="0" w:space="0" w:color="auto"/>
          </w:divBdr>
        </w:div>
        <w:div w:id="719598000">
          <w:marLeft w:val="0"/>
          <w:marRight w:val="0"/>
          <w:marTop w:val="0"/>
          <w:marBottom w:val="0"/>
          <w:divBdr>
            <w:top w:val="none" w:sz="0" w:space="0" w:color="auto"/>
            <w:left w:val="none" w:sz="0" w:space="0" w:color="auto"/>
            <w:bottom w:val="none" w:sz="0" w:space="0" w:color="auto"/>
            <w:right w:val="none" w:sz="0" w:space="0" w:color="auto"/>
          </w:divBdr>
        </w:div>
        <w:div w:id="724065748">
          <w:marLeft w:val="0"/>
          <w:marRight w:val="0"/>
          <w:marTop w:val="0"/>
          <w:marBottom w:val="0"/>
          <w:divBdr>
            <w:top w:val="none" w:sz="0" w:space="0" w:color="auto"/>
            <w:left w:val="none" w:sz="0" w:space="0" w:color="auto"/>
            <w:bottom w:val="none" w:sz="0" w:space="0" w:color="auto"/>
            <w:right w:val="none" w:sz="0" w:space="0" w:color="auto"/>
          </w:divBdr>
        </w:div>
        <w:div w:id="766582156">
          <w:marLeft w:val="0"/>
          <w:marRight w:val="0"/>
          <w:marTop w:val="0"/>
          <w:marBottom w:val="0"/>
          <w:divBdr>
            <w:top w:val="none" w:sz="0" w:space="0" w:color="auto"/>
            <w:left w:val="none" w:sz="0" w:space="0" w:color="auto"/>
            <w:bottom w:val="none" w:sz="0" w:space="0" w:color="auto"/>
            <w:right w:val="none" w:sz="0" w:space="0" w:color="auto"/>
          </w:divBdr>
        </w:div>
        <w:div w:id="767504051">
          <w:marLeft w:val="0"/>
          <w:marRight w:val="0"/>
          <w:marTop w:val="0"/>
          <w:marBottom w:val="0"/>
          <w:divBdr>
            <w:top w:val="none" w:sz="0" w:space="0" w:color="auto"/>
            <w:left w:val="none" w:sz="0" w:space="0" w:color="auto"/>
            <w:bottom w:val="none" w:sz="0" w:space="0" w:color="auto"/>
            <w:right w:val="none" w:sz="0" w:space="0" w:color="auto"/>
          </w:divBdr>
        </w:div>
        <w:div w:id="802625011">
          <w:marLeft w:val="0"/>
          <w:marRight w:val="0"/>
          <w:marTop w:val="0"/>
          <w:marBottom w:val="0"/>
          <w:divBdr>
            <w:top w:val="none" w:sz="0" w:space="0" w:color="auto"/>
            <w:left w:val="none" w:sz="0" w:space="0" w:color="auto"/>
            <w:bottom w:val="none" w:sz="0" w:space="0" w:color="auto"/>
            <w:right w:val="none" w:sz="0" w:space="0" w:color="auto"/>
          </w:divBdr>
        </w:div>
        <w:div w:id="828865337">
          <w:marLeft w:val="0"/>
          <w:marRight w:val="0"/>
          <w:marTop w:val="0"/>
          <w:marBottom w:val="0"/>
          <w:divBdr>
            <w:top w:val="none" w:sz="0" w:space="0" w:color="auto"/>
            <w:left w:val="none" w:sz="0" w:space="0" w:color="auto"/>
            <w:bottom w:val="none" w:sz="0" w:space="0" w:color="auto"/>
            <w:right w:val="none" w:sz="0" w:space="0" w:color="auto"/>
          </w:divBdr>
        </w:div>
        <w:div w:id="829949555">
          <w:marLeft w:val="0"/>
          <w:marRight w:val="0"/>
          <w:marTop w:val="0"/>
          <w:marBottom w:val="0"/>
          <w:divBdr>
            <w:top w:val="none" w:sz="0" w:space="0" w:color="auto"/>
            <w:left w:val="none" w:sz="0" w:space="0" w:color="auto"/>
            <w:bottom w:val="none" w:sz="0" w:space="0" w:color="auto"/>
            <w:right w:val="none" w:sz="0" w:space="0" w:color="auto"/>
          </w:divBdr>
        </w:div>
        <w:div w:id="837575818">
          <w:marLeft w:val="0"/>
          <w:marRight w:val="0"/>
          <w:marTop w:val="0"/>
          <w:marBottom w:val="0"/>
          <w:divBdr>
            <w:top w:val="none" w:sz="0" w:space="0" w:color="auto"/>
            <w:left w:val="none" w:sz="0" w:space="0" w:color="auto"/>
            <w:bottom w:val="none" w:sz="0" w:space="0" w:color="auto"/>
            <w:right w:val="none" w:sz="0" w:space="0" w:color="auto"/>
          </w:divBdr>
        </w:div>
        <w:div w:id="840196068">
          <w:marLeft w:val="0"/>
          <w:marRight w:val="0"/>
          <w:marTop w:val="0"/>
          <w:marBottom w:val="0"/>
          <w:divBdr>
            <w:top w:val="none" w:sz="0" w:space="0" w:color="auto"/>
            <w:left w:val="none" w:sz="0" w:space="0" w:color="auto"/>
            <w:bottom w:val="none" w:sz="0" w:space="0" w:color="auto"/>
            <w:right w:val="none" w:sz="0" w:space="0" w:color="auto"/>
          </w:divBdr>
        </w:div>
        <w:div w:id="973943394">
          <w:marLeft w:val="0"/>
          <w:marRight w:val="0"/>
          <w:marTop w:val="0"/>
          <w:marBottom w:val="0"/>
          <w:divBdr>
            <w:top w:val="none" w:sz="0" w:space="0" w:color="auto"/>
            <w:left w:val="none" w:sz="0" w:space="0" w:color="auto"/>
            <w:bottom w:val="none" w:sz="0" w:space="0" w:color="auto"/>
            <w:right w:val="none" w:sz="0" w:space="0" w:color="auto"/>
          </w:divBdr>
        </w:div>
        <w:div w:id="1048263755">
          <w:marLeft w:val="0"/>
          <w:marRight w:val="0"/>
          <w:marTop w:val="0"/>
          <w:marBottom w:val="0"/>
          <w:divBdr>
            <w:top w:val="none" w:sz="0" w:space="0" w:color="auto"/>
            <w:left w:val="none" w:sz="0" w:space="0" w:color="auto"/>
            <w:bottom w:val="none" w:sz="0" w:space="0" w:color="auto"/>
            <w:right w:val="none" w:sz="0" w:space="0" w:color="auto"/>
          </w:divBdr>
        </w:div>
        <w:div w:id="1053383908">
          <w:marLeft w:val="0"/>
          <w:marRight w:val="0"/>
          <w:marTop w:val="0"/>
          <w:marBottom w:val="0"/>
          <w:divBdr>
            <w:top w:val="none" w:sz="0" w:space="0" w:color="auto"/>
            <w:left w:val="none" w:sz="0" w:space="0" w:color="auto"/>
            <w:bottom w:val="none" w:sz="0" w:space="0" w:color="auto"/>
            <w:right w:val="none" w:sz="0" w:space="0" w:color="auto"/>
          </w:divBdr>
        </w:div>
        <w:div w:id="1085687056">
          <w:marLeft w:val="0"/>
          <w:marRight w:val="0"/>
          <w:marTop w:val="0"/>
          <w:marBottom w:val="0"/>
          <w:divBdr>
            <w:top w:val="none" w:sz="0" w:space="0" w:color="auto"/>
            <w:left w:val="none" w:sz="0" w:space="0" w:color="auto"/>
            <w:bottom w:val="none" w:sz="0" w:space="0" w:color="auto"/>
            <w:right w:val="none" w:sz="0" w:space="0" w:color="auto"/>
          </w:divBdr>
        </w:div>
        <w:div w:id="1121025321">
          <w:marLeft w:val="0"/>
          <w:marRight w:val="0"/>
          <w:marTop w:val="0"/>
          <w:marBottom w:val="0"/>
          <w:divBdr>
            <w:top w:val="none" w:sz="0" w:space="0" w:color="auto"/>
            <w:left w:val="none" w:sz="0" w:space="0" w:color="auto"/>
            <w:bottom w:val="none" w:sz="0" w:space="0" w:color="auto"/>
            <w:right w:val="none" w:sz="0" w:space="0" w:color="auto"/>
          </w:divBdr>
        </w:div>
        <w:div w:id="1124497945">
          <w:marLeft w:val="0"/>
          <w:marRight w:val="0"/>
          <w:marTop w:val="0"/>
          <w:marBottom w:val="0"/>
          <w:divBdr>
            <w:top w:val="none" w:sz="0" w:space="0" w:color="auto"/>
            <w:left w:val="none" w:sz="0" w:space="0" w:color="auto"/>
            <w:bottom w:val="none" w:sz="0" w:space="0" w:color="auto"/>
            <w:right w:val="none" w:sz="0" w:space="0" w:color="auto"/>
          </w:divBdr>
        </w:div>
        <w:div w:id="1175220083">
          <w:marLeft w:val="0"/>
          <w:marRight w:val="0"/>
          <w:marTop w:val="0"/>
          <w:marBottom w:val="0"/>
          <w:divBdr>
            <w:top w:val="none" w:sz="0" w:space="0" w:color="auto"/>
            <w:left w:val="none" w:sz="0" w:space="0" w:color="auto"/>
            <w:bottom w:val="none" w:sz="0" w:space="0" w:color="auto"/>
            <w:right w:val="none" w:sz="0" w:space="0" w:color="auto"/>
          </w:divBdr>
        </w:div>
        <w:div w:id="1237321035">
          <w:marLeft w:val="0"/>
          <w:marRight w:val="0"/>
          <w:marTop w:val="0"/>
          <w:marBottom w:val="0"/>
          <w:divBdr>
            <w:top w:val="none" w:sz="0" w:space="0" w:color="auto"/>
            <w:left w:val="none" w:sz="0" w:space="0" w:color="auto"/>
            <w:bottom w:val="none" w:sz="0" w:space="0" w:color="auto"/>
            <w:right w:val="none" w:sz="0" w:space="0" w:color="auto"/>
          </w:divBdr>
        </w:div>
        <w:div w:id="1291742215">
          <w:marLeft w:val="0"/>
          <w:marRight w:val="0"/>
          <w:marTop w:val="0"/>
          <w:marBottom w:val="0"/>
          <w:divBdr>
            <w:top w:val="none" w:sz="0" w:space="0" w:color="auto"/>
            <w:left w:val="none" w:sz="0" w:space="0" w:color="auto"/>
            <w:bottom w:val="none" w:sz="0" w:space="0" w:color="auto"/>
            <w:right w:val="none" w:sz="0" w:space="0" w:color="auto"/>
          </w:divBdr>
        </w:div>
        <w:div w:id="1294140236">
          <w:marLeft w:val="0"/>
          <w:marRight w:val="0"/>
          <w:marTop w:val="0"/>
          <w:marBottom w:val="0"/>
          <w:divBdr>
            <w:top w:val="none" w:sz="0" w:space="0" w:color="auto"/>
            <w:left w:val="none" w:sz="0" w:space="0" w:color="auto"/>
            <w:bottom w:val="none" w:sz="0" w:space="0" w:color="auto"/>
            <w:right w:val="none" w:sz="0" w:space="0" w:color="auto"/>
          </w:divBdr>
        </w:div>
        <w:div w:id="1311517520">
          <w:marLeft w:val="0"/>
          <w:marRight w:val="0"/>
          <w:marTop w:val="0"/>
          <w:marBottom w:val="0"/>
          <w:divBdr>
            <w:top w:val="none" w:sz="0" w:space="0" w:color="auto"/>
            <w:left w:val="none" w:sz="0" w:space="0" w:color="auto"/>
            <w:bottom w:val="none" w:sz="0" w:space="0" w:color="auto"/>
            <w:right w:val="none" w:sz="0" w:space="0" w:color="auto"/>
          </w:divBdr>
        </w:div>
        <w:div w:id="1322931441">
          <w:marLeft w:val="0"/>
          <w:marRight w:val="0"/>
          <w:marTop w:val="0"/>
          <w:marBottom w:val="0"/>
          <w:divBdr>
            <w:top w:val="none" w:sz="0" w:space="0" w:color="auto"/>
            <w:left w:val="none" w:sz="0" w:space="0" w:color="auto"/>
            <w:bottom w:val="none" w:sz="0" w:space="0" w:color="auto"/>
            <w:right w:val="none" w:sz="0" w:space="0" w:color="auto"/>
          </w:divBdr>
        </w:div>
        <w:div w:id="1332950120">
          <w:marLeft w:val="0"/>
          <w:marRight w:val="0"/>
          <w:marTop w:val="0"/>
          <w:marBottom w:val="0"/>
          <w:divBdr>
            <w:top w:val="none" w:sz="0" w:space="0" w:color="auto"/>
            <w:left w:val="none" w:sz="0" w:space="0" w:color="auto"/>
            <w:bottom w:val="none" w:sz="0" w:space="0" w:color="auto"/>
            <w:right w:val="none" w:sz="0" w:space="0" w:color="auto"/>
          </w:divBdr>
        </w:div>
        <w:div w:id="1662854971">
          <w:marLeft w:val="0"/>
          <w:marRight w:val="0"/>
          <w:marTop w:val="0"/>
          <w:marBottom w:val="0"/>
          <w:divBdr>
            <w:top w:val="none" w:sz="0" w:space="0" w:color="auto"/>
            <w:left w:val="none" w:sz="0" w:space="0" w:color="auto"/>
            <w:bottom w:val="none" w:sz="0" w:space="0" w:color="auto"/>
            <w:right w:val="none" w:sz="0" w:space="0" w:color="auto"/>
          </w:divBdr>
        </w:div>
        <w:div w:id="1737360275">
          <w:marLeft w:val="0"/>
          <w:marRight w:val="0"/>
          <w:marTop w:val="0"/>
          <w:marBottom w:val="0"/>
          <w:divBdr>
            <w:top w:val="none" w:sz="0" w:space="0" w:color="auto"/>
            <w:left w:val="none" w:sz="0" w:space="0" w:color="auto"/>
            <w:bottom w:val="none" w:sz="0" w:space="0" w:color="auto"/>
            <w:right w:val="none" w:sz="0" w:space="0" w:color="auto"/>
          </w:divBdr>
        </w:div>
        <w:div w:id="1833795069">
          <w:marLeft w:val="0"/>
          <w:marRight w:val="0"/>
          <w:marTop w:val="0"/>
          <w:marBottom w:val="0"/>
          <w:divBdr>
            <w:top w:val="none" w:sz="0" w:space="0" w:color="auto"/>
            <w:left w:val="none" w:sz="0" w:space="0" w:color="auto"/>
            <w:bottom w:val="none" w:sz="0" w:space="0" w:color="auto"/>
            <w:right w:val="none" w:sz="0" w:space="0" w:color="auto"/>
          </w:divBdr>
        </w:div>
        <w:div w:id="1859587100">
          <w:marLeft w:val="0"/>
          <w:marRight w:val="0"/>
          <w:marTop w:val="0"/>
          <w:marBottom w:val="0"/>
          <w:divBdr>
            <w:top w:val="none" w:sz="0" w:space="0" w:color="auto"/>
            <w:left w:val="none" w:sz="0" w:space="0" w:color="auto"/>
            <w:bottom w:val="none" w:sz="0" w:space="0" w:color="auto"/>
            <w:right w:val="none" w:sz="0" w:space="0" w:color="auto"/>
          </w:divBdr>
        </w:div>
        <w:div w:id="1892184149">
          <w:marLeft w:val="0"/>
          <w:marRight w:val="0"/>
          <w:marTop w:val="0"/>
          <w:marBottom w:val="0"/>
          <w:divBdr>
            <w:top w:val="none" w:sz="0" w:space="0" w:color="auto"/>
            <w:left w:val="none" w:sz="0" w:space="0" w:color="auto"/>
            <w:bottom w:val="none" w:sz="0" w:space="0" w:color="auto"/>
            <w:right w:val="none" w:sz="0" w:space="0" w:color="auto"/>
          </w:divBdr>
        </w:div>
        <w:div w:id="1893152261">
          <w:marLeft w:val="0"/>
          <w:marRight w:val="0"/>
          <w:marTop w:val="0"/>
          <w:marBottom w:val="0"/>
          <w:divBdr>
            <w:top w:val="none" w:sz="0" w:space="0" w:color="auto"/>
            <w:left w:val="none" w:sz="0" w:space="0" w:color="auto"/>
            <w:bottom w:val="none" w:sz="0" w:space="0" w:color="auto"/>
            <w:right w:val="none" w:sz="0" w:space="0" w:color="auto"/>
          </w:divBdr>
        </w:div>
        <w:div w:id="1895315048">
          <w:marLeft w:val="0"/>
          <w:marRight w:val="0"/>
          <w:marTop w:val="0"/>
          <w:marBottom w:val="0"/>
          <w:divBdr>
            <w:top w:val="none" w:sz="0" w:space="0" w:color="auto"/>
            <w:left w:val="none" w:sz="0" w:space="0" w:color="auto"/>
            <w:bottom w:val="none" w:sz="0" w:space="0" w:color="auto"/>
            <w:right w:val="none" w:sz="0" w:space="0" w:color="auto"/>
          </w:divBdr>
        </w:div>
        <w:div w:id="1901362639">
          <w:marLeft w:val="0"/>
          <w:marRight w:val="0"/>
          <w:marTop w:val="0"/>
          <w:marBottom w:val="0"/>
          <w:divBdr>
            <w:top w:val="none" w:sz="0" w:space="0" w:color="auto"/>
            <w:left w:val="none" w:sz="0" w:space="0" w:color="auto"/>
            <w:bottom w:val="none" w:sz="0" w:space="0" w:color="auto"/>
            <w:right w:val="none" w:sz="0" w:space="0" w:color="auto"/>
          </w:divBdr>
        </w:div>
        <w:div w:id="1913928641">
          <w:marLeft w:val="0"/>
          <w:marRight w:val="0"/>
          <w:marTop w:val="0"/>
          <w:marBottom w:val="0"/>
          <w:divBdr>
            <w:top w:val="none" w:sz="0" w:space="0" w:color="auto"/>
            <w:left w:val="none" w:sz="0" w:space="0" w:color="auto"/>
            <w:bottom w:val="none" w:sz="0" w:space="0" w:color="auto"/>
            <w:right w:val="none" w:sz="0" w:space="0" w:color="auto"/>
          </w:divBdr>
        </w:div>
        <w:div w:id="1918439602">
          <w:marLeft w:val="0"/>
          <w:marRight w:val="0"/>
          <w:marTop w:val="0"/>
          <w:marBottom w:val="0"/>
          <w:divBdr>
            <w:top w:val="none" w:sz="0" w:space="0" w:color="auto"/>
            <w:left w:val="none" w:sz="0" w:space="0" w:color="auto"/>
            <w:bottom w:val="none" w:sz="0" w:space="0" w:color="auto"/>
            <w:right w:val="none" w:sz="0" w:space="0" w:color="auto"/>
          </w:divBdr>
        </w:div>
        <w:div w:id="1919556653">
          <w:marLeft w:val="0"/>
          <w:marRight w:val="0"/>
          <w:marTop w:val="0"/>
          <w:marBottom w:val="0"/>
          <w:divBdr>
            <w:top w:val="none" w:sz="0" w:space="0" w:color="auto"/>
            <w:left w:val="none" w:sz="0" w:space="0" w:color="auto"/>
            <w:bottom w:val="none" w:sz="0" w:space="0" w:color="auto"/>
            <w:right w:val="none" w:sz="0" w:space="0" w:color="auto"/>
          </w:divBdr>
        </w:div>
        <w:div w:id="1928659635">
          <w:marLeft w:val="0"/>
          <w:marRight w:val="0"/>
          <w:marTop w:val="0"/>
          <w:marBottom w:val="0"/>
          <w:divBdr>
            <w:top w:val="none" w:sz="0" w:space="0" w:color="auto"/>
            <w:left w:val="none" w:sz="0" w:space="0" w:color="auto"/>
            <w:bottom w:val="none" w:sz="0" w:space="0" w:color="auto"/>
            <w:right w:val="none" w:sz="0" w:space="0" w:color="auto"/>
          </w:divBdr>
        </w:div>
        <w:div w:id="1955625313">
          <w:marLeft w:val="0"/>
          <w:marRight w:val="0"/>
          <w:marTop w:val="0"/>
          <w:marBottom w:val="0"/>
          <w:divBdr>
            <w:top w:val="none" w:sz="0" w:space="0" w:color="auto"/>
            <w:left w:val="none" w:sz="0" w:space="0" w:color="auto"/>
            <w:bottom w:val="none" w:sz="0" w:space="0" w:color="auto"/>
            <w:right w:val="none" w:sz="0" w:space="0" w:color="auto"/>
          </w:divBdr>
        </w:div>
        <w:div w:id="1975136477">
          <w:marLeft w:val="0"/>
          <w:marRight w:val="0"/>
          <w:marTop w:val="0"/>
          <w:marBottom w:val="0"/>
          <w:divBdr>
            <w:top w:val="none" w:sz="0" w:space="0" w:color="auto"/>
            <w:left w:val="none" w:sz="0" w:space="0" w:color="auto"/>
            <w:bottom w:val="none" w:sz="0" w:space="0" w:color="auto"/>
            <w:right w:val="none" w:sz="0" w:space="0" w:color="auto"/>
          </w:divBdr>
        </w:div>
        <w:div w:id="1985967719">
          <w:marLeft w:val="0"/>
          <w:marRight w:val="0"/>
          <w:marTop w:val="0"/>
          <w:marBottom w:val="0"/>
          <w:divBdr>
            <w:top w:val="none" w:sz="0" w:space="0" w:color="auto"/>
            <w:left w:val="none" w:sz="0" w:space="0" w:color="auto"/>
            <w:bottom w:val="none" w:sz="0" w:space="0" w:color="auto"/>
            <w:right w:val="none" w:sz="0" w:space="0" w:color="auto"/>
          </w:divBdr>
        </w:div>
        <w:div w:id="1999141128">
          <w:marLeft w:val="0"/>
          <w:marRight w:val="0"/>
          <w:marTop w:val="0"/>
          <w:marBottom w:val="0"/>
          <w:divBdr>
            <w:top w:val="none" w:sz="0" w:space="0" w:color="auto"/>
            <w:left w:val="none" w:sz="0" w:space="0" w:color="auto"/>
            <w:bottom w:val="none" w:sz="0" w:space="0" w:color="auto"/>
            <w:right w:val="none" w:sz="0" w:space="0" w:color="auto"/>
          </w:divBdr>
        </w:div>
        <w:div w:id="2009942421">
          <w:marLeft w:val="0"/>
          <w:marRight w:val="0"/>
          <w:marTop w:val="0"/>
          <w:marBottom w:val="0"/>
          <w:divBdr>
            <w:top w:val="none" w:sz="0" w:space="0" w:color="auto"/>
            <w:left w:val="none" w:sz="0" w:space="0" w:color="auto"/>
            <w:bottom w:val="none" w:sz="0" w:space="0" w:color="auto"/>
            <w:right w:val="none" w:sz="0" w:space="0" w:color="auto"/>
          </w:divBdr>
        </w:div>
        <w:div w:id="2029020838">
          <w:marLeft w:val="0"/>
          <w:marRight w:val="0"/>
          <w:marTop w:val="0"/>
          <w:marBottom w:val="0"/>
          <w:divBdr>
            <w:top w:val="none" w:sz="0" w:space="0" w:color="auto"/>
            <w:left w:val="none" w:sz="0" w:space="0" w:color="auto"/>
            <w:bottom w:val="none" w:sz="0" w:space="0" w:color="auto"/>
            <w:right w:val="none" w:sz="0" w:space="0" w:color="auto"/>
          </w:divBdr>
        </w:div>
        <w:div w:id="2046366869">
          <w:marLeft w:val="0"/>
          <w:marRight w:val="0"/>
          <w:marTop w:val="0"/>
          <w:marBottom w:val="0"/>
          <w:divBdr>
            <w:top w:val="none" w:sz="0" w:space="0" w:color="auto"/>
            <w:left w:val="none" w:sz="0" w:space="0" w:color="auto"/>
            <w:bottom w:val="none" w:sz="0" w:space="0" w:color="auto"/>
            <w:right w:val="none" w:sz="0" w:space="0" w:color="auto"/>
          </w:divBdr>
        </w:div>
        <w:div w:id="2079015900">
          <w:marLeft w:val="0"/>
          <w:marRight w:val="0"/>
          <w:marTop w:val="0"/>
          <w:marBottom w:val="0"/>
          <w:divBdr>
            <w:top w:val="none" w:sz="0" w:space="0" w:color="auto"/>
            <w:left w:val="none" w:sz="0" w:space="0" w:color="auto"/>
            <w:bottom w:val="none" w:sz="0" w:space="0" w:color="auto"/>
            <w:right w:val="none" w:sz="0" w:space="0" w:color="auto"/>
          </w:divBdr>
        </w:div>
        <w:div w:id="2092458725">
          <w:marLeft w:val="0"/>
          <w:marRight w:val="0"/>
          <w:marTop w:val="0"/>
          <w:marBottom w:val="0"/>
          <w:divBdr>
            <w:top w:val="none" w:sz="0" w:space="0" w:color="auto"/>
            <w:left w:val="none" w:sz="0" w:space="0" w:color="auto"/>
            <w:bottom w:val="none" w:sz="0" w:space="0" w:color="auto"/>
            <w:right w:val="none" w:sz="0" w:space="0" w:color="auto"/>
          </w:divBdr>
        </w:div>
        <w:div w:id="2093158098">
          <w:marLeft w:val="0"/>
          <w:marRight w:val="0"/>
          <w:marTop w:val="0"/>
          <w:marBottom w:val="0"/>
          <w:divBdr>
            <w:top w:val="none" w:sz="0" w:space="0" w:color="auto"/>
            <w:left w:val="none" w:sz="0" w:space="0" w:color="auto"/>
            <w:bottom w:val="none" w:sz="0" w:space="0" w:color="auto"/>
            <w:right w:val="none" w:sz="0" w:space="0" w:color="auto"/>
          </w:divBdr>
        </w:div>
        <w:div w:id="2099981549">
          <w:marLeft w:val="0"/>
          <w:marRight w:val="0"/>
          <w:marTop w:val="0"/>
          <w:marBottom w:val="0"/>
          <w:divBdr>
            <w:top w:val="none" w:sz="0" w:space="0" w:color="auto"/>
            <w:left w:val="none" w:sz="0" w:space="0" w:color="auto"/>
            <w:bottom w:val="none" w:sz="0" w:space="0" w:color="auto"/>
            <w:right w:val="none" w:sz="0" w:space="0" w:color="auto"/>
          </w:divBdr>
        </w:div>
        <w:div w:id="2130080387">
          <w:marLeft w:val="0"/>
          <w:marRight w:val="0"/>
          <w:marTop w:val="0"/>
          <w:marBottom w:val="0"/>
          <w:divBdr>
            <w:top w:val="none" w:sz="0" w:space="0" w:color="auto"/>
            <w:left w:val="none" w:sz="0" w:space="0" w:color="auto"/>
            <w:bottom w:val="none" w:sz="0" w:space="0" w:color="auto"/>
            <w:right w:val="none" w:sz="0" w:space="0" w:color="auto"/>
          </w:divBdr>
        </w:div>
        <w:div w:id="2134059024">
          <w:marLeft w:val="0"/>
          <w:marRight w:val="0"/>
          <w:marTop w:val="0"/>
          <w:marBottom w:val="0"/>
          <w:divBdr>
            <w:top w:val="none" w:sz="0" w:space="0" w:color="auto"/>
            <w:left w:val="none" w:sz="0" w:space="0" w:color="auto"/>
            <w:bottom w:val="none" w:sz="0" w:space="0" w:color="auto"/>
            <w:right w:val="none" w:sz="0" w:space="0" w:color="auto"/>
          </w:divBdr>
        </w:div>
      </w:divsChild>
    </w:div>
    <w:div w:id="1667585792">
      <w:bodyDiv w:val="1"/>
      <w:marLeft w:val="0"/>
      <w:marRight w:val="0"/>
      <w:marTop w:val="0"/>
      <w:marBottom w:val="0"/>
      <w:divBdr>
        <w:top w:val="none" w:sz="0" w:space="0" w:color="auto"/>
        <w:left w:val="none" w:sz="0" w:space="0" w:color="auto"/>
        <w:bottom w:val="none" w:sz="0" w:space="0" w:color="auto"/>
        <w:right w:val="none" w:sz="0" w:space="0" w:color="auto"/>
      </w:divBdr>
      <w:divsChild>
        <w:div w:id="580330771">
          <w:marLeft w:val="0"/>
          <w:marRight w:val="0"/>
          <w:marTop w:val="0"/>
          <w:marBottom w:val="0"/>
          <w:divBdr>
            <w:top w:val="none" w:sz="0" w:space="0" w:color="auto"/>
            <w:left w:val="none" w:sz="0" w:space="0" w:color="auto"/>
            <w:bottom w:val="none" w:sz="0" w:space="0" w:color="auto"/>
            <w:right w:val="none" w:sz="0" w:space="0" w:color="auto"/>
          </w:divBdr>
        </w:div>
      </w:divsChild>
    </w:div>
    <w:div w:id="1698656728">
      <w:bodyDiv w:val="1"/>
      <w:marLeft w:val="0"/>
      <w:marRight w:val="0"/>
      <w:marTop w:val="0"/>
      <w:marBottom w:val="0"/>
      <w:divBdr>
        <w:top w:val="none" w:sz="0" w:space="0" w:color="auto"/>
        <w:left w:val="none" w:sz="0" w:space="0" w:color="auto"/>
        <w:bottom w:val="none" w:sz="0" w:space="0" w:color="auto"/>
        <w:right w:val="none" w:sz="0" w:space="0" w:color="auto"/>
      </w:divBdr>
      <w:divsChild>
        <w:div w:id="2083016812">
          <w:marLeft w:val="0"/>
          <w:marRight w:val="0"/>
          <w:marTop w:val="0"/>
          <w:marBottom w:val="0"/>
          <w:divBdr>
            <w:top w:val="none" w:sz="0" w:space="0" w:color="auto"/>
            <w:left w:val="none" w:sz="0" w:space="0" w:color="auto"/>
            <w:bottom w:val="none" w:sz="0" w:space="0" w:color="auto"/>
            <w:right w:val="none" w:sz="0" w:space="0" w:color="auto"/>
          </w:divBdr>
        </w:div>
      </w:divsChild>
    </w:div>
    <w:div w:id="1708990622">
      <w:bodyDiv w:val="1"/>
      <w:marLeft w:val="0"/>
      <w:marRight w:val="0"/>
      <w:marTop w:val="0"/>
      <w:marBottom w:val="0"/>
      <w:divBdr>
        <w:top w:val="none" w:sz="0" w:space="0" w:color="auto"/>
        <w:left w:val="none" w:sz="0" w:space="0" w:color="auto"/>
        <w:bottom w:val="none" w:sz="0" w:space="0" w:color="auto"/>
        <w:right w:val="none" w:sz="0" w:space="0" w:color="auto"/>
      </w:divBdr>
      <w:divsChild>
        <w:div w:id="986591248">
          <w:marLeft w:val="0"/>
          <w:marRight w:val="0"/>
          <w:marTop w:val="0"/>
          <w:marBottom w:val="0"/>
          <w:divBdr>
            <w:top w:val="none" w:sz="0" w:space="0" w:color="auto"/>
            <w:left w:val="none" w:sz="0" w:space="0" w:color="auto"/>
            <w:bottom w:val="none" w:sz="0" w:space="0" w:color="auto"/>
            <w:right w:val="none" w:sz="0" w:space="0" w:color="auto"/>
          </w:divBdr>
          <w:divsChild>
            <w:div w:id="1172724320">
              <w:marLeft w:val="0"/>
              <w:marRight w:val="0"/>
              <w:marTop w:val="0"/>
              <w:marBottom w:val="0"/>
              <w:divBdr>
                <w:top w:val="single" w:sz="6" w:space="0" w:color="666666"/>
                <w:left w:val="single" w:sz="6" w:space="0" w:color="666666"/>
                <w:bottom w:val="single" w:sz="48" w:space="0" w:color="000000"/>
                <w:right w:val="single" w:sz="6" w:space="0" w:color="666666"/>
              </w:divBdr>
              <w:divsChild>
                <w:div w:id="1874033384">
                  <w:marLeft w:val="0"/>
                  <w:marRight w:val="0"/>
                  <w:marTop w:val="0"/>
                  <w:marBottom w:val="0"/>
                  <w:divBdr>
                    <w:top w:val="none" w:sz="0" w:space="0" w:color="auto"/>
                    <w:left w:val="none" w:sz="0" w:space="0" w:color="auto"/>
                    <w:bottom w:val="none" w:sz="0" w:space="0" w:color="auto"/>
                    <w:right w:val="none" w:sz="0" w:space="0" w:color="auto"/>
                  </w:divBdr>
                  <w:divsChild>
                    <w:div w:id="290744654">
                      <w:marLeft w:val="150"/>
                      <w:marRight w:val="0"/>
                      <w:marTop w:val="150"/>
                      <w:marBottom w:val="0"/>
                      <w:divBdr>
                        <w:top w:val="none" w:sz="0" w:space="0" w:color="auto"/>
                        <w:left w:val="none" w:sz="0" w:space="0" w:color="auto"/>
                        <w:bottom w:val="none" w:sz="0" w:space="0" w:color="auto"/>
                        <w:right w:val="none" w:sz="0" w:space="0" w:color="auto"/>
                      </w:divBdr>
                      <w:divsChild>
                        <w:div w:id="1945720995">
                          <w:marLeft w:val="0"/>
                          <w:marRight w:val="0"/>
                          <w:marTop w:val="0"/>
                          <w:marBottom w:val="0"/>
                          <w:divBdr>
                            <w:top w:val="none" w:sz="0" w:space="0" w:color="auto"/>
                            <w:left w:val="none" w:sz="0" w:space="0" w:color="auto"/>
                            <w:bottom w:val="none" w:sz="0" w:space="0" w:color="auto"/>
                            <w:right w:val="none" w:sz="0" w:space="0" w:color="auto"/>
                          </w:divBdr>
                          <w:divsChild>
                            <w:div w:id="572086575">
                              <w:marLeft w:val="0"/>
                              <w:marRight w:val="0"/>
                              <w:marTop w:val="0"/>
                              <w:marBottom w:val="0"/>
                              <w:divBdr>
                                <w:top w:val="none" w:sz="0" w:space="0" w:color="auto"/>
                                <w:left w:val="none" w:sz="0" w:space="0" w:color="auto"/>
                                <w:bottom w:val="none" w:sz="0" w:space="0" w:color="auto"/>
                                <w:right w:val="none" w:sz="0" w:space="0" w:color="auto"/>
                              </w:divBdr>
                              <w:divsChild>
                                <w:div w:id="143010660">
                                  <w:marLeft w:val="0"/>
                                  <w:marRight w:val="0"/>
                                  <w:marTop w:val="0"/>
                                  <w:marBottom w:val="0"/>
                                  <w:divBdr>
                                    <w:top w:val="none" w:sz="0" w:space="0" w:color="auto"/>
                                    <w:left w:val="none" w:sz="0" w:space="0" w:color="auto"/>
                                    <w:bottom w:val="none" w:sz="0" w:space="0" w:color="auto"/>
                                    <w:right w:val="none" w:sz="0" w:space="0" w:color="auto"/>
                                  </w:divBdr>
                                  <w:divsChild>
                                    <w:div w:id="499203016">
                                      <w:marLeft w:val="0"/>
                                      <w:marRight w:val="0"/>
                                      <w:marTop w:val="0"/>
                                      <w:marBottom w:val="0"/>
                                      <w:divBdr>
                                        <w:top w:val="none" w:sz="0" w:space="0" w:color="auto"/>
                                        <w:left w:val="none" w:sz="0" w:space="0" w:color="auto"/>
                                        <w:bottom w:val="none" w:sz="0" w:space="0" w:color="auto"/>
                                        <w:right w:val="none" w:sz="0" w:space="0" w:color="auto"/>
                                      </w:divBdr>
                                      <w:divsChild>
                                        <w:div w:id="485636354">
                                          <w:marLeft w:val="0"/>
                                          <w:marRight w:val="0"/>
                                          <w:marTop w:val="0"/>
                                          <w:marBottom w:val="0"/>
                                          <w:divBdr>
                                            <w:top w:val="none" w:sz="0" w:space="0" w:color="auto"/>
                                            <w:left w:val="none" w:sz="0" w:space="0" w:color="auto"/>
                                            <w:bottom w:val="none" w:sz="0" w:space="0" w:color="auto"/>
                                            <w:right w:val="none" w:sz="0" w:space="0" w:color="auto"/>
                                          </w:divBdr>
                                          <w:divsChild>
                                            <w:div w:id="200362086">
                                              <w:marLeft w:val="0"/>
                                              <w:marRight w:val="0"/>
                                              <w:marTop w:val="0"/>
                                              <w:marBottom w:val="0"/>
                                              <w:divBdr>
                                                <w:top w:val="none" w:sz="0" w:space="0" w:color="auto"/>
                                                <w:left w:val="none" w:sz="0" w:space="0" w:color="auto"/>
                                                <w:bottom w:val="none" w:sz="0" w:space="0" w:color="auto"/>
                                                <w:right w:val="none" w:sz="0" w:space="0" w:color="auto"/>
                                              </w:divBdr>
                                              <w:divsChild>
                                                <w:div w:id="21397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84866">
      <w:bodyDiv w:val="1"/>
      <w:marLeft w:val="0"/>
      <w:marRight w:val="0"/>
      <w:marTop w:val="0"/>
      <w:marBottom w:val="0"/>
      <w:divBdr>
        <w:top w:val="none" w:sz="0" w:space="0" w:color="auto"/>
        <w:left w:val="none" w:sz="0" w:space="0" w:color="auto"/>
        <w:bottom w:val="none" w:sz="0" w:space="0" w:color="auto"/>
        <w:right w:val="none" w:sz="0" w:space="0" w:color="auto"/>
      </w:divBdr>
      <w:divsChild>
        <w:div w:id="197278533">
          <w:marLeft w:val="0"/>
          <w:marRight w:val="0"/>
          <w:marTop w:val="0"/>
          <w:marBottom w:val="0"/>
          <w:divBdr>
            <w:top w:val="none" w:sz="0" w:space="0" w:color="auto"/>
            <w:left w:val="none" w:sz="0" w:space="0" w:color="auto"/>
            <w:bottom w:val="none" w:sz="0" w:space="0" w:color="auto"/>
            <w:right w:val="none" w:sz="0" w:space="0" w:color="auto"/>
          </w:divBdr>
        </w:div>
      </w:divsChild>
    </w:div>
    <w:div w:id="1805350155">
      <w:bodyDiv w:val="1"/>
      <w:marLeft w:val="0"/>
      <w:marRight w:val="0"/>
      <w:marTop w:val="0"/>
      <w:marBottom w:val="0"/>
      <w:divBdr>
        <w:top w:val="none" w:sz="0" w:space="0" w:color="auto"/>
        <w:left w:val="none" w:sz="0" w:space="0" w:color="auto"/>
        <w:bottom w:val="none" w:sz="0" w:space="0" w:color="auto"/>
        <w:right w:val="none" w:sz="0" w:space="0" w:color="auto"/>
      </w:divBdr>
      <w:divsChild>
        <w:div w:id="227886781">
          <w:marLeft w:val="0"/>
          <w:marRight w:val="0"/>
          <w:marTop w:val="0"/>
          <w:marBottom w:val="0"/>
          <w:divBdr>
            <w:top w:val="none" w:sz="0" w:space="0" w:color="auto"/>
            <w:left w:val="none" w:sz="0" w:space="0" w:color="auto"/>
            <w:bottom w:val="none" w:sz="0" w:space="0" w:color="auto"/>
            <w:right w:val="none" w:sz="0" w:space="0" w:color="auto"/>
          </w:divBdr>
        </w:div>
      </w:divsChild>
    </w:div>
    <w:div w:id="1915625821">
      <w:bodyDiv w:val="1"/>
      <w:marLeft w:val="0"/>
      <w:marRight w:val="0"/>
      <w:marTop w:val="0"/>
      <w:marBottom w:val="0"/>
      <w:divBdr>
        <w:top w:val="none" w:sz="0" w:space="0" w:color="auto"/>
        <w:left w:val="none" w:sz="0" w:space="0" w:color="auto"/>
        <w:bottom w:val="none" w:sz="0" w:space="0" w:color="auto"/>
        <w:right w:val="none" w:sz="0" w:space="0" w:color="auto"/>
      </w:divBdr>
      <w:divsChild>
        <w:div w:id="104693461">
          <w:marLeft w:val="0"/>
          <w:marRight w:val="0"/>
          <w:marTop w:val="0"/>
          <w:marBottom w:val="0"/>
          <w:divBdr>
            <w:top w:val="none" w:sz="0" w:space="0" w:color="auto"/>
            <w:left w:val="none" w:sz="0" w:space="0" w:color="auto"/>
            <w:bottom w:val="none" w:sz="0" w:space="0" w:color="auto"/>
            <w:right w:val="none" w:sz="0" w:space="0" w:color="auto"/>
          </w:divBdr>
        </w:div>
      </w:divsChild>
    </w:div>
    <w:div w:id="2050955740">
      <w:bodyDiv w:val="1"/>
      <w:marLeft w:val="0"/>
      <w:marRight w:val="0"/>
      <w:marTop w:val="0"/>
      <w:marBottom w:val="0"/>
      <w:divBdr>
        <w:top w:val="none" w:sz="0" w:space="0" w:color="auto"/>
        <w:left w:val="none" w:sz="0" w:space="0" w:color="auto"/>
        <w:bottom w:val="none" w:sz="0" w:space="0" w:color="auto"/>
        <w:right w:val="none" w:sz="0" w:space="0" w:color="auto"/>
      </w:divBdr>
      <w:divsChild>
        <w:div w:id="531263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hyperlink" Target="https://www.igwc.gov.au/" TargetMode="External"/><Relationship Id="rId21" Type="http://schemas.openxmlformats.org/officeDocument/2006/relationships/header" Target="header5.xml"/><Relationship Id="rId34" Type="http://schemas.openxmlformats.org/officeDocument/2006/relationships/header" Target="header8.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7.pn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6.xml"/><Relationship Id="rId32" Type="http://schemas.openxmlformats.org/officeDocument/2006/relationships/hyperlink" Target="https://www.google.com/url?sa=t&amp;rct=j&amp;q=&amp;esrc=s&amp;source=web&amp;cd=&amp;cad=rja&amp;uact=8&amp;ved=2ahUKEwjCn6exqPn_AhV5sFYBHVEaCnYQFnoECBIQAQ&amp;url=https%3A%2F%2Fwww.dcceew.gov.au%2Fwater%2Fpolicy%2Fprograms%2Fopen%2Foff-farm-efficiency-program&amp;usg=AOvVaw0tTr2fX61ob10ltRwxKBlf&amp;opi=89978449" TargetMode="External"/><Relationship Id="rId37" Type="http://schemas.openxmlformats.org/officeDocument/2006/relationships/header" Target="header9.xml"/><Relationship Id="rId40"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microsoft.com/office/2007/relationships/hdphoto" Target="media/hdphoto1.wdp"/><Relationship Id="rId30" Type="http://schemas.microsoft.com/office/2007/relationships/hdphoto" Target="media/hdphoto2.wdp"/><Relationship Id="rId35" Type="http://schemas.openxmlformats.org/officeDocument/2006/relationships/footer" Target="footer7.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eader" Target="header7.xml"/><Relationship Id="rId38" Type="http://schemas.openxmlformats.org/officeDocument/2006/relationships/footer" Target="footer9.xml"/></Relationships>
</file>

<file path=word/_rels/endnotes.xml.rels><?xml version="1.0" encoding="UTF-8" standalone="yes"?>
<Relationships xmlns="http://schemas.openxmlformats.org/package/2006/relationships"><Relationship Id="rId3" Type="http://schemas.openxmlformats.org/officeDocument/2006/relationships/hyperlink" Target="https://oia.pmc.gov.au/sites/default/files/2021-06/regulator-analysis-guide.pdf" TargetMode="External"/><Relationship Id="rId2" Type="http://schemas.openxmlformats.org/officeDocument/2006/relationships/hyperlink" Target="https://www.igwc.gov.au/governance" TargetMode="External"/><Relationship Id="rId1" Type="http://schemas.openxmlformats.org/officeDocument/2006/relationships/hyperlink" Target="https://www.legislation.gov.au/Details/C2022A00088" TargetMode="External"/></Relationships>
</file>

<file path=word/_rels/header6.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IGWC">
      <a:dk1>
        <a:srgbClr val="4C6968"/>
      </a:dk1>
      <a:lt1>
        <a:srgbClr val="BCD8E3"/>
      </a:lt1>
      <a:dk2>
        <a:srgbClr val="48555E"/>
      </a:dk2>
      <a:lt2>
        <a:srgbClr val="E7E6E6"/>
      </a:lt2>
      <a:accent1>
        <a:srgbClr val="4C6968"/>
      </a:accent1>
      <a:accent2>
        <a:srgbClr val="48545E"/>
      </a:accent2>
      <a:accent3>
        <a:srgbClr val="BCD7E2"/>
      </a:accent3>
      <a:accent4>
        <a:srgbClr val="6E8C81"/>
      </a:accent4>
      <a:accent5>
        <a:srgbClr val="F0C88A"/>
      </a:accent5>
      <a:accent6>
        <a:srgbClr val="CE9282"/>
      </a:accent6>
      <a:hlink>
        <a:srgbClr val="48545E"/>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efcbbad4-e4bf-4210-bcda-504876e7bd6e">
      <Terms xmlns="http://schemas.microsoft.com/office/infopath/2007/PartnerControls"/>
    </lcf76f155ced4ddcb4097134ff3c332f>
    <SharedWithUsers xmlns="3831e8a4-9d05-4fa9-b62b-4dc281877bbf">
      <UserInfo>
        <DisplayName>Hudson, Annabelle</DisplayName>
        <AccountId>251</AccountId>
        <AccountType/>
      </UserInfo>
      <UserInfo>
        <DisplayName>Schimizzi, Vanessa</DisplayName>
        <AccountId>590</AccountId>
        <AccountType/>
      </UserInfo>
      <UserInfo>
        <DisplayName>Lyons, Peter</DisplayName>
        <AccountId>288</AccountId>
        <AccountType/>
      </UserInfo>
      <UserInfo>
        <DisplayName>Smith, Jodi</DisplayName>
        <AccountId>15</AccountId>
        <AccountType/>
      </UserInfo>
      <UserInfo>
        <DisplayName>Carter, Edwina</DisplayName>
        <AccountId>46</AccountId>
        <AccountType/>
      </UserInfo>
      <UserInfo>
        <DisplayName>Lonnie, Ken</DisplayName>
        <AccountId>40</AccountId>
        <AccountType/>
      </UserInfo>
      <UserInfo>
        <DisplayName>Wilkes, Matt</DisplayName>
        <AccountId>188</AccountId>
        <AccountType/>
      </UserInfo>
      <UserInfo>
        <DisplayName>Whitby, Nathalie</DisplayName>
        <AccountId>515</AccountId>
        <AccountType/>
      </UserInfo>
      <UserInfo>
        <DisplayName>Kuchel, Sarah</DisplayName>
        <AccountId>20</AccountId>
        <AccountType/>
      </UserInfo>
      <UserInfo>
        <DisplayName>Bok, Meroe</DisplayName>
        <AccountId>252</AccountId>
        <AccountType/>
      </UserInfo>
      <UserInfo>
        <DisplayName>Ween, Stephen</DisplayName>
        <AccountId>42</AccountId>
        <AccountType/>
      </UserInfo>
    </SharedWithUsers>
    <_Flow_SignoffStatus xmlns="efcbbad4-e4bf-4210-bcda-504876e7bd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75A148063E0E4291460DB30E5FC94E" ma:contentTypeVersion="16" ma:contentTypeDescription="Create a new document." ma:contentTypeScope="" ma:versionID="ff3b0dda9823e7860f397f76297e4b91">
  <xsd:schema xmlns:xsd="http://www.w3.org/2001/XMLSchema" xmlns:xs="http://www.w3.org/2001/XMLSchema" xmlns:p="http://schemas.microsoft.com/office/2006/metadata/properties" xmlns:ns2="efcbbad4-e4bf-4210-bcda-504876e7bd6e" xmlns:ns3="3831e8a4-9d05-4fa9-b62b-4dc281877bbf" xmlns:ns4="81c01dc6-2c49-4730-b140-874c95cac377" targetNamespace="http://schemas.microsoft.com/office/2006/metadata/properties" ma:root="true" ma:fieldsID="3edd19a56abccbe838a971b4a343214f" ns2:_="" ns3:_="" ns4:_="">
    <xsd:import namespace="efcbbad4-e4bf-4210-bcda-504876e7bd6e"/>
    <xsd:import namespace="3831e8a4-9d05-4fa9-b62b-4dc281877bbf"/>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_Flow_SignoffStatus"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bbad4-e4bf-4210-bcda-504876e7bd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Flow_SignoffStatus" ma:index="19" nillable="true" ma:displayName="Sign-off status" ma:internalName="Sign_x002d_off_x0020_status">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31e8a4-9d05-4fa9-b62b-4dc281877bb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898701-9d64-4821-b8c3-93bb052a4e3c}" ma:internalName="TaxCatchAll" ma:showField="CatchAllData" ma:web="3831e8a4-9d05-4fa9-b62b-4dc281877b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09CE3E-3300-4164-B3C2-065A6B6DDCCC}">
  <ds:schemaRefs>
    <ds:schemaRef ds:uri="http://schemas.openxmlformats.org/officeDocument/2006/bibliography"/>
  </ds:schemaRefs>
</ds:datastoreItem>
</file>

<file path=customXml/itemProps2.xml><?xml version="1.0" encoding="utf-8"?>
<ds:datastoreItem xmlns:ds="http://schemas.openxmlformats.org/officeDocument/2006/customXml" ds:itemID="{E2BB879B-3A31-4E54-8E31-88954847E72C}">
  <ds:schemaRefs>
    <ds:schemaRef ds:uri="http://schemas.microsoft.com/office/2006/metadata/properties"/>
    <ds:schemaRef ds:uri="http://schemas.microsoft.com/office/infopath/2007/PartnerControls"/>
    <ds:schemaRef ds:uri="81c01dc6-2c49-4730-b140-874c95cac377"/>
    <ds:schemaRef ds:uri="efcbbad4-e4bf-4210-bcda-504876e7bd6e"/>
    <ds:schemaRef ds:uri="3831e8a4-9d05-4fa9-b62b-4dc281877bbf"/>
  </ds:schemaRefs>
</ds:datastoreItem>
</file>

<file path=customXml/itemProps3.xml><?xml version="1.0" encoding="utf-8"?>
<ds:datastoreItem xmlns:ds="http://schemas.openxmlformats.org/officeDocument/2006/customXml" ds:itemID="{3F1885C4-D554-4D00-BFFE-FC9170F3A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cbbad4-e4bf-4210-bcda-504876e7bd6e"/>
    <ds:schemaRef ds:uri="3831e8a4-9d05-4fa9-b62b-4dc281877bbf"/>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D2F1D5-2E33-4A48-85AB-7D285A938D39}">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38</TotalTime>
  <Pages>31</Pages>
  <Words>9309</Words>
  <Characters>53067</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Regulatory Policy October 2023</vt:lpstr>
    </vt:vector>
  </TitlesOfParts>
  <Manager/>
  <Company/>
  <LinksUpToDate>false</LinksUpToDate>
  <CharactersWithSpaces>62252</CharactersWithSpaces>
  <SharedDoc>false</SharedDoc>
  <HLinks>
    <vt:vector size="30" baseType="variant">
      <vt:variant>
        <vt:i4>7012437</vt:i4>
      </vt:variant>
      <vt:variant>
        <vt:i4>99</vt:i4>
      </vt:variant>
      <vt:variant>
        <vt:i4>0</vt:i4>
      </vt:variant>
      <vt:variant>
        <vt:i4>5</vt:i4>
      </vt:variant>
      <vt:variant>
        <vt:lpwstr>https://www.google.com/url?sa=t&amp;rct=j&amp;q=&amp;esrc=s&amp;source=web&amp;cd=&amp;cad=rja&amp;uact=8&amp;ved=2ahUKEwjCn6exqPn_AhV5sFYBHVEaCnYQFnoECBIQAQ&amp;url=https%3A%2F%2Fwww.dcceew.gov.au%2Fwater%2Fpolicy%2Fprograms%2Fopen%2Foff-farm-efficiency-program&amp;usg=AOvVaw0tTr2fX61ob10ltRwxKBlf&amp;opi=89978449</vt:lpwstr>
      </vt:variant>
      <vt:variant>
        <vt:lpwstr/>
      </vt:variant>
      <vt:variant>
        <vt:i4>2949233</vt:i4>
      </vt:variant>
      <vt:variant>
        <vt:i4>6</vt:i4>
      </vt:variant>
      <vt:variant>
        <vt:i4>0</vt:i4>
      </vt:variant>
      <vt:variant>
        <vt:i4>5</vt:i4>
      </vt:variant>
      <vt:variant>
        <vt:lpwstr>https://oia.pmc.gov.au/sites/default/files/2021-06/regulator-analysis-guide.pdf</vt:lpwstr>
      </vt:variant>
      <vt:variant>
        <vt:lpwstr/>
      </vt:variant>
      <vt:variant>
        <vt:i4>8126501</vt:i4>
      </vt:variant>
      <vt:variant>
        <vt:i4>3</vt:i4>
      </vt:variant>
      <vt:variant>
        <vt:i4>0</vt:i4>
      </vt:variant>
      <vt:variant>
        <vt:i4>5</vt:i4>
      </vt:variant>
      <vt:variant>
        <vt:lpwstr>https://www.igwc.gov.au/governance</vt:lpwstr>
      </vt:variant>
      <vt:variant>
        <vt:lpwstr/>
      </vt:variant>
      <vt:variant>
        <vt:i4>7995439</vt:i4>
      </vt:variant>
      <vt:variant>
        <vt:i4>0</vt:i4>
      </vt:variant>
      <vt:variant>
        <vt:i4>0</vt:i4>
      </vt:variant>
      <vt:variant>
        <vt:i4>5</vt:i4>
      </vt:variant>
      <vt:variant>
        <vt:lpwstr>https://www.legislation.gov.au/Details/C2022A00088</vt:lpwstr>
      </vt:variant>
      <vt:variant>
        <vt:lpwstr/>
      </vt:variant>
      <vt:variant>
        <vt:i4>1245252</vt:i4>
      </vt:variant>
      <vt:variant>
        <vt:i4>0</vt:i4>
      </vt:variant>
      <vt:variant>
        <vt:i4>0</vt:i4>
      </vt:variant>
      <vt:variant>
        <vt:i4>5</vt:i4>
      </vt:variant>
      <vt:variant>
        <vt:lpwstr>https://www.igwc.gov.au/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Policy October 2023</dc:title>
  <dc:subject/>
  <dc:creator>Inspector-General of Water Compliance</dc:creator>
  <cp:keywords/>
  <dc:description/>
  <cp:lastModifiedBy>Maggie WELFARE</cp:lastModifiedBy>
  <cp:revision>13</cp:revision>
  <cp:lastPrinted>2023-08-11T00:48:00Z</cp:lastPrinted>
  <dcterms:created xsi:type="dcterms:W3CDTF">2024-10-01T04:31:00Z</dcterms:created>
  <dcterms:modified xsi:type="dcterms:W3CDTF">2024-10-01T05:19:00Z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0x010100BD75A148063E0E4291460DB30E5FC94E</vt:lpwstr>
  </property>
  <property fmtid="{D5CDD505-2E9C-101B-9397-08002B2CF9AE}" pid="3" name="MediaServiceImageTags">
    <vt:lpwstr/>
  </property>
  <property fmtid="{D5CDD505-2E9C-101B-9397-08002B2CF9AE}" pid="4" name="ClassificationContentMarkingHeaderShapeIds">
    <vt:lpwstr>3084d46f,77eaf16e,595cafb5,72cc926b,10681c8f,3ba1a187,44164b38,258a3946,ff68452</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201d896c,5cb0814f,7ef9ff2f,294ede77,6808a031,2fbacc84,35b10d39,f447e1d,79c10039</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ies>
</file>