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E4F7" w14:textId="3CFD79EE" w:rsidR="00473F5B" w:rsidRDefault="00FD531D" w:rsidP="00034AB5">
      <w:pPr>
        <w:pStyle w:val="Heading1"/>
      </w:pPr>
      <w:r>
        <w:t>Organisational Structure</w:t>
      </w:r>
    </w:p>
    <w:p w14:paraId="7905CF08" w14:textId="61D08504" w:rsidR="00FD531D" w:rsidRPr="00FD531D" w:rsidRDefault="00FD531D" w:rsidP="00FD531D">
      <w:r>
        <w:t>Effective 1 August 2024</w:t>
      </w:r>
    </w:p>
    <w:p w14:paraId="6AAFA91D" w14:textId="55720640" w:rsidR="007C3F00" w:rsidRDefault="00FD531D" w:rsidP="00FD531D">
      <w:pPr>
        <w:pStyle w:val="Heading2"/>
      </w:pPr>
      <w:r>
        <w:t>Inspector-General of Water Compliance</w:t>
      </w:r>
    </w:p>
    <w:p w14:paraId="055F6DA0" w14:textId="3FCAB282" w:rsidR="00FD531D" w:rsidRDefault="00FD531D" w:rsidP="00FD531D">
      <w:r>
        <w:t>Hon. Troy Grant</w:t>
      </w:r>
    </w:p>
    <w:p w14:paraId="0B99BE92" w14:textId="6C341547" w:rsidR="00034AB5" w:rsidRDefault="00034AB5" w:rsidP="00034AB5">
      <w:pPr>
        <w:pStyle w:val="Heading2"/>
      </w:pPr>
      <w:r>
        <w:t>Deputy Inspector-General</w:t>
      </w:r>
    </w:p>
    <w:p w14:paraId="054A3FE1" w14:textId="1F5E6D12" w:rsidR="00034AB5" w:rsidRDefault="00034AB5" w:rsidP="00034AB5">
      <w:r>
        <w:t>Daniel Blacker (Acting)</w:t>
      </w:r>
    </w:p>
    <w:p w14:paraId="5E024BF2" w14:textId="186F59B4" w:rsidR="00844CE4" w:rsidRDefault="00844CE4" w:rsidP="00844CE4">
      <w:pPr>
        <w:pStyle w:val="Heading3"/>
      </w:pPr>
      <w:r>
        <w:t>Media and Communication</w:t>
      </w:r>
    </w:p>
    <w:p w14:paraId="296C3A5D" w14:textId="437BF1DE" w:rsidR="00844CE4" w:rsidRDefault="00844CE4" w:rsidP="00844CE4">
      <w:pPr>
        <w:pStyle w:val="ListBullet"/>
      </w:pPr>
      <w:r>
        <w:t>Media liaison</w:t>
      </w:r>
    </w:p>
    <w:p w14:paraId="6EF5010E" w14:textId="713C3129" w:rsidR="00844CE4" w:rsidRDefault="00844CE4" w:rsidP="00844CE4">
      <w:pPr>
        <w:pStyle w:val="ListBullet"/>
      </w:pPr>
      <w:r>
        <w:t>Production and creative services</w:t>
      </w:r>
    </w:p>
    <w:p w14:paraId="2FE13B9B" w14:textId="232F2CA3" w:rsidR="00844CE4" w:rsidRPr="00844CE4" w:rsidRDefault="00844CE4" w:rsidP="00844CE4">
      <w:pPr>
        <w:pStyle w:val="ListBullet"/>
      </w:pPr>
      <w:r>
        <w:t>Community outreach</w:t>
      </w:r>
    </w:p>
    <w:p w14:paraId="657F95F0" w14:textId="58CA5AEF" w:rsidR="00034AB5" w:rsidRDefault="00034AB5" w:rsidP="00034AB5">
      <w:pPr>
        <w:pStyle w:val="Heading2"/>
      </w:pPr>
      <w:r>
        <w:t>Assistant Inspector-General Regulation</w:t>
      </w:r>
    </w:p>
    <w:p w14:paraId="7984B358" w14:textId="290112F7" w:rsidR="00034AB5" w:rsidRDefault="00034AB5" w:rsidP="00034AB5">
      <w:r>
        <w:t>Tara Schalk (Acting)</w:t>
      </w:r>
    </w:p>
    <w:p w14:paraId="488BF31F" w14:textId="3602D278" w:rsidR="00034AB5" w:rsidRDefault="00034AB5" w:rsidP="00034AB5">
      <w:pPr>
        <w:pStyle w:val="Heading3"/>
      </w:pPr>
      <w:r>
        <w:t>Compliance Monitoring</w:t>
      </w:r>
    </w:p>
    <w:p w14:paraId="32B16833" w14:textId="1458AC64" w:rsidR="00034AB5" w:rsidRDefault="00034AB5" w:rsidP="00034AB5">
      <w:pPr>
        <w:pStyle w:val="ListBullet"/>
      </w:pPr>
      <w:r>
        <w:t>Water resource plan compliance</w:t>
      </w:r>
    </w:p>
    <w:p w14:paraId="5875857A" w14:textId="334FCD6B" w:rsidR="00034AB5" w:rsidRDefault="00034AB5" w:rsidP="00034AB5">
      <w:pPr>
        <w:pStyle w:val="ListBullet"/>
      </w:pPr>
      <w:r>
        <w:t>Sustainable diversion limit compliance</w:t>
      </w:r>
    </w:p>
    <w:p w14:paraId="636CFB38" w14:textId="15C9F5AE" w:rsidR="00034AB5" w:rsidRDefault="00034AB5" w:rsidP="00034AB5">
      <w:pPr>
        <w:pStyle w:val="ListBullet"/>
      </w:pPr>
      <w:r>
        <w:t>Compliance risk assessment</w:t>
      </w:r>
    </w:p>
    <w:p w14:paraId="38F9C949" w14:textId="5E67D124" w:rsidR="00034AB5" w:rsidRDefault="00034AB5" w:rsidP="00034AB5">
      <w:pPr>
        <w:pStyle w:val="ListBullet"/>
      </w:pPr>
      <w:r>
        <w:t>State metering reform assurance</w:t>
      </w:r>
    </w:p>
    <w:p w14:paraId="5B785529" w14:textId="672D1F69" w:rsidR="00034AB5" w:rsidRDefault="00034AB5" w:rsidP="00034AB5">
      <w:pPr>
        <w:pStyle w:val="ListBullet"/>
      </w:pPr>
      <w:r>
        <w:t>Environmental Outcomes Program</w:t>
      </w:r>
    </w:p>
    <w:p w14:paraId="2A66FAA7" w14:textId="0368BE33" w:rsidR="00034AB5" w:rsidRDefault="00034AB5" w:rsidP="00034AB5">
      <w:pPr>
        <w:pStyle w:val="Heading3"/>
      </w:pPr>
      <w:r>
        <w:t>Audit and Investigations</w:t>
      </w:r>
    </w:p>
    <w:p w14:paraId="3710200C" w14:textId="3AA1BF07" w:rsidR="00034AB5" w:rsidRDefault="00034AB5" w:rsidP="00034AB5">
      <w:pPr>
        <w:pStyle w:val="ListBullet"/>
      </w:pPr>
      <w:r>
        <w:t>Case management</w:t>
      </w:r>
    </w:p>
    <w:p w14:paraId="72C9CC38" w14:textId="4A934F99" w:rsidR="00034AB5" w:rsidRDefault="00034AB5" w:rsidP="00034AB5">
      <w:pPr>
        <w:pStyle w:val="ListBullet"/>
      </w:pPr>
      <w:r>
        <w:t>Compliance audits</w:t>
      </w:r>
    </w:p>
    <w:p w14:paraId="04FBC5EC" w14:textId="59C2FC6A" w:rsidR="00034AB5" w:rsidRDefault="00034AB5" w:rsidP="00034AB5">
      <w:pPr>
        <w:pStyle w:val="ListBullet"/>
      </w:pPr>
      <w:r>
        <w:t>Investigations</w:t>
      </w:r>
    </w:p>
    <w:p w14:paraId="2D11936D" w14:textId="6B3B7925" w:rsidR="00034AB5" w:rsidRDefault="00034AB5" w:rsidP="00034AB5">
      <w:pPr>
        <w:pStyle w:val="Heading3"/>
      </w:pPr>
      <w:r>
        <w:t>Water Trade Regulation</w:t>
      </w:r>
    </w:p>
    <w:p w14:paraId="127CAC6A" w14:textId="269AE81D" w:rsidR="00034AB5" w:rsidRDefault="00034AB5" w:rsidP="00034AB5">
      <w:pPr>
        <w:pStyle w:val="ListBullet"/>
      </w:pPr>
      <w:r>
        <w:t>Water trade compliance expertise</w:t>
      </w:r>
    </w:p>
    <w:p w14:paraId="423B8BB8" w14:textId="275616EF" w:rsidR="00034AB5" w:rsidRDefault="00034AB5" w:rsidP="00034AB5">
      <w:pPr>
        <w:pStyle w:val="ListBullet"/>
      </w:pPr>
      <w:r>
        <w:t>Water markets regulatory reform liaison</w:t>
      </w:r>
    </w:p>
    <w:p w14:paraId="0F63F941" w14:textId="0939EF35" w:rsidR="00034AB5" w:rsidRDefault="00034AB5" w:rsidP="008F02CB">
      <w:pPr>
        <w:pStyle w:val="Heading2"/>
        <w:tabs>
          <w:tab w:val="right" w:pos="9638"/>
        </w:tabs>
      </w:pPr>
      <w:r>
        <w:t>Assistant Inspector-General Oversight</w:t>
      </w:r>
      <w:r w:rsidR="008F02CB">
        <w:tab/>
      </w:r>
    </w:p>
    <w:p w14:paraId="18FFACCD" w14:textId="0F32EB3C" w:rsidR="00034AB5" w:rsidRDefault="00034AB5" w:rsidP="00034AB5">
      <w:r>
        <w:t xml:space="preserve">Sheridan de </w:t>
      </w:r>
      <w:proofErr w:type="spellStart"/>
      <w:r>
        <w:t>Kruiff</w:t>
      </w:r>
      <w:proofErr w:type="spellEnd"/>
      <w:r>
        <w:t xml:space="preserve"> (Acting)</w:t>
      </w:r>
    </w:p>
    <w:p w14:paraId="080284B9" w14:textId="0033CF1C" w:rsidR="00034AB5" w:rsidRDefault="00034AB5" w:rsidP="00034AB5">
      <w:pPr>
        <w:pStyle w:val="Heading3"/>
      </w:pPr>
      <w:r>
        <w:t>Performance Assurance</w:t>
      </w:r>
    </w:p>
    <w:p w14:paraId="4A90F7F2" w14:textId="523AB266" w:rsidR="00034AB5" w:rsidRDefault="00034AB5" w:rsidP="00034AB5">
      <w:pPr>
        <w:pStyle w:val="ListBullet"/>
      </w:pPr>
      <w:r>
        <w:t xml:space="preserve">Monitoring </w:t>
      </w:r>
      <w:r w:rsidR="006A633F">
        <w:t>and</w:t>
      </w:r>
      <w:r>
        <w:t xml:space="preserve"> analysis of Basin government performance of duties, </w:t>
      </w:r>
      <w:r w:rsidR="006A633F">
        <w:t>obligations</w:t>
      </w:r>
      <w:r>
        <w:t xml:space="preserve"> and commitments</w:t>
      </w:r>
    </w:p>
    <w:p w14:paraId="1A2539EF" w14:textId="19A884CF" w:rsidR="00034AB5" w:rsidRDefault="006A633F" w:rsidP="00034AB5">
      <w:pPr>
        <w:pStyle w:val="ListBullet"/>
      </w:pPr>
      <w:r>
        <w:lastRenderedPageBreak/>
        <w:t>Performance assurance reporting</w:t>
      </w:r>
    </w:p>
    <w:p w14:paraId="06242C18" w14:textId="091C79CD" w:rsidR="006A633F" w:rsidRDefault="006A633F" w:rsidP="00034AB5">
      <w:pPr>
        <w:pStyle w:val="ListBullet"/>
      </w:pPr>
      <w:r>
        <w:t>Building evidence for performance improvements aimed at key strategic water management outcomes</w:t>
      </w:r>
    </w:p>
    <w:p w14:paraId="60CDED55" w14:textId="03125555" w:rsidR="006A633F" w:rsidRDefault="006A633F" w:rsidP="006A633F">
      <w:pPr>
        <w:pStyle w:val="Heading3"/>
      </w:pPr>
      <w:r>
        <w:t>Inquiry</w:t>
      </w:r>
    </w:p>
    <w:p w14:paraId="181DB63A" w14:textId="5E043A79" w:rsidR="006A633F" w:rsidRDefault="006A633F" w:rsidP="006A633F">
      <w:pPr>
        <w:pStyle w:val="ListBullet"/>
      </w:pPr>
      <w:r>
        <w:t>Assist the Inspector-General in carrying out their functions in section 294AA of the Water Act</w:t>
      </w:r>
    </w:p>
    <w:p w14:paraId="467E6983" w14:textId="2A953B98" w:rsidR="006A633F" w:rsidRDefault="006A633F" w:rsidP="006A633F">
      <w:pPr>
        <w:pStyle w:val="ListBullet"/>
      </w:pPr>
      <w:r>
        <w:t>Scoping of potential future inquiries</w:t>
      </w:r>
    </w:p>
    <w:p w14:paraId="5FCC5633" w14:textId="3A94702D" w:rsidR="006A633F" w:rsidRDefault="006A633F" w:rsidP="006A633F">
      <w:pPr>
        <w:pStyle w:val="Heading3"/>
      </w:pPr>
      <w:r>
        <w:t>Strategic Relations</w:t>
      </w:r>
    </w:p>
    <w:p w14:paraId="7F93A461" w14:textId="2A4E719F" w:rsidR="006A633F" w:rsidRDefault="00CE6FC6" w:rsidP="006A633F">
      <w:pPr>
        <w:pStyle w:val="ListBullet"/>
      </w:pPr>
      <w:r>
        <w:t>Regulatory collaboration</w:t>
      </w:r>
    </w:p>
    <w:p w14:paraId="5465AE73" w14:textId="51DFE990" w:rsidR="00CE6FC6" w:rsidRDefault="00CE6FC6" w:rsidP="006A633F">
      <w:pPr>
        <w:pStyle w:val="ListBullet"/>
      </w:pPr>
      <w:r>
        <w:t>State and Commonwealth government engagement</w:t>
      </w:r>
    </w:p>
    <w:p w14:paraId="03427F41" w14:textId="4B92E66C" w:rsidR="00CE6FC6" w:rsidRDefault="00CE6FC6" w:rsidP="006A633F">
      <w:pPr>
        <w:pStyle w:val="ListBullet"/>
      </w:pPr>
      <w:r>
        <w:t>Strategic stakeholder engagement</w:t>
      </w:r>
    </w:p>
    <w:p w14:paraId="2B7D7E64" w14:textId="6EEB858F" w:rsidR="00CE6FC6" w:rsidRDefault="00CE6FC6" w:rsidP="00CE6FC6">
      <w:pPr>
        <w:pStyle w:val="Heading2"/>
      </w:pPr>
      <w:r>
        <w:t>Chief Operating Officer</w:t>
      </w:r>
    </w:p>
    <w:p w14:paraId="41EBDC32" w14:textId="2E67D7FC" w:rsidR="00CE6FC6" w:rsidRDefault="00CE6FC6" w:rsidP="00CE6FC6">
      <w:r>
        <w:t>Vacant</w:t>
      </w:r>
    </w:p>
    <w:p w14:paraId="7D74F4A8" w14:textId="6B38F2B3" w:rsidR="00CE6FC6" w:rsidRDefault="00CE6FC6" w:rsidP="00CE6FC6">
      <w:pPr>
        <w:pStyle w:val="Heading3"/>
      </w:pPr>
      <w:r>
        <w:t>IT and Data</w:t>
      </w:r>
    </w:p>
    <w:p w14:paraId="2A8A0ED2" w14:textId="69743F5F" w:rsidR="00CE6FC6" w:rsidRDefault="00CE6FC6" w:rsidP="00CE6FC6">
      <w:pPr>
        <w:pStyle w:val="ListBullet"/>
      </w:pPr>
      <w:r>
        <w:t>ICT project management</w:t>
      </w:r>
    </w:p>
    <w:p w14:paraId="19EF3882" w14:textId="1BC7451F" w:rsidR="00CE6FC6" w:rsidRDefault="00CE6FC6" w:rsidP="00CE6FC6">
      <w:pPr>
        <w:pStyle w:val="ListBullet"/>
      </w:pPr>
      <w:r>
        <w:t>System design and development</w:t>
      </w:r>
    </w:p>
    <w:p w14:paraId="700B39DE" w14:textId="3C2ED770" w:rsidR="00CE6FC6" w:rsidRDefault="00CE6FC6" w:rsidP="00CE6FC6">
      <w:pPr>
        <w:pStyle w:val="ListBullet"/>
      </w:pPr>
      <w:r>
        <w:t>Data analytics</w:t>
      </w:r>
    </w:p>
    <w:p w14:paraId="171CD09E" w14:textId="7BCB6331" w:rsidR="00CE6FC6" w:rsidRDefault="00CE6FC6" w:rsidP="00CE6FC6">
      <w:pPr>
        <w:pStyle w:val="ListBullet"/>
      </w:pPr>
      <w:r>
        <w:t>IT training and support</w:t>
      </w:r>
    </w:p>
    <w:p w14:paraId="2D5735FA" w14:textId="45CC3136" w:rsidR="00CE6FC6" w:rsidRDefault="00CE6FC6" w:rsidP="00CE6FC6">
      <w:pPr>
        <w:pStyle w:val="Heading3"/>
      </w:pPr>
      <w:r>
        <w:t>Strategy and Governance</w:t>
      </w:r>
    </w:p>
    <w:p w14:paraId="2B4FB10C" w14:textId="3E26E1D1" w:rsidR="00CE6FC6" w:rsidRDefault="00CE6FC6" w:rsidP="00CE6FC6">
      <w:pPr>
        <w:pStyle w:val="ListBullet"/>
      </w:pPr>
      <w:r>
        <w:t>Strategy</w:t>
      </w:r>
    </w:p>
    <w:p w14:paraId="69EAA579" w14:textId="7223966C" w:rsidR="00CE6FC6" w:rsidRDefault="00CE6FC6" w:rsidP="00CE6FC6">
      <w:pPr>
        <w:pStyle w:val="ListBullet"/>
      </w:pPr>
      <w:r>
        <w:t>Risk</w:t>
      </w:r>
    </w:p>
    <w:p w14:paraId="148C1407" w14:textId="18A8AC64" w:rsidR="00CE6FC6" w:rsidRDefault="00CE6FC6" w:rsidP="00CE6FC6">
      <w:pPr>
        <w:pStyle w:val="ListBullet"/>
      </w:pPr>
      <w:r>
        <w:t>Finance and procurement</w:t>
      </w:r>
    </w:p>
    <w:p w14:paraId="491D9E4F" w14:textId="6FB4D9C0" w:rsidR="00CE6FC6" w:rsidRDefault="00CE6FC6" w:rsidP="00CE6FC6">
      <w:pPr>
        <w:pStyle w:val="ListBullet"/>
      </w:pPr>
      <w:r>
        <w:t>Coordination</w:t>
      </w:r>
    </w:p>
    <w:p w14:paraId="4CD7F413" w14:textId="228130DA" w:rsidR="00CE6FC6" w:rsidRDefault="00CE6FC6" w:rsidP="00CE6FC6">
      <w:pPr>
        <w:pStyle w:val="ListBullet"/>
      </w:pPr>
      <w:r>
        <w:t>People and culture</w:t>
      </w:r>
    </w:p>
    <w:p w14:paraId="7E82CD82" w14:textId="0FA62B8A" w:rsidR="00CE6FC6" w:rsidRDefault="00CE6FC6" w:rsidP="00CE6FC6">
      <w:pPr>
        <w:pStyle w:val="ListBullet"/>
      </w:pPr>
      <w:r>
        <w:t>Governance</w:t>
      </w:r>
    </w:p>
    <w:p w14:paraId="77FDC58A" w14:textId="4979CA63" w:rsidR="00CE6FC6" w:rsidRDefault="00CE6FC6" w:rsidP="00CE6FC6">
      <w:pPr>
        <w:pStyle w:val="ListBullet"/>
      </w:pPr>
      <w:r>
        <w:t>Administrative support</w:t>
      </w:r>
    </w:p>
    <w:p w14:paraId="7EBA9F5B" w14:textId="3C65C2DF" w:rsidR="000E7F35" w:rsidRDefault="000E7F35" w:rsidP="000E7F35">
      <w:pPr>
        <w:pStyle w:val="Heading3"/>
      </w:pPr>
      <w:r>
        <w:t>Regulatory Best Practice</w:t>
      </w:r>
    </w:p>
    <w:p w14:paraId="233662BD" w14:textId="115848EC" w:rsidR="000E7F35" w:rsidRDefault="00EF5A50" w:rsidP="000E7F35">
      <w:pPr>
        <w:pStyle w:val="ListBullet"/>
      </w:pPr>
      <w:r>
        <w:t>Improvement of IGWC regulatory maturity and performance</w:t>
      </w:r>
    </w:p>
    <w:p w14:paraId="103098E3" w14:textId="47207B00" w:rsidR="00EF5A50" w:rsidRDefault="00EF5A50" w:rsidP="000E7F35">
      <w:pPr>
        <w:pStyle w:val="ListBullet"/>
      </w:pPr>
      <w:r>
        <w:t>Legislative framework input</w:t>
      </w:r>
    </w:p>
    <w:p w14:paraId="71B356E0" w14:textId="46E093E4" w:rsidR="00EF5A50" w:rsidRDefault="00EF5A50" w:rsidP="000E7F35">
      <w:pPr>
        <w:pStyle w:val="ListBullet"/>
      </w:pPr>
      <w:r>
        <w:t>Regulatory policies and frameworks</w:t>
      </w:r>
    </w:p>
    <w:p w14:paraId="2A0777BB" w14:textId="4F745C2B" w:rsidR="00EF5A50" w:rsidRDefault="00C168F3" w:rsidP="00EF5A50">
      <w:pPr>
        <w:pStyle w:val="Heading2"/>
      </w:pPr>
      <w:r>
        <w:t>General Counsel</w:t>
      </w:r>
    </w:p>
    <w:p w14:paraId="3D0975D9" w14:textId="34CD0389" w:rsidR="00C168F3" w:rsidRDefault="00C168F3" w:rsidP="00C168F3">
      <w:r>
        <w:t>Peter Lyons (Acting)</w:t>
      </w:r>
    </w:p>
    <w:p w14:paraId="79235B78" w14:textId="4DB92584" w:rsidR="00C168F3" w:rsidRDefault="00C168F3" w:rsidP="00C168F3">
      <w:pPr>
        <w:pStyle w:val="Heading3"/>
      </w:pPr>
      <w:r>
        <w:t>Legal Services</w:t>
      </w:r>
    </w:p>
    <w:p w14:paraId="20B19AE0" w14:textId="7E3106CC" w:rsidR="00C168F3" w:rsidRDefault="00C168F3" w:rsidP="00C168F3">
      <w:pPr>
        <w:pStyle w:val="ListBullet"/>
      </w:pPr>
      <w:r>
        <w:t>Legal advice</w:t>
      </w:r>
    </w:p>
    <w:p w14:paraId="33B515AB" w14:textId="774BE14C" w:rsidR="00C168F3" w:rsidRDefault="00C168F3" w:rsidP="00C168F3">
      <w:pPr>
        <w:pStyle w:val="ListBullet"/>
      </w:pPr>
      <w:r>
        <w:t>Litigation support</w:t>
      </w:r>
    </w:p>
    <w:p w14:paraId="1C45ED1C" w14:textId="6A8461DD" w:rsidR="00C168F3" w:rsidRDefault="00C168F3" w:rsidP="00C168F3">
      <w:pPr>
        <w:pStyle w:val="ListBullet"/>
      </w:pPr>
      <w:r>
        <w:t>General operational advice</w:t>
      </w:r>
    </w:p>
    <w:p w14:paraId="0D215BC5" w14:textId="73BEECB4" w:rsidR="00C168F3" w:rsidRDefault="00C168F3" w:rsidP="00C168F3">
      <w:pPr>
        <w:pStyle w:val="ListBullet"/>
      </w:pPr>
      <w:r>
        <w:lastRenderedPageBreak/>
        <w:t>Administrative law</w:t>
      </w:r>
    </w:p>
    <w:p w14:paraId="4EF94E74" w14:textId="47D4BA33" w:rsidR="00C168F3" w:rsidRDefault="00C168F3" w:rsidP="00C168F3">
      <w:pPr>
        <w:pStyle w:val="ListBullet"/>
      </w:pPr>
      <w:r>
        <w:t>Commercial and contract law, statutory interpretation</w:t>
      </w:r>
    </w:p>
    <w:p w14:paraId="33E98B38" w14:textId="0ADB2167" w:rsidR="00C168F3" w:rsidRDefault="00C168F3" w:rsidP="00C168F3">
      <w:pPr>
        <w:pStyle w:val="ListBullet"/>
      </w:pPr>
      <w:r>
        <w:t>Workplace relations</w:t>
      </w:r>
    </w:p>
    <w:p w14:paraId="1119409F" w14:textId="3782C5ED" w:rsidR="00C168F3" w:rsidRDefault="00C168F3" w:rsidP="00C168F3">
      <w:pPr>
        <w:pStyle w:val="ListBullet"/>
      </w:pPr>
      <w:r>
        <w:t>FOI</w:t>
      </w:r>
    </w:p>
    <w:p w14:paraId="45666218" w14:textId="38F840F6" w:rsidR="00C168F3" w:rsidRDefault="00C025A1" w:rsidP="00C168F3">
      <w:pPr>
        <w:pStyle w:val="Heading3"/>
      </w:pPr>
      <w:r>
        <w:t>Enforcement</w:t>
      </w:r>
    </w:p>
    <w:p w14:paraId="1E6D29F5" w14:textId="1FF779FD" w:rsidR="00C025A1" w:rsidRDefault="00C025A1" w:rsidP="00C025A1">
      <w:pPr>
        <w:pStyle w:val="ListBullet"/>
      </w:pPr>
      <w:r>
        <w:t>Inquiries, audits and investigations support</w:t>
      </w:r>
    </w:p>
    <w:p w14:paraId="15868518" w14:textId="2D50814F" w:rsidR="00C025A1" w:rsidRDefault="00C025A1" w:rsidP="00C025A1">
      <w:pPr>
        <w:pStyle w:val="ListBullet"/>
      </w:pPr>
      <w:r>
        <w:t xml:space="preserve">Enforcement services, including </w:t>
      </w:r>
      <w:r w:rsidR="00844CE4">
        <w:t>litigations</w:t>
      </w:r>
    </w:p>
    <w:p w14:paraId="31A3B35E" w14:textId="351B83FC" w:rsidR="00C025A1" w:rsidRDefault="00C025A1" w:rsidP="00C025A1">
      <w:pPr>
        <w:pStyle w:val="ListBullet"/>
      </w:pPr>
      <w:r>
        <w:t>Expert strategic and operational advice</w:t>
      </w:r>
    </w:p>
    <w:p w14:paraId="3CFFB404" w14:textId="7267126B" w:rsidR="00C025A1" w:rsidRDefault="00C025A1" w:rsidP="00C025A1">
      <w:pPr>
        <w:pStyle w:val="ListBullet"/>
      </w:pPr>
      <w:r>
        <w:t>Drafting instructions to external Counsel and experts</w:t>
      </w:r>
      <w:r w:rsidR="00844CE4">
        <w:t>, drafting Court documents as required</w:t>
      </w:r>
    </w:p>
    <w:p w14:paraId="1E06679E" w14:textId="36D9686F" w:rsidR="00844CE4" w:rsidRPr="00C025A1" w:rsidRDefault="00844CE4" w:rsidP="00C025A1">
      <w:pPr>
        <w:pStyle w:val="ListBullet"/>
      </w:pPr>
      <w:r>
        <w:t>Project work</w:t>
      </w:r>
    </w:p>
    <w:sectPr w:rsidR="00844CE4" w:rsidRPr="00C025A1" w:rsidSect="00D7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4" w:right="1134" w:bottom="816" w:left="1134" w:header="425" w:footer="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D491" w14:textId="77777777" w:rsidR="003E0289" w:rsidRDefault="003E0289">
      <w:r>
        <w:separator/>
      </w:r>
    </w:p>
  </w:endnote>
  <w:endnote w:type="continuationSeparator" w:id="0">
    <w:p w14:paraId="508BFD05" w14:textId="77777777" w:rsidR="003E0289" w:rsidRDefault="003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DF74" w14:textId="2424028D" w:rsidR="00D7282E" w:rsidRDefault="00D72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4828F60" wp14:editId="59D936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238623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DAF12" w14:textId="19E225E6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28F6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B6DAF12" w14:textId="19E225E6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70D6" w14:textId="42C0D4BE" w:rsidR="00D7282E" w:rsidRDefault="00D72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6D595A0" wp14:editId="030E45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26879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54026" w14:textId="101AD0AB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95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254026" w14:textId="101AD0AB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CE4">
      <w:t>Inspector-General of Water Compliance</w:t>
    </w:r>
    <w:r w:rsidR="00844CE4">
      <w:tab/>
    </w:r>
    <w:r w:rsidR="00844CE4">
      <w:tab/>
      <w:t>Last updated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4A9C" w14:textId="37B3D688" w:rsidR="00B25458" w:rsidRPr="008F02CB" w:rsidRDefault="00D7282E" w:rsidP="008F02CB">
    <w:pPr>
      <w:pStyle w:val="Footer"/>
    </w:pPr>
    <w:r>
      <w:rPr>
        <w:noProof/>
        <w:color w:val="FFFFFF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015B36" wp14:editId="1C04E7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1416838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E3E31" w14:textId="5614BADC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15B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2E3E31" w14:textId="5614BADC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CE4">
      <w:t>I</w:t>
    </w:r>
    <w:r w:rsidR="00844CE4">
      <w:t>nspector-General of Water Compliance</w:t>
    </w:r>
    <w:r w:rsidR="00844CE4">
      <w:tab/>
    </w:r>
    <w:r w:rsidR="00844CE4">
      <w:tab/>
      <w:t>Last 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AC71" w14:textId="77777777" w:rsidR="003E0289" w:rsidRDefault="003E0289">
      <w:r>
        <w:separator/>
      </w:r>
    </w:p>
  </w:footnote>
  <w:footnote w:type="continuationSeparator" w:id="0">
    <w:p w14:paraId="7D999C0C" w14:textId="77777777" w:rsidR="003E0289" w:rsidRDefault="003E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02CA" w14:textId="4E508451" w:rsidR="00D7282E" w:rsidRDefault="00D728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1F0F697" wp14:editId="1CE3DA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709215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56755" w14:textId="2BA9D6B6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0F6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1956755" w14:textId="2BA9D6B6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D931" w14:textId="4D20F5A6" w:rsidR="00D7282E" w:rsidRDefault="00D728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47CD0BA" wp14:editId="442C4D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8427362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B05B9" w14:textId="5D87452D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CD0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02B05B9" w14:textId="5D87452D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FD6C" w14:textId="29CE8611" w:rsidR="002C07A5" w:rsidRPr="00DC6237" w:rsidRDefault="00D7282E" w:rsidP="00071327">
    <w:pPr>
      <w:rPr>
        <w:color w:val="00B050"/>
      </w:rPr>
    </w:pPr>
    <w:r>
      <w:rPr>
        <w:noProof/>
        <w:color w:val="00B05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27C0E7" wp14:editId="5998E9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46691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248A4" w14:textId="7A2984DB" w:rsidR="00D7282E" w:rsidRPr="00D7282E" w:rsidRDefault="00D7282E" w:rsidP="00D7282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7282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7C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D8248A4" w14:textId="7A2984DB" w:rsidR="00D7282E" w:rsidRPr="00D7282E" w:rsidRDefault="00D7282E" w:rsidP="00D7282E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7282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424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D2C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CA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86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D4B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08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469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40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E6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5456429"/>
    <w:multiLevelType w:val="multilevel"/>
    <w:tmpl w:val="D5F21E5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873422421">
    <w:abstractNumId w:val="27"/>
  </w:num>
  <w:num w:numId="2" w16cid:durableId="1369183811">
    <w:abstractNumId w:val="10"/>
  </w:num>
  <w:num w:numId="3" w16cid:durableId="1050762136">
    <w:abstractNumId w:val="25"/>
  </w:num>
  <w:num w:numId="4" w16cid:durableId="680820616">
    <w:abstractNumId w:val="23"/>
  </w:num>
  <w:num w:numId="5" w16cid:durableId="1296981726">
    <w:abstractNumId w:val="15"/>
  </w:num>
  <w:num w:numId="6" w16cid:durableId="1155218116">
    <w:abstractNumId w:val="14"/>
  </w:num>
  <w:num w:numId="7" w16cid:durableId="794908898">
    <w:abstractNumId w:val="22"/>
  </w:num>
  <w:num w:numId="8" w16cid:durableId="521748715">
    <w:abstractNumId w:val="13"/>
  </w:num>
  <w:num w:numId="9" w16cid:durableId="630326436">
    <w:abstractNumId w:val="12"/>
  </w:num>
  <w:num w:numId="10" w16cid:durableId="1911840279">
    <w:abstractNumId w:val="26"/>
  </w:num>
  <w:num w:numId="11" w16cid:durableId="732780042">
    <w:abstractNumId w:val="22"/>
  </w:num>
  <w:num w:numId="12" w16cid:durableId="10337261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13359">
    <w:abstractNumId w:val="17"/>
  </w:num>
  <w:num w:numId="14" w16cid:durableId="1729523979">
    <w:abstractNumId w:val="21"/>
  </w:num>
  <w:num w:numId="15" w16cid:durableId="2036496886">
    <w:abstractNumId w:val="24"/>
  </w:num>
  <w:num w:numId="16" w16cid:durableId="1039166682">
    <w:abstractNumId w:val="22"/>
  </w:num>
  <w:num w:numId="17" w16cid:durableId="13487971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466982">
    <w:abstractNumId w:val="22"/>
  </w:num>
  <w:num w:numId="19" w16cid:durableId="908737065">
    <w:abstractNumId w:val="18"/>
  </w:num>
  <w:num w:numId="20" w16cid:durableId="758906977">
    <w:abstractNumId w:val="22"/>
  </w:num>
  <w:num w:numId="21" w16cid:durableId="1322077478">
    <w:abstractNumId w:val="20"/>
  </w:num>
  <w:num w:numId="22" w16cid:durableId="989089942">
    <w:abstractNumId w:val="16"/>
  </w:num>
  <w:num w:numId="23" w16cid:durableId="344088894">
    <w:abstractNumId w:val="11"/>
  </w:num>
  <w:num w:numId="24" w16cid:durableId="660549014">
    <w:abstractNumId w:val="22"/>
  </w:num>
  <w:num w:numId="25" w16cid:durableId="297104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87277">
    <w:abstractNumId w:val="8"/>
  </w:num>
  <w:num w:numId="27" w16cid:durableId="1962026904">
    <w:abstractNumId w:val="19"/>
  </w:num>
  <w:num w:numId="28" w16cid:durableId="1984432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793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6400980">
    <w:abstractNumId w:val="22"/>
  </w:num>
  <w:num w:numId="31" w16cid:durableId="1867790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8876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2571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5336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14566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28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9377656">
    <w:abstractNumId w:val="0"/>
  </w:num>
  <w:num w:numId="38" w16cid:durableId="1055008973">
    <w:abstractNumId w:val="1"/>
  </w:num>
  <w:num w:numId="39" w16cid:durableId="716708820">
    <w:abstractNumId w:val="4"/>
  </w:num>
  <w:num w:numId="40" w16cid:durableId="2026786817">
    <w:abstractNumId w:val="5"/>
  </w:num>
  <w:num w:numId="41" w16cid:durableId="2050450974">
    <w:abstractNumId w:val="6"/>
  </w:num>
  <w:num w:numId="42" w16cid:durableId="1441876043">
    <w:abstractNumId w:val="9"/>
  </w:num>
  <w:num w:numId="43" w16cid:durableId="2008432762">
    <w:abstractNumId w:val="7"/>
  </w:num>
  <w:num w:numId="44" w16cid:durableId="1742175781">
    <w:abstractNumId w:val="3"/>
  </w:num>
  <w:num w:numId="45" w16cid:durableId="165991808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Light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32A0"/>
    <w:rsid w:val="00007DE1"/>
    <w:rsid w:val="000131EE"/>
    <w:rsid w:val="00034AB5"/>
    <w:rsid w:val="000514BD"/>
    <w:rsid w:val="00055589"/>
    <w:rsid w:val="000613B1"/>
    <w:rsid w:val="00071327"/>
    <w:rsid w:val="00082E59"/>
    <w:rsid w:val="00091B06"/>
    <w:rsid w:val="000D06D9"/>
    <w:rsid w:val="000D1751"/>
    <w:rsid w:val="000E5C12"/>
    <w:rsid w:val="000E7F35"/>
    <w:rsid w:val="000F55E7"/>
    <w:rsid w:val="00114BA0"/>
    <w:rsid w:val="001345C9"/>
    <w:rsid w:val="0014182C"/>
    <w:rsid w:val="00142E0B"/>
    <w:rsid w:val="00156132"/>
    <w:rsid w:val="0015695F"/>
    <w:rsid w:val="0017077A"/>
    <w:rsid w:val="00170D66"/>
    <w:rsid w:val="00170DC6"/>
    <w:rsid w:val="0017351A"/>
    <w:rsid w:val="001827C2"/>
    <w:rsid w:val="00186E6F"/>
    <w:rsid w:val="001C0255"/>
    <w:rsid w:val="001C0F11"/>
    <w:rsid w:val="001C1ABF"/>
    <w:rsid w:val="001F2A15"/>
    <w:rsid w:val="00204E35"/>
    <w:rsid w:val="00231A97"/>
    <w:rsid w:val="00234917"/>
    <w:rsid w:val="002561B9"/>
    <w:rsid w:val="00272B0B"/>
    <w:rsid w:val="002A3EEE"/>
    <w:rsid w:val="002A5A1E"/>
    <w:rsid w:val="002A7384"/>
    <w:rsid w:val="002B4251"/>
    <w:rsid w:val="002C07A5"/>
    <w:rsid w:val="002C086E"/>
    <w:rsid w:val="002C6C13"/>
    <w:rsid w:val="002D3EC0"/>
    <w:rsid w:val="002E351B"/>
    <w:rsid w:val="002E7966"/>
    <w:rsid w:val="0032356E"/>
    <w:rsid w:val="003268F7"/>
    <w:rsid w:val="00352BB1"/>
    <w:rsid w:val="00374588"/>
    <w:rsid w:val="00374903"/>
    <w:rsid w:val="00376A5A"/>
    <w:rsid w:val="00384EC2"/>
    <w:rsid w:val="0039416C"/>
    <w:rsid w:val="003A39E1"/>
    <w:rsid w:val="003A6733"/>
    <w:rsid w:val="003A7927"/>
    <w:rsid w:val="003B10AF"/>
    <w:rsid w:val="003B3811"/>
    <w:rsid w:val="003B64C4"/>
    <w:rsid w:val="003B7B80"/>
    <w:rsid w:val="003C464C"/>
    <w:rsid w:val="003D63BD"/>
    <w:rsid w:val="003E0289"/>
    <w:rsid w:val="003F7DA8"/>
    <w:rsid w:val="00402EF9"/>
    <w:rsid w:val="00406DCC"/>
    <w:rsid w:val="00407D3B"/>
    <w:rsid w:val="00412531"/>
    <w:rsid w:val="0041656D"/>
    <w:rsid w:val="0042763B"/>
    <w:rsid w:val="00435004"/>
    <w:rsid w:val="00463BE8"/>
    <w:rsid w:val="0046450A"/>
    <w:rsid w:val="00473F5B"/>
    <w:rsid w:val="00474D5B"/>
    <w:rsid w:val="00490047"/>
    <w:rsid w:val="004A3264"/>
    <w:rsid w:val="004B6AB8"/>
    <w:rsid w:val="004C561D"/>
    <w:rsid w:val="004E09A7"/>
    <w:rsid w:val="004E30CC"/>
    <w:rsid w:val="004E7BFE"/>
    <w:rsid w:val="004F33A8"/>
    <w:rsid w:val="004F5BB5"/>
    <w:rsid w:val="005102AB"/>
    <w:rsid w:val="00510BCE"/>
    <w:rsid w:val="005268BF"/>
    <w:rsid w:val="005359F0"/>
    <w:rsid w:val="0053658D"/>
    <w:rsid w:val="00537A12"/>
    <w:rsid w:val="00564FB9"/>
    <w:rsid w:val="00585FD1"/>
    <w:rsid w:val="005B2F67"/>
    <w:rsid w:val="005C5D99"/>
    <w:rsid w:val="005E3F3F"/>
    <w:rsid w:val="00606C45"/>
    <w:rsid w:val="00617D03"/>
    <w:rsid w:val="00622053"/>
    <w:rsid w:val="006318A8"/>
    <w:rsid w:val="0066217F"/>
    <w:rsid w:val="006701E1"/>
    <w:rsid w:val="00676E54"/>
    <w:rsid w:val="006A633F"/>
    <w:rsid w:val="006B2B83"/>
    <w:rsid w:val="006D01B3"/>
    <w:rsid w:val="006E0EC3"/>
    <w:rsid w:val="006E2B5F"/>
    <w:rsid w:val="006F3470"/>
    <w:rsid w:val="00710673"/>
    <w:rsid w:val="007140F9"/>
    <w:rsid w:val="00723BDE"/>
    <w:rsid w:val="00725B2A"/>
    <w:rsid w:val="00743ABB"/>
    <w:rsid w:val="007440F7"/>
    <w:rsid w:val="0074454B"/>
    <w:rsid w:val="00770DD9"/>
    <w:rsid w:val="00774B4C"/>
    <w:rsid w:val="00783454"/>
    <w:rsid w:val="00792822"/>
    <w:rsid w:val="007935B6"/>
    <w:rsid w:val="007A29DB"/>
    <w:rsid w:val="007C3F00"/>
    <w:rsid w:val="007E17AB"/>
    <w:rsid w:val="008015ED"/>
    <w:rsid w:val="0080536E"/>
    <w:rsid w:val="00843C1C"/>
    <w:rsid w:val="00844CE4"/>
    <w:rsid w:val="00854106"/>
    <w:rsid w:val="00861326"/>
    <w:rsid w:val="0087312F"/>
    <w:rsid w:val="008773E5"/>
    <w:rsid w:val="00892B80"/>
    <w:rsid w:val="008A0665"/>
    <w:rsid w:val="008A2AB3"/>
    <w:rsid w:val="008A6BDC"/>
    <w:rsid w:val="008A7636"/>
    <w:rsid w:val="008B1BA2"/>
    <w:rsid w:val="008B7E56"/>
    <w:rsid w:val="008D5EF9"/>
    <w:rsid w:val="008F02CB"/>
    <w:rsid w:val="008F1E81"/>
    <w:rsid w:val="008F202F"/>
    <w:rsid w:val="009067DC"/>
    <w:rsid w:val="009125C0"/>
    <w:rsid w:val="009427AA"/>
    <w:rsid w:val="00951AD8"/>
    <w:rsid w:val="009A12F5"/>
    <w:rsid w:val="009A412F"/>
    <w:rsid w:val="009A74DE"/>
    <w:rsid w:val="009C3510"/>
    <w:rsid w:val="009C47DF"/>
    <w:rsid w:val="009E078F"/>
    <w:rsid w:val="009F0367"/>
    <w:rsid w:val="00A0041E"/>
    <w:rsid w:val="00A122AB"/>
    <w:rsid w:val="00A27E49"/>
    <w:rsid w:val="00A4261E"/>
    <w:rsid w:val="00A645E5"/>
    <w:rsid w:val="00A74736"/>
    <w:rsid w:val="00A74C3E"/>
    <w:rsid w:val="00A74C64"/>
    <w:rsid w:val="00A94BCC"/>
    <w:rsid w:val="00AA2167"/>
    <w:rsid w:val="00AA7CB2"/>
    <w:rsid w:val="00AC4678"/>
    <w:rsid w:val="00AF02F5"/>
    <w:rsid w:val="00AF63BF"/>
    <w:rsid w:val="00B1156A"/>
    <w:rsid w:val="00B12041"/>
    <w:rsid w:val="00B25458"/>
    <w:rsid w:val="00B51968"/>
    <w:rsid w:val="00B86445"/>
    <w:rsid w:val="00B924B6"/>
    <w:rsid w:val="00BA0F24"/>
    <w:rsid w:val="00BA7881"/>
    <w:rsid w:val="00BD4930"/>
    <w:rsid w:val="00BE76F0"/>
    <w:rsid w:val="00BF7140"/>
    <w:rsid w:val="00BF7940"/>
    <w:rsid w:val="00C0103F"/>
    <w:rsid w:val="00C025A1"/>
    <w:rsid w:val="00C118DE"/>
    <w:rsid w:val="00C168F3"/>
    <w:rsid w:val="00C31363"/>
    <w:rsid w:val="00C322D8"/>
    <w:rsid w:val="00C4688F"/>
    <w:rsid w:val="00C47057"/>
    <w:rsid w:val="00C5495A"/>
    <w:rsid w:val="00C65F8C"/>
    <w:rsid w:val="00C721EA"/>
    <w:rsid w:val="00C827DA"/>
    <w:rsid w:val="00C82C04"/>
    <w:rsid w:val="00C83D74"/>
    <w:rsid w:val="00CA62BF"/>
    <w:rsid w:val="00CC0D65"/>
    <w:rsid w:val="00CC76D5"/>
    <w:rsid w:val="00CC7983"/>
    <w:rsid w:val="00CD12E6"/>
    <w:rsid w:val="00CD346C"/>
    <w:rsid w:val="00CE6FC6"/>
    <w:rsid w:val="00CF7A50"/>
    <w:rsid w:val="00D02834"/>
    <w:rsid w:val="00D3516F"/>
    <w:rsid w:val="00D37335"/>
    <w:rsid w:val="00D446A8"/>
    <w:rsid w:val="00D50C76"/>
    <w:rsid w:val="00D55F96"/>
    <w:rsid w:val="00D624A3"/>
    <w:rsid w:val="00D7282E"/>
    <w:rsid w:val="00D74235"/>
    <w:rsid w:val="00D775D1"/>
    <w:rsid w:val="00D80621"/>
    <w:rsid w:val="00DB4BB7"/>
    <w:rsid w:val="00DC6237"/>
    <w:rsid w:val="00DE06C0"/>
    <w:rsid w:val="00DF2153"/>
    <w:rsid w:val="00E200CC"/>
    <w:rsid w:val="00E37723"/>
    <w:rsid w:val="00E51BFA"/>
    <w:rsid w:val="00E56ACF"/>
    <w:rsid w:val="00E75161"/>
    <w:rsid w:val="00E77B8C"/>
    <w:rsid w:val="00E97A4A"/>
    <w:rsid w:val="00ED1B2C"/>
    <w:rsid w:val="00ED30D0"/>
    <w:rsid w:val="00ED327E"/>
    <w:rsid w:val="00EF5A50"/>
    <w:rsid w:val="00F03190"/>
    <w:rsid w:val="00F05B65"/>
    <w:rsid w:val="00F23F93"/>
    <w:rsid w:val="00F267AC"/>
    <w:rsid w:val="00F3130F"/>
    <w:rsid w:val="00F33200"/>
    <w:rsid w:val="00F33452"/>
    <w:rsid w:val="00F70602"/>
    <w:rsid w:val="00F76C72"/>
    <w:rsid w:val="00F8107D"/>
    <w:rsid w:val="00F81F21"/>
    <w:rsid w:val="00F92297"/>
    <w:rsid w:val="00F93899"/>
    <w:rsid w:val="00FA0421"/>
    <w:rsid w:val="00FA69DC"/>
    <w:rsid w:val="00FB0DE5"/>
    <w:rsid w:val="00FB2BF4"/>
    <w:rsid w:val="00FC2697"/>
    <w:rsid w:val="00FD1C48"/>
    <w:rsid w:val="00FD531D"/>
    <w:rsid w:val="00FE0C2F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53"/>
    <w:pPr>
      <w:pageBreakBefore/>
      <w:tabs>
        <w:tab w:val="center" w:pos="4513"/>
        <w:tab w:val="right" w:pos="9026"/>
      </w:tabs>
      <w:spacing w:after="480"/>
      <w:outlineLvl w:val="0"/>
    </w:pPr>
    <w:rPr>
      <w:b/>
      <w:color w:val="4C6968" w:themeColor="text1"/>
      <w:sz w:val="5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68F7"/>
    <w:pPr>
      <w:keepNext/>
      <w:spacing w:before="360" w:after="240"/>
      <w:outlineLvl w:val="1"/>
    </w:pPr>
    <w:rPr>
      <w:b/>
      <w:color w:val="48555E" w:themeColor="tex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68F7"/>
    <w:pPr>
      <w:keepNext/>
      <w:spacing w:before="120" w:after="120"/>
      <w:outlineLvl w:val="2"/>
    </w:pPr>
    <w:rPr>
      <w:rFonts w:cs="Arial"/>
      <w:b/>
      <w:color w:val="48555E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68F7"/>
    <w:pPr>
      <w:keepNext/>
      <w:spacing w:before="120"/>
      <w:outlineLvl w:val="3"/>
    </w:pPr>
    <w:rPr>
      <w:rFonts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15ED"/>
    <w:pPr>
      <w:keepNext/>
      <w:keepLines/>
      <w:spacing w:before="40" w:after="240"/>
      <w:outlineLvl w:val="4"/>
    </w:pPr>
    <w:rPr>
      <w:rFonts w:eastAsiaTheme="majorEastAsia" w:cstheme="majorBidi"/>
      <w:i/>
      <w:color w:val="4C6968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A62BF"/>
    <w:rPr>
      <w:b/>
      <w:color w:val="4C6968" w:themeColor="text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A62BF"/>
    <w:rPr>
      <w:rFonts w:ascii="Verdana" w:hAnsi="Verdana"/>
      <w:b/>
      <w:color w:val="4C6968" w:themeColor="text1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2153"/>
    <w:rPr>
      <w:rFonts w:ascii="Verdana" w:hAnsi="Verdana"/>
      <w:b/>
      <w:color w:val="4C6968" w:themeColor="text1"/>
      <w:sz w:val="5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68F7"/>
    <w:rPr>
      <w:rFonts w:ascii="Verdana" w:hAnsi="Verdana"/>
      <w:b/>
      <w:color w:val="48555E" w:themeColor="text2"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68F7"/>
    <w:rPr>
      <w:rFonts w:ascii="Verdana" w:hAnsi="Verdana" w:cs="Arial"/>
      <w:b/>
      <w:color w:val="48555E" w:themeColor="text2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68F7"/>
    <w:rPr>
      <w:rFonts w:ascii="Verdana" w:hAnsi="Verdana" w:cs="Arial"/>
      <w:lang w:eastAsia="en-US"/>
    </w:rPr>
  </w:style>
  <w:style w:type="paragraph" w:styleId="ListBullet">
    <w:name w:val="List Bullet"/>
    <w:basedOn w:val="Normal"/>
    <w:uiPriority w:val="99"/>
    <w:unhideWhenUsed/>
    <w:qFormat/>
    <w:rsid w:val="007C3F00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015ED"/>
    <w:rPr>
      <w:rFonts w:ascii="Verdana" w:eastAsiaTheme="majorEastAsia" w:hAnsi="Verdana" w:cstheme="majorBidi"/>
      <w:i/>
      <w:color w:val="4C6968" w:themeColor="text1"/>
      <w:sz w:val="20"/>
      <w:lang w:eastAsia="en-US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FE0C2F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FE0C2F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styleId="Header">
    <w:name w:val="header"/>
    <w:basedOn w:val="Normal"/>
    <w:link w:val="HeaderChar"/>
    <w:uiPriority w:val="99"/>
    <w:unhideWhenUsed/>
    <w:rsid w:val="004E0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A7"/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73F5B"/>
    <w:pPr>
      <w:spacing w:after="0"/>
      <w:contextualSpacing/>
    </w:pPr>
    <w:rPr>
      <w:rFonts w:eastAsiaTheme="majorEastAsia" w:cstheme="majorBidi"/>
      <w:b/>
      <w:color w:val="FFFFFF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5B"/>
    <w:rPr>
      <w:rFonts w:ascii="Verdana" w:eastAsiaTheme="majorEastAsia" w:hAnsi="Verdana" w:cstheme="majorBidi"/>
      <w:b/>
      <w:color w:val="FFFFFF"/>
      <w:spacing w:val="-10"/>
      <w:kern w:val="28"/>
      <w:sz w:val="70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1">
    <w:name w:val="Plain Table 1"/>
    <w:basedOn w:val="TableNormal"/>
    <w:uiPriority w:val="41"/>
    <w:rsid w:val="007C3F00"/>
    <w:tblPr>
      <w:tblStyleRowBandSize w:val="1"/>
      <w:tblStyleColBandSize w:val="1"/>
      <w:tblBorders>
        <w:top w:val="single" w:sz="4" w:space="0" w:color="72ADC4" w:themeColor="background1" w:themeShade="BF"/>
        <w:left w:val="single" w:sz="4" w:space="0" w:color="72ADC4" w:themeColor="background1" w:themeShade="BF"/>
        <w:bottom w:val="single" w:sz="4" w:space="0" w:color="72ADC4" w:themeColor="background1" w:themeShade="BF"/>
        <w:right w:val="single" w:sz="4" w:space="0" w:color="72ADC4" w:themeColor="background1" w:themeShade="BF"/>
        <w:insideH w:val="single" w:sz="4" w:space="0" w:color="72ADC4" w:themeColor="background1" w:themeShade="BF"/>
        <w:insideV w:val="single" w:sz="4" w:space="0" w:color="72ADC4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2ADC4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FDC" w:themeFill="background1" w:themeFillShade="F2"/>
      </w:tcPr>
    </w:tblStylePr>
    <w:tblStylePr w:type="band1Horz">
      <w:tblPr/>
      <w:tcPr>
        <w:shd w:val="clear" w:color="auto" w:fill="ACCFDC" w:themeFill="background1" w:themeFillShade="F2"/>
      </w:tcPr>
    </w:tblStylePr>
  </w:style>
  <w:style w:type="paragraph" w:customStyle="1" w:styleId="TableHeader">
    <w:name w:val="Table Header"/>
    <w:basedOn w:val="Normal"/>
    <w:qFormat/>
    <w:rsid w:val="003268F7"/>
    <w:pPr>
      <w:spacing w:before="120" w:after="120"/>
    </w:pPr>
    <w:rPr>
      <w:b/>
      <w:color w:val="FFFFFF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62BF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62BF"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TableText">
    <w:name w:val="Table Text"/>
    <w:basedOn w:val="Normal"/>
    <w:qFormat/>
    <w:rsid w:val="003268F7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rsid w:val="003268F7"/>
    <w:pPr>
      <w:spacing w:before="240" w:after="120"/>
    </w:pPr>
    <w:rPr>
      <w:color w:val="4C6968" w:themeColor="text1"/>
    </w:rPr>
  </w:style>
  <w:style w:type="table" w:styleId="TableGridLight">
    <w:name w:val="Grid Table Light"/>
    <w:basedOn w:val="TableNormal"/>
    <w:uiPriority w:val="40"/>
    <w:rsid w:val="003268F7"/>
    <w:rPr>
      <w:rFonts w:ascii="Verdana" w:hAnsi="Verdana"/>
      <w:sz w:val="20"/>
    </w:rPr>
    <w:tblPr>
      <w:tblBorders>
        <w:top w:val="single" w:sz="4" w:space="0" w:color="48555E" w:themeColor="text2"/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cPr>
        <w:shd w:val="clear" w:color="auto" w:fill="4C6968" w:themeFill="text1"/>
      </w:tcPr>
    </w:tblStyle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6ACF"/>
    <w:pPr>
      <w:numPr>
        <w:ilvl w:val="1"/>
      </w:numPr>
      <w:spacing w:before="360" w:after="160"/>
    </w:pPr>
    <w:rPr>
      <w:rFonts w:eastAsiaTheme="minorEastAsia" w:cstheme="minorBidi"/>
      <w:color w:val="FFFFF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6ACF"/>
    <w:rPr>
      <w:rFonts w:ascii="Verdana" w:eastAsiaTheme="minorEastAsia" w:hAnsi="Verdana" w:cstheme="minorBidi"/>
      <w:color w:val="FFFFFF"/>
      <w:spacing w:val="15"/>
      <w:sz w:val="30"/>
      <w:lang w:eastAsia="en-US"/>
    </w:rPr>
  </w:style>
  <w:style w:type="paragraph" w:customStyle="1" w:styleId="Author">
    <w:name w:val="Author"/>
    <w:basedOn w:val="Normal"/>
    <w:qFormat/>
    <w:rsid w:val="00E56ACF"/>
    <w:pPr>
      <w:spacing w:before="600" w:after="120"/>
    </w:pPr>
    <w:rPr>
      <w:color w:val="FFFFFF"/>
    </w:rPr>
  </w:style>
  <w:style w:type="paragraph" w:customStyle="1" w:styleId="IntroductionParagraph">
    <w:name w:val="Introduction Paragraph"/>
    <w:basedOn w:val="Normal"/>
    <w:qFormat/>
    <w:rsid w:val="002C07A5"/>
    <w:pPr>
      <w:spacing w:after="360"/>
    </w:pPr>
    <w:rPr>
      <w:b/>
      <w:color w:val="FFFFFF"/>
      <w:sz w:val="28"/>
    </w:rPr>
  </w:style>
  <w:style w:type="paragraph" w:customStyle="1" w:styleId="NormalWhite">
    <w:name w:val="Normal White"/>
    <w:basedOn w:val="Normal"/>
    <w:qFormat/>
    <w:rsid w:val="002C07A5"/>
    <w:rPr>
      <w:color w:val="FFFFFF"/>
    </w:rPr>
  </w:style>
  <w:style w:type="paragraph" w:customStyle="1" w:styleId="FigureHeading">
    <w:name w:val="Figure Heading"/>
    <w:basedOn w:val="TableHeading"/>
    <w:qFormat/>
    <w:rsid w:val="00142E0B"/>
  </w:style>
  <w:style w:type="paragraph" w:styleId="TOC2">
    <w:name w:val="toc 2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20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1C0F11"/>
    <w:pPr>
      <w:tabs>
        <w:tab w:val="right" w:leader="dot" w:pos="9628"/>
      </w:tabs>
      <w:spacing w:before="240" w:after="100"/>
    </w:pPr>
    <w:rPr>
      <w:b/>
      <w:noProof/>
      <w:color w:val="48555E" w:themeColor="text2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400"/>
    </w:pPr>
    <w:rPr>
      <w:noProof/>
    </w:rPr>
  </w:style>
  <w:style w:type="paragraph" w:customStyle="1" w:styleId="AppendicesHeading1">
    <w:name w:val="Appendices Heading 1"/>
    <w:basedOn w:val="Heading1"/>
    <w:qFormat/>
    <w:rsid w:val="007935B6"/>
  </w:style>
  <w:style w:type="paragraph" w:customStyle="1" w:styleId="AppendicesHeading2">
    <w:name w:val="Appendices Heading 2"/>
    <w:basedOn w:val="Heading2"/>
    <w:qFormat/>
    <w:rsid w:val="007935B6"/>
  </w:style>
  <w:style w:type="paragraph" w:customStyle="1" w:styleId="AppendicesHeading3">
    <w:name w:val="Appendices Heading 3"/>
    <w:basedOn w:val="Heading3"/>
    <w:qFormat/>
    <w:rsid w:val="007935B6"/>
  </w:style>
  <w:style w:type="paragraph" w:customStyle="1" w:styleId="AppendicesHeading4">
    <w:name w:val="Appendices Heading 4"/>
    <w:basedOn w:val="Heading4"/>
    <w:qFormat/>
    <w:rsid w:val="007935B6"/>
  </w:style>
  <w:style w:type="paragraph" w:customStyle="1" w:styleId="AppendicesHeading5">
    <w:name w:val="Appendices Heading 5"/>
    <w:basedOn w:val="Heading5"/>
    <w:qFormat/>
    <w:rsid w:val="007935B6"/>
  </w:style>
  <w:style w:type="paragraph" w:customStyle="1" w:styleId="Instructions">
    <w:name w:val="Instructions"/>
    <w:basedOn w:val="Normal"/>
    <w:qFormat/>
    <w:rsid w:val="001C0F11"/>
    <w:pPr>
      <w:pBdr>
        <w:top w:val="single" w:sz="4" w:space="1" w:color="BCD8E3" w:themeColor="background1"/>
        <w:left w:val="single" w:sz="4" w:space="4" w:color="BCD8E3" w:themeColor="background1"/>
        <w:bottom w:val="single" w:sz="4" w:space="1" w:color="BCD8E3" w:themeColor="background1"/>
        <w:right w:val="single" w:sz="4" w:space="4" w:color="BCD8E3" w:themeColor="background1"/>
      </w:pBdr>
      <w:shd w:val="clear" w:color="auto" w:fill="BCD8E3" w:themeFill="background1"/>
      <w:ind w:left="113" w:right="113"/>
    </w:pPr>
  </w:style>
  <w:style w:type="character" w:styleId="Emphasis">
    <w:name w:val="Emphasis"/>
    <w:basedOn w:val="DefaultParagraphFont"/>
    <w:uiPriority w:val="20"/>
    <w:qFormat/>
    <w:rsid w:val="00C118DE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8DE"/>
    <w:pPr>
      <w:suppressAutoHyphens/>
      <w:spacing w:before="60" w:after="60"/>
    </w:pPr>
    <w:rPr>
      <w:rFonts w:ascii="Arial" w:eastAsiaTheme="minorEastAsia" w:hAnsi="Arial" w:cstheme="minorBidi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8DE"/>
    <w:rPr>
      <w:rFonts w:eastAsiaTheme="minorEastAsia" w:cstheme="minorBid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AD065-0011-4731-AE8C-0672F357D4CB}"/>
</file>

<file path=customXml/itemProps2.xml><?xml version="1.0" encoding="utf-8"?>
<ds:datastoreItem xmlns:ds="http://schemas.openxmlformats.org/officeDocument/2006/customXml" ds:itemID="{15EDD809-758C-4B90-A45F-7794C7D68F6C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Internal_general_briefing_template.dotx</Template>
  <TotalTime>18</TotalTime>
  <Pages>3</Pages>
  <Words>250</Words>
  <Characters>1887</Characters>
  <DocSecurity>0</DocSecurity>
  <Lines>76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general briefing template</vt:lpstr>
    </vt:vector>
  </TitlesOfParts>
  <Manager/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Organisationl structure</dc:title>
  <dc:subject>
  </dc:subject>
  <dc:creator>Inspector-General of Water Compliance</dc:creator>
  <cp:keywords>
  </cp:keywords>
  <dc:description>
  </dc:description>
  <cp:lastPrinted>2021-12-15T06:45:00Z</cp:lastPrinted>
  <dcterms:created xsi:type="dcterms:W3CDTF">2024-09-16T00:25:00Z</dcterms:created>
  <dcterms:modified xsi:type="dcterms:W3CDTF">2024-09-16T00:43:00Z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2bea38ac,454b0816,6c439ce6,6b91110a,1025ef3b,22d34ed8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7d8eeb45,3d96d51b,417c6987,5a406045,72abcf43,55fdaba8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</Properties>
</file>