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E9296" w14:textId="517405F4" w:rsidR="123FBA1F" w:rsidRDefault="004D7E81" w:rsidP="123FBA1F">
      <w:r>
        <w:rPr>
          <w:noProof/>
        </w:rPr>
        <w:drawing>
          <wp:anchor distT="0" distB="0" distL="114300" distR="114300" simplePos="0" relativeHeight="251659264" behindDoc="1" locked="0" layoutInCell="1" allowOverlap="1" wp14:anchorId="6A53A8A7" wp14:editId="0E148639">
            <wp:simplePos x="0" y="0"/>
            <wp:positionH relativeFrom="page">
              <wp:posOffset>621540</wp:posOffset>
            </wp:positionH>
            <wp:positionV relativeFrom="page">
              <wp:posOffset>696595</wp:posOffset>
            </wp:positionV>
            <wp:extent cx="3600450" cy="1040130"/>
            <wp:effectExtent l="0" t="0" r="0" b="0"/>
            <wp:wrapSquare wrapText="bothSides"/>
            <wp:docPr id="1939233993" name="Picture 193923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233993" name="Picture 1939233993">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733">
        <w:rPr>
          <w:noProof/>
        </w:rPr>
        <w:drawing>
          <wp:anchor distT="0" distB="0" distL="114300" distR="114300" simplePos="0" relativeHeight="251661312" behindDoc="1" locked="1" layoutInCell="1" allowOverlap="1" wp14:anchorId="516ECF9C" wp14:editId="48DD137C">
            <wp:simplePos x="0" y="0"/>
            <wp:positionH relativeFrom="column">
              <wp:posOffset>-731406</wp:posOffset>
            </wp:positionH>
            <wp:positionV relativeFrom="page">
              <wp:posOffset>3175</wp:posOffset>
            </wp:positionV>
            <wp:extent cx="7596000" cy="10749600"/>
            <wp:effectExtent l="0" t="0" r="0" b="0"/>
            <wp:wrapNone/>
            <wp:docPr id="269051987" name="Picture 269051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51987" name="Picture 26905198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6000" cy="10749600"/>
                    </a:xfrm>
                    <a:prstGeom prst="rect">
                      <a:avLst/>
                    </a:prstGeom>
                  </pic:spPr>
                </pic:pic>
              </a:graphicData>
            </a:graphic>
            <wp14:sizeRelH relativeFrom="page">
              <wp14:pctWidth>0</wp14:pctWidth>
            </wp14:sizeRelH>
            <wp14:sizeRelV relativeFrom="page">
              <wp14:pctHeight>0</wp14:pctHeight>
            </wp14:sizeRelV>
          </wp:anchor>
        </w:drawing>
      </w:r>
    </w:p>
    <w:p w14:paraId="569AF57A" w14:textId="0A7C0E99" w:rsidR="00C50364" w:rsidRDefault="00B00BB1" w:rsidP="00B00BB1">
      <w:pPr>
        <w:pStyle w:val="Title"/>
      </w:pPr>
      <w:r>
        <w:t xml:space="preserve">Sustainable Diversion Limit Compliance Statement </w:t>
      </w:r>
    </w:p>
    <w:p w14:paraId="0FF9FE80" w14:textId="2B54284E" w:rsidR="00B00BB1" w:rsidRDefault="00B00BB1" w:rsidP="00B00BB1">
      <w:pPr>
        <w:pStyle w:val="Title"/>
      </w:pPr>
      <w:r>
        <w:t>for 2022-2023</w:t>
      </w:r>
    </w:p>
    <w:p w14:paraId="04A5407B" w14:textId="77777777" w:rsidR="00B00BB1" w:rsidRDefault="00B00BB1" w:rsidP="00B00BB1">
      <w:pPr>
        <w:pStyle w:val="Subtitle"/>
      </w:pPr>
      <w:r>
        <w:t>Inspector-General of Water Compliance</w:t>
      </w:r>
    </w:p>
    <w:p w14:paraId="52A76934" w14:textId="77777777" w:rsidR="00B00BB1" w:rsidRDefault="00B00BB1" w:rsidP="00B00BB1">
      <w:pPr>
        <w:rPr>
          <w:b/>
          <w:bCs/>
          <w:color w:val="E7E6E6" w:themeColor="background2"/>
        </w:rPr>
      </w:pPr>
    </w:p>
    <w:p w14:paraId="7B7BC468" w14:textId="77777777" w:rsidR="00B00BB1" w:rsidRDefault="00B00BB1" w:rsidP="00B00BB1">
      <w:pPr>
        <w:rPr>
          <w:b/>
          <w:bCs/>
          <w:color w:val="E7E6E6" w:themeColor="background2"/>
        </w:rPr>
      </w:pPr>
    </w:p>
    <w:p w14:paraId="4E50D88C" w14:textId="424E9586" w:rsidR="00BB62DB" w:rsidRDefault="00E201F5" w:rsidP="00B00BB1">
      <w:pPr>
        <w:rPr>
          <w:b/>
          <w:bCs/>
          <w:color w:val="E7E6E6" w:themeColor="background2"/>
        </w:rPr>
      </w:pPr>
      <w:r>
        <w:rPr>
          <w:b/>
          <w:bCs/>
          <w:color w:val="E7E6E6" w:themeColor="background2"/>
        </w:rPr>
        <w:t>July</w:t>
      </w:r>
      <w:r w:rsidR="00BB62DB">
        <w:rPr>
          <w:b/>
          <w:bCs/>
          <w:color w:val="E7E6E6" w:themeColor="background2"/>
        </w:rPr>
        <w:t xml:space="preserve"> 2024</w:t>
      </w:r>
    </w:p>
    <w:p w14:paraId="07FC3C62" w14:textId="1A99C961" w:rsidR="00473F5B" w:rsidRDefault="00473F5B">
      <w:pPr>
        <w:spacing w:after="0"/>
        <w:rPr>
          <w:b/>
          <w:color w:val="FFFFFF"/>
          <w:sz w:val="60"/>
          <w:szCs w:val="24"/>
        </w:rPr>
      </w:pPr>
      <w:r>
        <w:br w:type="page"/>
      </w:r>
    </w:p>
    <w:p w14:paraId="04CA522E" w14:textId="27F031D4" w:rsidR="0089171C" w:rsidRDefault="0089171C">
      <w:pPr>
        <w:spacing w:after="0"/>
        <w:rPr>
          <w:szCs w:val="20"/>
        </w:rPr>
      </w:pPr>
    </w:p>
    <w:p w14:paraId="4044C11E" w14:textId="2DF23192" w:rsidR="00C118DE" w:rsidRPr="00452256" w:rsidRDefault="00C118DE" w:rsidP="00C118DE">
      <w:pPr>
        <w:rPr>
          <w:szCs w:val="20"/>
        </w:rPr>
      </w:pPr>
      <w:r w:rsidRPr="00452256">
        <w:rPr>
          <w:szCs w:val="20"/>
        </w:rPr>
        <w:t>© Commonwealth of Australia 202</w:t>
      </w:r>
      <w:r w:rsidR="00DF5850">
        <w:rPr>
          <w:szCs w:val="20"/>
        </w:rPr>
        <w:t>3</w:t>
      </w:r>
    </w:p>
    <w:p w14:paraId="28B179DA" w14:textId="77777777" w:rsidR="00C118DE" w:rsidRPr="00452256" w:rsidRDefault="00C118DE" w:rsidP="00C118DE">
      <w:pPr>
        <w:rPr>
          <w:rStyle w:val="Strong"/>
          <w:szCs w:val="20"/>
        </w:rPr>
      </w:pPr>
      <w:r w:rsidRPr="00452256">
        <w:rPr>
          <w:rStyle w:val="Strong"/>
          <w:szCs w:val="20"/>
        </w:rPr>
        <w:t>Ownership of intellectual property rights</w:t>
      </w:r>
    </w:p>
    <w:p w14:paraId="3B9C6235" w14:textId="77777777" w:rsidR="00C118DE" w:rsidRPr="00452256" w:rsidRDefault="00C118DE" w:rsidP="00C118DE">
      <w:pPr>
        <w:rPr>
          <w:szCs w:val="20"/>
        </w:rPr>
      </w:pPr>
      <w:r w:rsidRPr="00452256">
        <w:rPr>
          <w:szCs w:val="20"/>
        </w:rPr>
        <w:t>Unless otherwise noted, copyright (and any other intellectual property rights) in this publication is owned by the Commonwealth of Australia (referred to as the Commonwealth).</w:t>
      </w:r>
    </w:p>
    <w:p w14:paraId="79706610" w14:textId="77777777" w:rsidR="00C118DE" w:rsidRPr="00452256" w:rsidRDefault="00C118DE" w:rsidP="00C118DE">
      <w:pPr>
        <w:rPr>
          <w:rStyle w:val="Strong"/>
          <w:szCs w:val="20"/>
        </w:rPr>
      </w:pPr>
      <w:r w:rsidRPr="00452256">
        <w:rPr>
          <w:rStyle w:val="Strong"/>
          <w:szCs w:val="20"/>
        </w:rPr>
        <w:t xml:space="preserve">Creative Commons licence </w:t>
      </w:r>
    </w:p>
    <w:p w14:paraId="680879B5" w14:textId="77777777" w:rsidR="00C118DE" w:rsidRPr="00452256" w:rsidRDefault="00C118DE" w:rsidP="00C118DE">
      <w:pPr>
        <w:rPr>
          <w:szCs w:val="20"/>
        </w:rPr>
      </w:pPr>
      <w:r w:rsidRPr="00452256">
        <w:rPr>
          <w:szCs w:val="20"/>
        </w:rPr>
        <w:t xml:space="preserve">All material in this publication is licensed under a Creative Commons Attribution 4.0 International Licence, except for content supplied by third parties, logos and the Commonwealth Coat of Arms. </w:t>
      </w:r>
    </w:p>
    <w:p w14:paraId="2832055F" w14:textId="77777777" w:rsidR="00C118DE" w:rsidRPr="00452256" w:rsidRDefault="00C118DE" w:rsidP="00C118DE">
      <w:pPr>
        <w:rPr>
          <w:szCs w:val="20"/>
        </w:rPr>
      </w:pPr>
      <w:r w:rsidRPr="00452256">
        <w:rPr>
          <w:szCs w:val="20"/>
        </w:rPr>
        <w:t xml:space="preserve">Inquiries about the licence and any use of this document should be emailed to </w:t>
      </w:r>
      <w:hyperlink r:id="rId13" w:history="1">
        <w:r w:rsidRPr="00452256">
          <w:rPr>
            <w:rStyle w:val="Hyperlink"/>
            <w:szCs w:val="20"/>
          </w:rPr>
          <w:t>copyright@dcceew.gov.au</w:t>
        </w:r>
      </w:hyperlink>
      <w:r w:rsidRPr="00452256">
        <w:rPr>
          <w:szCs w:val="20"/>
        </w:rPr>
        <w:t>.</w:t>
      </w:r>
    </w:p>
    <w:p w14:paraId="2204E794" w14:textId="77777777" w:rsidR="00C118DE" w:rsidRPr="00452256" w:rsidRDefault="00C118DE" w:rsidP="00C118DE">
      <w:pPr>
        <w:rPr>
          <w:szCs w:val="20"/>
        </w:rPr>
      </w:pPr>
      <w:r w:rsidRPr="00452256">
        <w:rPr>
          <w:noProof/>
          <w:szCs w:val="20"/>
          <w:lang w:eastAsia="en-AU"/>
        </w:rPr>
        <w:drawing>
          <wp:inline distT="0" distB="0" distL="0" distR="0" wp14:anchorId="05DB0953" wp14:editId="3F0175E4">
            <wp:extent cx="724535" cy="2552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134D8FB" w14:textId="77777777" w:rsidR="00C118DE" w:rsidRPr="00452256" w:rsidRDefault="00C118DE" w:rsidP="00C118DE">
      <w:pPr>
        <w:rPr>
          <w:rStyle w:val="Strong"/>
          <w:szCs w:val="20"/>
        </w:rPr>
      </w:pPr>
      <w:r w:rsidRPr="00452256">
        <w:rPr>
          <w:rStyle w:val="Strong"/>
          <w:szCs w:val="20"/>
        </w:rPr>
        <w:t>Cataloguing data</w:t>
      </w:r>
    </w:p>
    <w:p w14:paraId="5374E236" w14:textId="5E8D17CB" w:rsidR="00C118DE" w:rsidRPr="00452256" w:rsidRDefault="00C118DE" w:rsidP="00C118DE">
      <w:pPr>
        <w:rPr>
          <w:szCs w:val="20"/>
        </w:rPr>
      </w:pPr>
      <w:r w:rsidRPr="00452256">
        <w:rPr>
          <w:szCs w:val="20"/>
        </w:rPr>
        <w:t xml:space="preserve">This publication (and any material sourced from it) should be attributed as: </w:t>
      </w:r>
      <w:r w:rsidR="001C51BA" w:rsidRPr="00452256">
        <w:rPr>
          <w:szCs w:val="20"/>
        </w:rPr>
        <w:t>Inspector-General of Water Compliance 202</w:t>
      </w:r>
      <w:r w:rsidR="001C51BA">
        <w:rPr>
          <w:szCs w:val="20"/>
        </w:rPr>
        <w:t>4</w:t>
      </w:r>
      <w:r w:rsidR="001C51BA" w:rsidRPr="00452256">
        <w:rPr>
          <w:szCs w:val="20"/>
        </w:rPr>
        <w:t xml:space="preserve">, </w:t>
      </w:r>
      <w:r w:rsidR="001C51BA">
        <w:rPr>
          <w:szCs w:val="20"/>
        </w:rPr>
        <w:t xml:space="preserve">Sustainable Diversion Limit Compliance Statement 2022-2023, </w:t>
      </w:r>
      <w:r w:rsidRPr="00452256">
        <w:rPr>
          <w:szCs w:val="20"/>
        </w:rPr>
        <w:t xml:space="preserve">the Australian Government, Canberra, </w:t>
      </w:r>
      <w:r w:rsidR="00B71A60">
        <w:rPr>
          <w:szCs w:val="20"/>
        </w:rPr>
        <w:t>July 2024</w:t>
      </w:r>
      <w:r w:rsidRPr="00452256">
        <w:rPr>
          <w:szCs w:val="20"/>
        </w:rPr>
        <w:t>. CC BY 4.0.</w:t>
      </w:r>
    </w:p>
    <w:p w14:paraId="461700F7" w14:textId="6B105F35" w:rsidR="00C118DE" w:rsidRPr="00452256" w:rsidRDefault="00C118DE" w:rsidP="00C118DE">
      <w:pPr>
        <w:rPr>
          <w:rStyle w:val="Hyperlink"/>
          <w:szCs w:val="20"/>
        </w:rPr>
      </w:pPr>
      <w:r w:rsidRPr="00452256">
        <w:rPr>
          <w:szCs w:val="20"/>
        </w:rPr>
        <w:t xml:space="preserve">This publication is available </w:t>
      </w:r>
      <w:r w:rsidRPr="00511ACA">
        <w:rPr>
          <w:szCs w:val="20"/>
        </w:rPr>
        <w:t xml:space="preserve">at </w:t>
      </w:r>
      <w:hyperlink r:id="rId15" w:history="1">
        <w:r w:rsidR="00B6497C" w:rsidRPr="00B6497C">
          <w:rPr>
            <w:rStyle w:val="Hyperlink"/>
          </w:rPr>
          <w:t>https://www.igwc.gov.au/publications/reviews-reports</w:t>
        </w:r>
      </w:hyperlink>
    </w:p>
    <w:p w14:paraId="7B8CEB47" w14:textId="77777777" w:rsidR="00C118DE" w:rsidRPr="00452256" w:rsidRDefault="00C118DE" w:rsidP="00C118DE">
      <w:pPr>
        <w:rPr>
          <w:szCs w:val="20"/>
        </w:rPr>
      </w:pPr>
      <w:r w:rsidRPr="00452256">
        <w:rPr>
          <w:szCs w:val="20"/>
        </w:rPr>
        <w:t>Inspector-General of Water Compliance</w:t>
      </w:r>
      <w:r w:rsidRPr="00452256">
        <w:rPr>
          <w:szCs w:val="20"/>
        </w:rPr>
        <w:br/>
        <w:t>GPO Box 3090 Canberra ACT 2601</w:t>
      </w:r>
    </w:p>
    <w:p w14:paraId="682B040B" w14:textId="77777777" w:rsidR="00C118DE" w:rsidRPr="00452256" w:rsidRDefault="00C118DE" w:rsidP="00C118DE">
      <w:pPr>
        <w:rPr>
          <w:rStyle w:val="Strong"/>
          <w:szCs w:val="20"/>
        </w:rPr>
      </w:pPr>
      <w:r w:rsidRPr="00452256">
        <w:rPr>
          <w:rStyle w:val="Strong"/>
          <w:szCs w:val="20"/>
        </w:rPr>
        <w:t>Disclaimer</w:t>
      </w:r>
    </w:p>
    <w:p w14:paraId="55470092" w14:textId="77777777" w:rsidR="00C118DE" w:rsidRPr="00452256" w:rsidRDefault="00C118DE" w:rsidP="00C118DE">
      <w:pPr>
        <w:rPr>
          <w:szCs w:val="20"/>
        </w:rPr>
      </w:pPr>
      <w:r w:rsidRPr="00452256">
        <w:rPr>
          <w:szCs w:val="20"/>
        </w:rPr>
        <w:t xml:space="preserve">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w:t>
      </w:r>
      <w:proofErr w:type="gramStart"/>
      <w:r w:rsidRPr="00452256">
        <w:rPr>
          <w:szCs w:val="20"/>
        </w:rPr>
        <w:t>expense</w:t>
      </w:r>
      <w:proofErr w:type="gramEnd"/>
      <w:r w:rsidRPr="00452256">
        <w:rPr>
          <w:szCs w:val="20"/>
        </w:rPr>
        <w:t xml:space="preserve"> or cost incurred by any person as a result of accessing, using or relying on any of the information or data in this publication to the maximum extent permitted by law.</w:t>
      </w:r>
    </w:p>
    <w:p w14:paraId="1FEDD46E" w14:textId="77777777" w:rsidR="00C118DE" w:rsidRPr="00452256" w:rsidRDefault="00C118DE" w:rsidP="00C118DE">
      <w:pPr>
        <w:rPr>
          <w:rStyle w:val="Strong"/>
          <w:szCs w:val="20"/>
        </w:rPr>
      </w:pPr>
      <w:r w:rsidRPr="00452256">
        <w:rPr>
          <w:rStyle w:val="Strong"/>
          <w:szCs w:val="20"/>
        </w:rPr>
        <w:t>Acknowledgement of the Traditional Owners of the Murray–Darling Basin</w:t>
      </w:r>
    </w:p>
    <w:p w14:paraId="45B7AE50" w14:textId="77777777" w:rsidR="00537A12" w:rsidRPr="00537A12" w:rsidRDefault="00537A12" w:rsidP="00537A12">
      <w:pPr>
        <w:rPr>
          <w:szCs w:val="20"/>
        </w:rPr>
      </w:pPr>
      <w:r w:rsidRPr="00537A12">
        <w:t>We pay our respects to the Traditional Owners and their Nations of the Murray-Darling Basin. We acknowledge their deep cultural, social, environmental, spiritual and economic connection to their lands and waters.</w:t>
      </w:r>
    </w:p>
    <w:p w14:paraId="4EC63EA8" w14:textId="77777777" w:rsidR="00537A12" w:rsidRPr="00537A12" w:rsidRDefault="00537A12" w:rsidP="00537A12">
      <w:r w:rsidRPr="00537A12">
        <w:t xml:space="preserve">Aboriginal people should be aware that this publication may contain images, names or quotations of deceased persons. </w:t>
      </w:r>
    </w:p>
    <w:p w14:paraId="10795F39" w14:textId="77777777" w:rsidR="00C118DE" w:rsidRPr="00452256" w:rsidRDefault="00C118DE" w:rsidP="00C118DE">
      <w:pPr>
        <w:rPr>
          <w:rStyle w:val="Strong"/>
          <w:szCs w:val="20"/>
        </w:rPr>
      </w:pPr>
      <w:r w:rsidRPr="00452256">
        <w:rPr>
          <w:rStyle w:val="Strong"/>
          <w:szCs w:val="20"/>
        </w:rPr>
        <w:t>Accessibility</w:t>
      </w:r>
    </w:p>
    <w:p w14:paraId="1B46CAB4" w14:textId="6E89D490" w:rsidR="00C118DE" w:rsidRDefault="00C118DE" w:rsidP="00C118DE">
      <w:pPr>
        <w:rPr>
          <w:szCs w:val="20"/>
        </w:rPr>
      </w:pPr>
      <w:r w:rsidRPr="00452256">
        <w:rPr>
          <w:szCs w:val="20"/>
        </w:rPr>
        <w:t xml:space="preserve">The document and information </w:t>
      </w:r>
      <w:proofErr w:type="gramStart"/>
      <w:r w:rsidRPr="00452256">
        <w:rPr>
          <w:szCs w:val="20"/>
        </w:rPr>
        <w:t>is</w:t>
      </w:r>
      <w:proofErr w:type="gramEnd"/>
      <w:r w:rsidRPr="00452256">
        <w:rPr>
          <w:szCs w:val="20"/>
        </w:rPr>
        <w:t xml:space="preserve"> available in accessible formats. On some occasions the highly technical nature of the document means that we cannot make some sections fully accessible. If you encounter accessibility problems or the document is in a format that you cannot access, please contact us</w:t>
      </w:r>
      <w:r w:rsidR="002E7966">
        <w:rPr>
          <w:szCs w:val="20"/>
        </w:rPr>
        <w:t xml:space="preserve"> at </w:t>
      </w:r>
      <w:hyperlink r:id="rId16" w:history="1">
        <w:r w:rsidR="002E7966" w:rsidRPr="00574A02">
          <w:rPr>
            <w:rStyle w:val="Hyperlink"/>
            <w:szCs w:val="20"/>
          </w:rPr>
          <w:t>contact@igwc.gov.au</w:t>
        </w:r>
      </w:hyperlink>
      <w:r w:rsidR="002E7966">
        <w:rPr>
          <w:szCs w:val="20"/>
        </w:rPr>
        <w:t xml:space="preserve">. </w:t>
      </w:r>
    </w:p>
    <w:p w14:paraId="3481D538" w14:textId="7810BC93" w:rsidR="00473F5B" w:rsidRDefault="00473F5B" w:rsidP="006318A8">
      <w:r>
        <w:br w:type="page"/>
      </w:r>
    </w:p>
    <w:p w14:paraId="75AAC00F" w14:textId="13D05347" w:rsidR="00473F5B" w:rsidRDefault="00473F5B" w:rsidP="00473F5B">
      <w:pPr>
        <w:pStyle w:val="Heading1"/>
      </w:pPr>
      <w:bookmarkStart w:id="0" w:name="_Toc105590117"/>
      <w:bookmarkStart w:id="1" w:name="_Toc105590325"/>
      <w:bookmarkStart w:id="2" w:name="_Toc172018832"/>
      <w:r>
        <w:lastRenderedPageBreak/>
        <w:t>Table of Contents</w:t>
      </w:r>
      <w:bookmarkEnd w:id="0"/>
      <w:bookmarkEnd w:id="1"/>
      <w:bookmarkEnd w:id="2"/>
    </w:p>
    <w:p w14:paraId="24368695" w14:textId="08BFADD4" w:rsidR="00953040" w:rsidRDefault="0066217F">
      <w:pPr>
        <w:pStyle w:val="TOC1"/>
        <w:rPr>
          <w:rFonts w:asciiTheme="minorHAnsi" w:eastAsiaTheme="minorEastAsia" w:hAnsiTheme="minorHAnsi" w:cstheme="minorBidi"/>
          <w:b w:val="0"/>
          <w:color w:val="auto"/>
          <w:kern w:val="2"/>
          <w:szCs w:val="24"/>
          <w:lang w:eastAsia="en-AU"/>
          <w14:ligatures w14:val="standardContextual"/>
        </w:rPr>
      </w:pPr>
      <w:r>
        <w:fldChar w:fldCharType="begin"/>
      </w:r>
      <w:r>
        <w:instrText xml:space="preserve"> TOC \o "1-3" \h \z \u </w:instrText>
      </w:r>
      <w:r>
        <w:fldChar w:fldCharType="separate"/>
      </w:r>
      <w:hyperlink w:anchor="_Toc172018832" w:history="1">
        <w:r w:rsidR="00953040" w:rsidRPr="006C5839">
          <w:rPr>
            <w:rStyle w:val="Hyperlink"/>
          </w:rPr>
          <w:t>Table of Contents</w:t>
        </w:r>
        <w:r w:rsidR="00953040">
          <w:rPr>
            <w:webHidden/>
          </w:rPr>
          <w:tab/>
        </w:r>
        <w:r w:rsidR="00953040">
          <w:rPr>
            <w:webHidden/>
          </w:rPr>
          <w:fldChar w:fldCharType="begin"/>
        </w:r>
        <w:r w:rsidR="00953040">
          <w:rPr>
            <w:webHidden/>
          </w:rPr>
          <w:instrText xml:space="preserve"> PAGEREF _Toc172018832 \h </w:instrText>
        </w:r>
        <w:r w:rsidR="00953040">
          <w:rPr>
            <w:webHidden/>
          </w:rPr>
        </w:r>
        <w:r w:rsidR="00953040">
          <w:rPr>
            <w:webHidden/>
          </w:rPr>
          <w:fldChar w:fldCharType="separate"/>
        </w:r>
        <w:r w:rsidR="00346F31">
          <w:rPr>
            <w:webHidden/>
          </w:rPr>
          <w:t>3</w:t>
        </w:r>
        <w:r w:rsidR="00953040">
          <w:rPr>
            <w:webHidden/>
          </w:rPr>
          <w:fldChar w:fldCharType="end"/>
        </w:r>
      </w:hyperlink>
    </w:p>
    <w:p w14:paraId="5AD5CB08" w14:textId="01C1BCAD"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33" w:history="1">
        <w:r w:rsidR="00953040" w:rsidRPr="006C5839">
          <w:rPr>
            <w:rStyle w:val="Hyperlink"/>
          </w:rPr>
          <w:t>Foreword</w:t>
        </w:r>
        <w:r w:rsidR="00953040">
          <w:rPr>
            <w:webHidden/>
          </w:rPr>
          <w:tab/>
        </w:r>
        <w:r w:rsidR="00953040">
          <w:rPr>
            <w:webHidden/>
          </w:rPr>
          <w:fldChar w:fldCharType="begin"/>
        </w:r>
        <w:r w:rsidR="00953040">
          <w:rPr>
            <w:webHidden/>
          </w:rPr>
          <w:instrText xml:space="preserve"> PAGEREF _Toc172018833 \h </w:instrText>
        </w:r>
        <w:r w:rsidR="00953040">
          <w:rPr>
            <w:webHidden/>
          </w:rPr>
        </w:r>
        <w:r w:rsidR="00953040">
          <w:rPr>
            <w:webHidden/>
          </w:rPr>
          <w:fldChar w:fldCharType="separate"/>
        </w:r>
        <w:r w:rsidR="00346F31">
          <w:rPr>
            <w:webHidden/>
          </w:rPr>
          <w:t>4</w:t>
        </w:r>
        <w:r w:rsidR="00953040">
          <w:rPr>
            <w:webHidden/>
          </w:rPr>
          <w:fldChar w:fldCharType="end"/>
        </w:r>
      </w:hyperlink>
    </w:p>
    <w:p w14:paraId="56DAE7FE" w14:textId="5DB94122"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34" w:history="1">
        <w:r w:rsidR="00953040" w:rsidRPr="006C5839">
          <w:rPr>
            <w:rStyle w:val="Hyperlink"/>
          </w:rPr>
          <w:t>Part A - Compliance with the Sustainable Diversion Limits</w:t>
        </w:r>
        <w:r w:rsidR="00953040">
          <w:rPr>
            <w:webHidden/>
          </w:rPr>
          <w:tab/>
        </w:r>
        <w:r w:rsidR="00953040">
          <w:rPr>
            <w:webHidden/>
          </w:rPr>
          <w:fldChar w:fldCharType="begin"/>
        </w:r>
        <w:r w:rsidR="00953040">
          <w:rPr>
            <w:webHidden/>
          </w:rPr>
          <w:instrText xml:space="preserve"> PAGEREF _Toc172018834 \h </w:instrText>
        </w:r>
        <w:r w:rsidR="00953040">
          <w:rPr>
            <w:webHidden/>
          </w:rPr>
        </w:r>
        <w:r w:rsidR="00953040">
          <w:rPr>
            <w:webHidden/>
          </w:rPr>
          <w:fldChar w:fldCharType="separate"/>
        </w:r>
        <w:r w:rsidR="00346F31">
          <w:rPr>
            <w:webHidden/>
          </w:rPr>
          <w:t>6</w:t>
        </w:r>
        <w:r w:rsidR="00953040">
          <w:rPr>
            <w:webHidden/>
          </w:rPr>
          <w:fldChar w:fldCharType="end"/>
        </w:r>
      </w:hyperlink>
    </w:p>
    <w:p w14:paraId="2702DF4E" w14:textId="747768B1" w:rsidR="00953040" w:rsidRDefault="00000000">
      <w:pPr>
        <w:pStyle w:val="TOC2"/>
        <w:rPr>
          <w:rFonts w:asciiTheme="minorHAnsi" w:eastAsiaTheme="minorEastAsia" w:hAnsiTheme="minorHAnsi" w:cstheme="minorBidi"/>
          <w:kern w:val="2"/>
          <w:sz w:val="24"/>
          <w:szCs w:val="24"/>
          <w:lang w:eastAsia="en-AU"/>
          <w14:ligatures w14:val="standardContextual"/>
        </w:rPr>
      </w:pPr>
      <w:hyperlink w:anchor="_Toc172018835" w:history="1">
        <w:r w:rsidR="00953040" w:rsidRPr="006C5839">
          <w:rPr>
            <w:rStyle w:val="Hyperlink"/>
          </w:rPr>
          <w:t>Ensure it’s lawful</w:t>
        </w:r>
        <w:r w:rsidR="00953040">
          <w:rPr>
            <w:webHidden/>
          </w:rPr>
          <w:tab/>
        </w:r>
        <w:r w:rsidR="00953040">
          <w:rPr>
            <w:webHidden/>
          </w:rPr>
          <w:fldChar w:fldCharType="begin"/>
        </w:r>
        <w:r w:rsidR="00953040">
          <w:rPr>
            <w:webHidden/>
          </w:rPr>
          <w:instrText xml:space="preserve"> PAGEREF _Toc172018835 \h </w:instrText>
        </w:r>
        <w:r w:rsidR="00953040">
          <w:rPr>
            <w:webHidden/>
          </w:rPr>
        </w:r>
        <w:r w:rsidR="00953040">
          <w:rPr>
            <w:webHidden/>
          </w:rPr>
          <w:fldChar w:fldCharType="separate"/>
        </w:r>
        <w:r w:rsidR="00346F31">
          <w:rPr>
            <w:webHidden/>
          </w:rPr>
          <w:t>6</w:t>
        </w:r>
        <w:r w:rsidR="00953040">
          <w:rPr>
            <w:webHidden/>
          </w:rPr>
          <w:fldChar w:fldCharType="end"/>
        </w:r>
      </w:hyperlink>
    </w:p>
    <w:p w14:paraId="343D799F" w14:textId="047044A7" w:rsidR="00953040" w:rsidRDefault="00000000">
      <w:pPr>
        <w:pStyle w:val="TOC2"/>
        <w:rPr>
          <w:rFonts w:asciiTheme="minorHAnsi" w:eastAsiaTheme="minorEastAsia" w:hAnsiTheme="minorHAnsi" w:cstheme="minorBidi"/>
          <w:kern w:val="2"/>
          <w:sz w:val="24"/>
          <w:szCs w:val="24"/>
          <w:lang w:eastAsia="en-AU"/>
          <w14:ligatures w14:val="standardContextual"/>
        </w:rPr>
      </w:pPr>
      <w:hyperlink w:anchor="_Toc172018836" w:history="1">
        <w:r w:rsidR="00953040" w:rsidRPr="006C5839">
          <w:rPr>
            <w:rStyle w:val="Hyperlink"/>
          </w:rPr>
          <w:t>Ensure it’s visible</w:t>
        </w:r>
        <w:r w:rsidR="00953040">
          <w:rPr>
            <w:webHidden/>
          </w:rPr>
          <w:tab/>
        </w:r>
        <w:r w:rsidR="00953040">
          <w:rPr>
            <w:webHidden/>
          </w:rPr>
          <w:fldChar w:fldCharType="begin"/>
        </w:r>
        <w:r w:rsidR="00953040">
          <w:rPr>
            <w:webHidden/>
          </w:rPr>
          <w:instrText xml:space="preserve"> PAGEREF _Toc172018836 \h </w:instrText>
        </w:r>
        <w:r w:rsidR="00953040">
          <w:rPr>
            <w:webHidden/>
          </w:rPr>
        </w:r>
        <w:r w:rsidR="00953040">
          <w:rPr>
            <w:webHidden/>
          </w:rPr>
          <w:fldChar w:fldCharType="separate"/>
        </w:r>
        <w:r w:rsidR="00346F31">
          <w:rPr>
            <w:webHidden/>
          </w:rPr>
          <w:t>6</w:t>
        </w:r>
        <w:r w:rsidR="00953040">
          <w:rPr>
            <w:webHidden/>
          </w:rPr>
          <w:fldChar w:fldCharType="end"/>
        </w:r>
      </w:hyperlink>
    </w:p>
    <w:p w14:paraId="356F8AC6" w14:textId="291E913F" w:rsidR="00953040" w:rsidRDefault="00000000">
      <w:pPr>
        <w:pStyle w:val="TOC2"/>
        <w:rPr>
          <w:rFonts w:asciiTheme="minorHAnsi" w:eastAsiaTheme="minorEastAsia" w:hAnsiTheme="minorHAnsi" w:cstheme="minorBidi"/>
          <w:kern w:val="2"/>
          <w:sz w:val="24"/>
          <w:szCs w:val="24"/>
          <w:lang w:eastAsia="en-AU"/>
          <w14:ligatures w14:val="standardContextual"/>
        </w:rPr>
      </w:pPr>
      <w:hyperlink w:anchor="_Toc172018837" w:history="1">
        <w:r w:rsidR="00953040" w:rsidRPr="006C5839">
          <w:rPr>
            <w:rStyle w:val="Hyperlink"/>
          </w:rPr>
          <w:t>Assessment Process</w:t>
        </w:r>
        <w:r w:rsidR="00953040">
          <w:rPr>
            <w:webHidden/>
          </w:rPr>
          <w:tab/>
        </w:r>
        <w:r w:rsidR="00953040">
          <w:rPr>
            <w:webHidden/>
          </w:rPr>
          <w:fldChar w:fldCharType="begin"/>
        </w:r>
        <w:r w:rsidR="00953040">
          <w:rPr>
            <w:webHidden/>
          </w:rPr>
          <w:instrText xml:space="preserve"> PAGEREF _Toc172018837 \h </w:instrText>
        </w:r>
        <w:r w:rsidR="00953040">
          <w:rPr>
            <w:webHidden/>
          </w:rPr>
        </w:r>
        <w:r w:rsidR="00953040">
          <w:rPr>
            <w:webHidden/>
          </w:rPr>
          <w:fldChar w:fldCharType="separate"/>
        </w:r>
        <w:r w:rsidR="00346F31">
          <w:rPr>
            <w:webHidden/>
          </w:rPr>
          <w:t>7</w:t>
        </w:r>
        <w:r w:rsidR="00953040">
          <w:rPr>
            <w:webHidden/>
          </w:rPr>
          <w:fldChar w:fldCharType="end"/>
        </w:r>
      </w:hyperlink>
    </w:p>
    <w:p w14:paraId="132BA8BF" w14:textId="4A644B14" w:rsidR="00953040" w:rsidRDefault="00000000">
      <w:pPr>
        <w:pStyle w:val="TOC2"/>
        <w:rPr>
          <w:rFonts w:asciiTheme="minorHAnsi" w:eastAsiaTheme="minorEastAsia" w:hAnsiTheme="minorHAnsi" w:cstheme="minorBidi"/>
          <w:kern w:val="2"/>
          <w:sz w:val="24"/>
          <w:szCs w:val="24"/>
          <w:lang w:eastAsia="en-AU"/>
          <w14:ligatures w14:val="standardContextual"/>
        </w:rPr>
      </w:pPr>
      <w:hyperlink w:anchor="_Toc172018838" w:history="1">
        <w:r w:rsidR="00953040" w:rsidRPr="006C5839">
          <w:rPr>
            <w:rStyle w:val="Hyperlink"/>
          </w:rPr>
          <w:t>Assessment Findings</w:t>
        </w:r>
        <w:r w:rsidR="00953040">
          <w:rPr>
            <w:webHidden/>
          </w:rPr>
          <w:tab/>
        </w:r>
        <w:r w:rsidR="00953040">
          <w:rPr>
            <w:webHidden/>
          </w:rPr>
          <w:fldChar w:fldCharType="begin"/>
        </w:r>
        <w:r w:rsidR="00953040">
          <w:rPr>
            <w:webHidden/>
          </w:rPr>
          <w:instrText xml:space="preserve"> PAGEREF _Toc172018838 \h </w:instrText>
        </w:r>
        <w:r w:rsidR="00953040">
          <w:rPr>
            <w:webHidden/>
          </w:rPr>
        </w:r>
        <w:r w:rsidR="00953040">
          <w:rPr>
            <w:webHidden/>
          </w:rPr>
          <w:fldChar w:fldCharType="separate"/>
        </w:r>
        <w:r w:rsidR="00346F31">
          <w:rPr>
            <w:webHidden/>
          </w:rPr>
          <w:t>8</w:t>
        </w:r>
        <w:r w:rsidR="00953040">
          <w:rPr>
            <w:webHidden/>
          </w:rPr>
          <w:fldChar w:fldCharType="end"/>
        </w:r>
      </w:hyperlink>
    </w:p>
    <w:p w14:paraId="0CF5608F" w14:textId="3346340F"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39" w:history="1">
        <w:r w:rsidR="00953040" w:rsidRPr="006C5839">
          <w:rPr>
            <w:rStyle w:val="Hyperlink"/>
          </w:rPr>
          <w:t>Part B – NSW Management of SDLs</w:t>
        </w:r>
        <w:r w:rsidR="00953040">
          <w:rPr>
            <w:webHidden/>
          </w:rPr>
          <w:tab/>
        </w:r>
        <w:r w:rsidR="00953040">
          <w:rPr>
            <w:webHidden/>
          </w:rPr>
          <w:fldChar w:fldCharType="begin"/>
        </w:r>
        <w:r w:rsidR="00953040">
          <w:rPr>
            <w:webHidden/>
          </w:rPr>
          <w:instrText xml:space="preserve"> PAGEREF _Toc172018839 \h </w:instrText>
        </w:r>
        <w:r w:rsidR="00953040">
          <w:rPr>
            <w:webHidden/>
          </w:rPr>
        </w:r>
        <w:r w:rsidR="00953040">
          <w:rPr>
            <w:webHidden/>
          </w:rPr>
          <w:fldChar w:fldCharType="separate"/>
        </w:r>
        <w:r w:rsidR="00346F31">
          <w:rPr>
            <w:webHidden/>
          </w:rPr>
          <w:t>16</w:t>
        </w:r>
        <w:r w:rsidR="00953040">
          <w:rPr>
            <w:webHidden/>
          </w:rPr>
          <w:fldChar w:fldCharType="end"/>
        </w:r>
      </w:hyperlink>
    </w:p>
    <w:p w14:paraId="3C861821" w14:textId="0EB03E5C"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40" w:history="1">
        <w:r w:rsidR="00953040" w:rsidRPr="006C5839">
          <w:rPr>
            <w:rStyle w:val="Hyperlink"/>
          </w:rPr>
          <w:t>Appendix 1 – Compliance year for NSW</w:t>
        </w:r>
        <w:r w:rsidR="00953040">
          <w:rPr>
            <w:webHidden/>
          </w:rPr>
          <w:tab/>
        </w:r>
        <w:r w:rsidR="00953040">
          <w:rPr>
            <w:webHidden/>
          </w:rPr>
          <w:fldChar w:fldCharType="begin"/>
        </w:r>
        <w:r w:rsidR="00953040">
          <w:rPr>
            <w:webHidden/>
          </w:rPr>
          <w:instrText xml:space="preserve"> PAGEREF _Toc172018840 \h </w:instrText>
        </w:r>
        <w:r w:rsidR="00953040">
          <w:rPr>
            <w:webHidden/>
          </w:rPr>
        </w:r>
        <w:r w:rsidR="00953040">
          <w:rPr>
            <w:webHidden/>
          </w:rPr>
          <w:fldChar w:fldCharType="separate"/>
        </w:r>
        <w:r w:rsidR="00346F31">
          <w:rPr>
            <w:webHidden/>
          </w:rPr>
          <w:t>17</w:t>
        </w:r>
        <w:r w:rsidR="00953040">
          <w:rPr>
            <w:webHidden/>
          </w:rPr>
          <w:fldChar w:fldCharType="end"/>
        </w:r>
      </w:hyperlink>
    </w:p>
    <w:p w14:paraId="7F587D15" w14:textId="4DF1F9F9"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41" w:history="1">
        <w:r w:rsidR="00953040" w:rsidRPr="006C5839">
          <w:rPr>
            <w:rStyle w:val="Hyperlink"/>
          </w:rPr>
          <w:t>Appendix 2 – Barwon-Darling and Gwydir adjustments</w:t>
        </w:r>
        <w:r w:rsidR="00953040">
          <w:rPr>
            <w:webHidden/>
          </w:rPr>
          <w:tab/>
        </w:r>
        <w:r w:rsidR="00953040">
          <w:rPr>
            <w:webHidden/>
          </w:rPr>
          <w:fldChar w:fldCharType="begin"/>
        </w:r>
        <w:r w:rsidR="00953040">
          <w:rPr>
            <w:webHidden/>
          </w:rPr>
          <w:instrText xml:space="preserve"> PAGEREF _Toc172018841 \h </w:instrText>
        </w:r>
        <w:r w:rsidR="00953040">
          <w:rPr>
            <w:webHidden/>
          </w:rPr>
        </w:r>
        <w:r w:rsidR="00953040">
          <w:rPr>
            <w:webHidden/>
          </w:rPr>
          <w:fldChar w:fldCharType="separate"/>
        </w:r>
        <w:r w:rsidR="00346F31">
          <w:rPr>
            <w:webHidden/>
          </w:rPr>
          <w:t>19</w:t>
        </w:r>
        <w:r w:rsidR="00953040">
          <w:rPr>
            <w:webHidden/>
          </w:rPr>
          <w:fldChar w:fldCharType="end"/>
        </w:r>
      </w:hyperlink>
    </w:p>
    <w:p w14:paraId="00C37955" w14:textId="0BC3EAC7"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42" w:history="1">
        <w:r w:rsidR="00953040" w:rsidRPr="006C5839">
          <w:rPr>
            <w:rStyle w:val="Hyperlink"/>
          </w:rPr>
          <w:t>Appendix 3 – Receival of data</w:t>
        </w:r>
        <w:r w:rsidR="00953040">
          <w:rPr>
            <w:webHidden/>
          </w:rPr>
          <w:tab/>
        </w:r>
        <w:r w:rsidR="00953040">
          <w:rPr>
            <w:webHidden/>
          </w:rPr>
          <w:fldChar w:fldCharType="begin"/>
        </w:r>
        <w:r w:rsidR="00953040">
          <w:rPr>
            <w:webHidden/>
          </w:rPr>
          <w:instrText xml:space="preserve"> PAGEREF _Toc172018842 \h </w:instrText>
        </w:r>
        <w:r w:rsidR="00953040">
          <w:rPr>
            <w:webHidden/>
          </w:rPr>
        </w:r>
        <w:r w:rsidR="00953040">
          <w:rPr>
            <w:webHidden/>
          </w:rPr>
          <w:fldChar w:fldCharType="separate"/>
        </w:r>
        <w:r w:rsidR="00346F31">
          <w:rPr>
            <w:webHidden/>
          </w:rPr>
          <w:t>20</w:t>
        </w:r>
        <w:r w:rsidR="00953040">
          <w:rPr>
            <w:webHidden/>
          </w:rPr>
          <w:fldChar w:fldCharType="end"/>
        </w:r>
      </w:hyperlink>
    </w:p>
    <w:p w14:paraId="6612582A" w14:textId="41F1EB17" w:rsidR="00953040" w:rsidRDefault="00000000">
      <w:pPr>
        <w:pStyle w:val="TOC1"/>
        <w:rPr>
          <w:rFonts w:asciiTheme="minorHAnsi" w:eastAsiaTheme="minorEastAsia" w:hAnsiTheme="minorHAnsi" w:cstheme="minorBidi"/>
          <w:b w:val="0"/>
          <w:color w:val="auto"/>
          <w:kern w:val="2"/>
          <w:szCs w:val="24"/>
          <w:lang w:eastAsia="en-AU"/>
          <w14:ligatures w14:val="standardContextual"/>
        </w:rPr>
      </w:pPr>
      <w:hyperlink w:anchor="_Toc172018843" w:history="1">
        <w:r w:rsidR="00953040" w:rsidRPr="006C5839">
          <w:rPr>
            <w:rStyle w:val="Hyperlink"/>
          </w:rPr>
          <w:t>Glossary</w:t>
        </w:r>
        <w:r w:rsidR="00953040">
          <w:rPr>
            <w:webHidden/>
          </w:rPr>
          <w:tab/>
        </w:r>
        <w:r w:rsidR="00953040">
          <w:rPr>
            <w:webHidden/>
          </w:rPr>
          <w:fldChar w:fldCharType="begin"/>
        </w:r>
        <w:r w:rsidR="00953040">
          <w:rPr>
            <w:webHidden/>
          </w:rPr>
          <w:instrText xml:space="preserve"> PAGEREF _Toc172018843 \h </w:instrText>
        </w:r>
        <w:r w:rsidR="00953040">
          <w:rPr>
            <w:webHidden/>
          </w:rPr>
        </w:r>
        <w:r w:rsidR="00953040">
          <w:rPr>
            <w:webHidden/>
          </w:rPr>
          <w:fldChar w:fldCharType="separate"/>
        </w:r>
        <w:r w:rsidR="00346F31">
          <w:rPr>
            <w:webHidden/>
          </w:rPr>
          <w:t>22</w:t>
        </w:r>
        <w:r w:rsidR="00953040">
          <w:rPr>
            <w:webHidden/>
          </w:rPr>
          <w:fldChar w:fldCharType="end"/>
        </w:r>
      </w:hyperlink>
    </w:p>
    <w:p w14:paraId="3E591AF5" w14:textId="7543B0D5" w:rsidR="001C0F11" w:rsidRDefault="0066217F" w:rsidP="002C07A5">
      <w:r>
        <w:rPr>
          <w:b/>
          <w:noProof/>
          <w:color w:val="48555E" w:themeColor="text2"/>
          <w:sz w:val="24"/>
        </w:rPr>
        <w:fldChar w:fldCharType="end"/>
      </w:r>
    </w:p>
    <w:p w14:paraId="25BC3F3D" w14:textId="5C61DABF" w:rsidR="001C0F11" w:rsidRDefault="001C0F11" w:rsidP="002C07A5">
      <w:pPr>
        <w:sectPr w:rsidR="001C0F11" w:rsidSect="00674D70">
          <w:headerReference w:type="even" r:id="rId17"/>
          <w:headerReference w:type="default" r:id="rId18"/>
          <w:footerReference w:type="even" r:id="rId19"/>
          <w:footerReference w:type="default" r:id="rId20"/>
          <w:headerReference w:type="first" r:id="rId21"/>
          <w:footerReference w:type="first" r:id="rId22"/>
          <w:pgSz w:w="11906" w:h="16838"/>
          <w:pgMar w:top="1284" w:right="1134" w:bottom="816" w:left="1134" w:header="431" w:footer="999" w:gutter="0"/>
          <w:cols w:space="708"/>
          <w:titlePg/>
          <w:docGrid w:linePitch="360"/>
        </w:sectPr>
      </w:pPr>
    </w:p>
    <w:p w14:paraId="7D6FF26F" w14:textId="7628A2A0" w:rsidR="008E0022" w:rsidRDefault="00441522" w:rsidP="009546C2">
      <w:pPr>
        <w:pStyle w:val="Heading1"/>
      </w:pPr>
      <w:bookmarkStart w:id="3" w:name="_Toc172018833"/>
      <w:bookmarkStart w:id="4" w:name="_Toc138234570"/>
      <w:bookmarkStart w:id="5" w:name="_Toc162015528"/>
      <w:r>
        <w:lastRenderedPageBreak/>
        <w:t>Foreword</w:t>
      </w:r>
      <w:bookmarkEnd w:id="3"/>
    </w:p>
    <w:p w14:paraId="6A5417C3" w14:textId="77777777" w:rsidR="0013681A" w:rsidRDefault="0013681A" w:rsidP="0013681A">
      <w:pPr>
        <w:rPr>
          <w:sz w:val="22"/>
        </w:rPr>
      </w:pPr>
      <w:r w:rsidRPr="009D1EF8">
        <w:rPr>
          <w:sz w:val="22"/>
        </w:rPr>
        <w:t>The Sustainable Diversion Limit Compliance Statement for this year is my third and reflects my ongoing commitment to upholding the principles of the Basin Plan. I was appointed to provide independent assessment of compliance, and enforcement if necessary</w:t>
      </w:r>
      <w:r>
        <w:rPr>
          <w:sz w:val="22"/>
        </w:rPr>
        <w:t>. M</w:t>
      </w:r>
      <w:r w:rsidRPr="009D1EF8">
        <w:rPr>
          <w:sz w:val="22"/>
        </w:rPr>
        <w:t xml:space="preserve">y vision </w:t>
      </w:r>
      <w:r>
        <w:rPr>
          <w:sz w:val="22"/>
        </w:rPr>
        <w:t>remains</w:t>
      </w:r>
      <w:r w:rsidRPr="009D1EF8">
        <w:rPr>
          <w:sz w:val="22"/>
        </w:rPr>
        <w:t xml:space="preserve"> to ensure water management and use within the </w:t>
      </w:r>
      <w:r>
        <w:rPr>
          <w:sz w:val="22"/>
        </w:rPr>
        <w:t xml:space="preserve">Murray-Darling </w:t>
      </w:r>
      <w:r w:rsidRPr="009D1EF8">
        <w:rPr>
          <w:sz w:val="22"/>
        </w:rPr>
        <w:t>Basin is lawful, transparent and accountable, and the Australian public is confident in the integrity of Basin Plan delivery.</w:t>
      </w:r>
      <w:r>
        <w:rPr>
          <w:sz w:val="22"/>
        </w:rPr>
        <w:t xml:space="preserve"> </w:t>
      </w:r>
    </w:p>
    <w:p w14:paraId="372074CC" w14:textId="2520233B" w:rsidR="0013681A" w:rsidRDefault="0013681A" w:rsidP="0013681A">
      <w:pPr>
        <w:rPr>
          <w:sz w:val="22"/>
        </w:rPr>
      </w:pPr>
      <w:r w:rsidRPr="00E15F16">
        <w:rPr>
          <w:sz w:val="22"/>
        </w:rPr>
        <w:t xml:space="preserve">I am pleased to report that the Water Amendment (Restoring our Rivers) Act 2023 has provided further clarity to my role in relation to SDL compliance and strengthened accountability, through the content and reporting provisions for action plans. Action plans will be required by Basin States if any SDL excesses </w:t>
      </w:r>
      <w:r w:rsidRPr="24D79F24">
        <w:rPr>
          <w:sz w:val="22"/>
        </w:rPr>
        <w:t>are</w:t>
      </w:r>
      <w:r w:rsidRPr="009D7DFF">
        <w:rPr>
          <w:sz w:val="22"/>
        </w:rPr>
        <w:t xml:space="preserve"> </w:t>
      </w:r>
      <w:r w:rsidRPr="24D79F24">
        <w:rPr>
          <w:sz w:val="22"/>
        </w:rPr>
        <w:t>identified</w:t>
      </w:r>
      <w:r w:rsidR="00B00D58">
        <w:rPr>
          <w:sz w:val="22"/>
        </w:rPr>
        <w:t>.</w:t>
      </w:r>
      <w:r w:rsidRPr="009007D9">
        <w:rPr>
          <w:sz w:val="22"/>
        </w:rPr>
        <w:t xml:space="preserve"> </w:t>
      </w:r>
      <w:r w:rsidR="00B00D58">
        <w:rPr>
          <w:sz w:val="22"/>
        </w:rPr>
        <w:t>I</w:t>
      </w:r>
      <w:r>
        <w:rPr>
          <w:sz w:val="22"/>
        </w:rPr>
        <w:t>n addition to this</w:t>
      </w:r>
      <w:r w:rsidRPr="009007D9">
        <w:rPr>
          <w:sz w:val="22"/>
        </w:rPr>
        <w:t xml:space="preserve"> I </w:t>
      </w:r>
      <w:r w:rsidRPr="24D79F24">
        <w:rPr>
          <w:sz w:val="22"/>
        </w:rPr>
        <w:t xml:space="preserve">now </w:t>
      </w:r>
      <w:r w:rsidRPr="009007D9">
        <w:rPr>
          <w:sz w:val="22"/>
        </w:rPr>
        <w:t>have the power to develop guidelines to ensure actions plans and reporting on progress are fit</w:t>
      </w:r>
      <w:r w:rsidR="00A8547D">
        <w:rPr>
          <w:sz w:val="22"/>
        </w:rPr>
        <w:t>-</w:t>
      </w:r>
      <w:r w:rsidRPr="009007D9">
        <w:rPr>
          <w:sz w:val="22"/>
        </w:rPr>
        <w:t>for</w:t>
      </w:r>
      <w:r w:rsidR="00A8547D">
        <w:rPr>
          <w:sz w:val="22"/>
        </w:rPr>
        <w:t>-</w:t>
      </w:r>
      <w:r w:rsidRPr="009007D9">
        <w:rPr>
          <w:sz w:val="22"/>
        </w:rPr>
        <w:t xml:space="preserve">purpose.  </w:t>
      </w:r>
    </w:p>
    <w:p w14:paraId="732D9198" w14:textId="130B9160" w:rsidR="0013681A" w:rsidRDefault="0013681A" w:rsidP="0013681A">
      <w:pPr>
        <w:rPr>
          <w:sz w:val="22"/>
        </w:rPr>
      </w:pPr>
      <w:r w:rsidRPr="24D79F24">
        <w:rPr>
          <w:sz w:val="22"/>
        </w:rPr>
        <w:t xml:space="preserve">In October 2023, I published a </w:t>
      </w:r>
      <w:hyperlink r:id="rId23" w:history="1">
        <w:r w:rsidRPr="00837A8A">
          <w:rPr>
            <w:rStyle w:val="Hyperlink"/>
            <w:sz w:val="22"/>
          </w:rPr>
          <w:t>Sustainable Diversion Limit Compliance Framework</w:t>
        </w:r>
      </w:hyperlink>
      <w:r w:rsidRPr="24D79F24">
        <w:rPr>
          <w:sz w:val="22"/>
        </w:rPr>
        <w:t xml:space="preserve">, to make my expectations in this task clear to all. In line with the Framework, I have reviewed the 2022-23 Registers of Take report and I </w:t>
      </w:r>
      <w:r w:rsidR="00C47823">
        <w:rPr>
          <w:sz w:val="22"/>
        </w:rPr>
        <w:t>find</w:t>
      </w:r>
      <w:r w:rsidRPr="24D79F24">
        <w:rPr>
          <w:sz w:val="22"/>
        </w:rPr>
        <w:t xml:space="preserve"> that all 55 SDL resource units on the registers were found to be compliant. This covers Queensland, Victoria, South Australia and the Australian Capital Territory. </w:t>
      </w:r>
    </w:p>
    <w:p w14:paraId="163C35CE" w14:textId="77777777" w:rsidR="00212DC6" w:rsidRDefault="00212DC6" w:rsidP="00212DC6">
      <w:pPr>
        <w:rPr>
          <w:sz w:val="22"/>
        </w:rPr>
      </w:pPr>
      <w:r w:rsidRPr="2BF80519">
        <w:rPr>
          <w:sz w:val="22"/>
        </w:rPr>
        <w:t xml:space="preserve">Wetter than normal climatic conditions in 2022 - 2023 has meant that water </w:t>
      </w:r>
      <w:r>
        <w:rPr>
          <w:sz w:val="22"/>
        </w:rPr>
        <w:t>use</w:t>
      </w:r>
      <w:r w:rsidRPr="2BF80519">
        <w:rPr>
          <w:sz w:val="22"/>
        </w:rPr>
        <w:t xml:space="preserve"> across the Basin was generally lower than permitted levels. This </w:t>
      </w:r>
      <w:r>
        <w:rPr>
          <w:sz w:val="22"/>
        </w:rPr>
        <w:t>notably</w:t>
      </w:r>
      <w:r w:rsidRPr="2BF80519">
        <w:rPr>
          <w:sz w:val="22"/>
        </w:rPr>
        <w:t xml:space="preserve"> result</w:t>
      </w:r>
      <w:r>
        <w:rPr>
          <w:sz w:val="22"/>
        </w:rPr>
        <w:t>ed in increasing cumulative balance credits</w:t>
      </w:r>
      <w:r w:rsidRPr="2BF80519">
        <w:rPr>
          <w:sz w:val="22"/>
        </w:rPr>
        <w:t xml:space="preserve"> on the Registers of Take. As we </w:t>
      </w:r>
      <w:r>
        <w:rPr>
          <w:sz w:val="22"/>
        </w:rPr>
        <w:t>experience</w:t>
      </w:r>
      <w:r w:rsidRPr="2BF80519">
        <w:rPr>
          <w:sz w:val="22"/>
        </w:rPr>
        <w:t xml:space="preserve"> drier conditions in </w:t>
      </w:r>
      <w:r>
        <w:rPr>
          <w:sz w:val="22"/>
        </w:rPr>
        <w:t>future</w:t>
      </w:r>
      <w:r w:rsidRPr="2BF80519">
        <w:rPr>
          <w:sz w:val="22"/>
        </w:rPr>
        <w:t xml:space="preserve"> years, the increased cumulative balance credits will provide Basin States with some buffer and water security to be able to manage within SDL compliance thresholds. </w:t>
      </w:r>
    </w:p>
    <w:p w14:paraId="1EE8CE4B" w14:textId="4CE8383D" w:rsidR="00212DC6" w:rsidRDefault="00212DC6" w:rsidP="00212DC6">
      <w:pPr>
        <w:rPr>
          <w:sz w:val="22"/>
        </w:rPr>
      </w:pPr>
      <w:r w:rsidRPr="2BF80519">
        <w:rPr>
          <w:sz w:val="22"/>
        </w:rPr>
        <w:t>SDL compliance is for Basin State</w:t>
      </w:r>
      <w:r>
        <w:rPr>
          <w:sz w:val="22"/>
        </w:rPr>
        <w:t xml:space="preserve"> agencies</w:t>
      </w:r>
      <w:r w:rsidRPr="2BF80519">
        <w:rPr>
          <w:sz w:val="22"/>
        </w:rPr>
        <w:t xml:space="preserve"> to manage all forms of consumptive water and not </w:t>
      </w:r>
      <w:r>
        <w:rPr>
          <w:sz w:val="22"/>
        </w:rPr>
        <w:t>a compliance assessment of</w:t>
      </w:r>
      <w:r w:rsidRPr="2BF80519">
        <w:rPr>
          <w:sz w:val="22"/>
        </w:rPr>
        <w:t xml:space="preserve"> individual </w:t>
      </w:r>
      <w:r>
        <w:rPr>
          <w:sz w:val="22"/>
        </w:rPr>
        <w:t xml:space="preserve">water </w:t>
      </w:r>
      <w:r w:rsidRPr="2BF80519">
        <w:rPr>
          <w:sz w:val="22"/>
        </w:rPr>
        <w:t>users.</w:t>
      </w:r>
    </w:p>
    <w:p w14:paraId="4C9BAB56" w14:textId="77777777" w:rsidR="00197708" w:rsidRDefault="00197708" w:rsidP="00197708">
      <w:pPr>
        <w:rPr>
          <w:sz w:val="22"/>
        </w:rPr>
      </w:pPr>
      <w:r>
        <w:rPr>
          <w:sz w:val="22"/>
        </w:rPr>
        <w:t>New South Wales</w:t>
      </w:r>
      <w:r w:rsidRPr="24D79F24">
        <w:rPr>
          <w:sz w:val="22"/>
        </w:rPr>
        <w:t xml:space="preserve"> surface water take accounts for 60% of the total take in 2022 - 2023. </w:t>
      </w:r>
    </w:p>
    <w:p w14:paraId="7F25E081" w14:textId="4D3D1CB1" w:rsidR="00FC7252" w:rsidRDefault="0013681A" w:rsidP="15C2E22F">
      <w:pPr>
        <w:rPr>
          <w:sz w:val="22"/>
        </w:rPr>
      </w:pPr>
      <w:r w:rsidRPr="15C2E22F">
        <w:rPr>
          <w:sz w:val="22"/>
        </w:rPr>
        <w:t xml:space="preserve">I note New South </w:t>
      </w:r>
      <w:proofErr w:type="spellStart"/>
      <w:r w:rsidRPr="15C2E22F">
        <w:rPr>
          <w:sz w:val="22"/>
        </w:rPr>
        <w:t>Wales’</w:t>
      </w:r>
      <w:proofErr w:type="spellEnd"/>
      <w:r w:rsidRPr="15C2E22F">
        <w:rPr>
          <w:sz w:val="22"/>
        </w:rPr>
        <w:t xml:space="preserve"> self-assessment of ‘compliant’</w:t>
      </w:r>
      <w:r w:rsidR="0092417F">
        <w:rPr>
          <w:sz w:val="22"/>
        </w:rPr>
        <w:t>,</w:t>
      </w:r>
      <w:r w:rsidRPr="15C2E22F">
        <w:rPr>
          <w:sz w:val="22"/>
        </w:rPr>
        <w:t xml:space="preserve"> and their ongoing compliance assessments under long term average annual extraction limits and actions under New South Wales water sharing plans to manage water take. </w:t>
      </w:r>
    </w:p>
    <w:p w14:paraId="36376C1B" w14:textId="0B13F3C1" w:rsidR="0013681A" w:rsidRDefault="0013681A" w:rsidP="15C2E22F">
      <w:pPr>
        <w:rPr>
          <w:sz w:val="22"/>
        </w:rPr>
      </w:pPr>
      <w:r w:rsidRPr="15C2E22F">
        <w:rPr>
          <w:sz w:val="22"/>
        </w:rPr>
        <w:t xml:space="preserve">Again, I am unable to determine SDL compliance in New South Wales for the 2022 - 2023 year. It cannot yet be assessed under the Basin Plan, due to a lack of water resource plans operating in 2022-2023. These inconsistencies in approach, mean New South Wales is not subject to the same level of accountability under the Basin Plan as Queensland, Victoria, South Australia and the Australian Capital Territory. This was a concern highlighted in my first SDL Compliance Statement in August 2022. </w:t>
      </w:r>
    </w:p>
    <w:p w14:paraId="71373238" w14:textId="142CF03C" w:rsidR="00932089" w:rsidRDefault="00B67670" w:rsidP="0013681A">
      <w:pPr>
        <w:rPr>
          <w:sz w:val="22"/>
        </w:rPr>
      </w:pPr>
      <w:r>
        <w:rPr>
          <w:sz w:val="22"/>
        </w:rPr>
        <w:t>Whilst</w:t>
      </w:r>
      <w:r w:rsidR="000D1260">
        <w:rPr>
          <w:sz w:val="22"/>
        </w:rPr>
        <w:t xml:space="preserve"> I cannot find compliance</w:t>
      </w:r>
      <w:r>
        <w:rPr>
          <w:sz w:val="22"/>
        </w:rPr>
        <w:t xml:space="preserve"> </w:t>
      </w:r>
      <w:r w:rsidRPr="00B67670">
        <w:rPr>
          <w:sz w:val="22"/>
        </w:rPr>
        <w:t>for the</w:t>
      </w:r>
      <w:r>
        <w:rPr>
          <w:sz w:val="22"/>
        </w:rPr>
        <w:t xml:space="preserve"> New South Wales</w:t>
      </w:r>
      <w:r w:rsidRPr="00B67670">
        <w:rPr>
          <w:sz w:val="22"/>
        </w:rPr>
        <w:t xml:space="preserve"> 2022 - 2023 water accounts</w:t>
      </w:r>
      <w:r>
        <w:rPr>
          <w:sz w:val="22"/>
        </w:rPr>
        <w:t xml:space="preserve">, I also </w:t>
      </w:r>
      <w:r w:rsidR="00AF0A4F">
        <w:rPr>
          <w:sz w:val="22"/>
        </w:rPr>
        <w:t>cannot</w:t>
      </w:r>
      <w:r>
        <w:rPr>
          <w:sz w:val="22"/>
        </w:rPr>
        <w:t xml:space="preserve"> find</w:t>
      </w:r>
      <w:r w:rsidRPr="00B67670" w:rsidDel="00212DC6">
        <w:rPr>
          <w:sz w:val="22"/>
        </w:rPr>
        <w:t xml:space="preserve"> </w:t>
      </w:r>
      <w:r>
        <w:rPr>
          <w:sz w:val="22"/>
        </w:rPr>
        <w:t>n</w:t>
      </w:r>
      <w:r w:rsidR="0013681A" w:rsidRPr="24D79F24">
        <w:rPr>
          <w:sz w:val="22"/>
        </w:rPr>
        <w:t xml:space="preserve">on-compliance. </w:t>
      </w:r>
    </w:p>
    <w:p w14:paraId="005EC7D0" w14:textId="56656C0D" w:rsidR="0013681A" w:rsidRDefault="00842085" w:rsidP="0013681A">
      <w:pPr>
        <w:rPr>
          <w:sz w:val="22"/>
        </w:rPr>
      </w:pPr>
      <w:r>
        <w:rPr>
          <w:sz w:val="22"/>
        </w:rPr>
        <w:t>T</w:t>
      </w:r>
      <w:r w:rsidR="0013681A" w:rsidRPr="24D79F24">
        <w:rPr>
          <w:sz w:val="22"/>
        </w:rPr>
        <w:t>he Barwon-Darling watercourse and Gwydir surface water area cumulative balance</w:t>
      </w:r>
      <w:r w:rsidR="0013681A">
        <w:rPr>
          <w:sz w:val="22"/>
        </w:rPr>
        <w:t>s</w:t>
      </w:r>
      <w:r w:rsidR="0013681A" w:rsidRPr="24D79F24">
        <w:rPr>
          <w:sz w:val="22"/>
        </w:rPr>
        <w:t xml:space="preserve"> </w:t>
      </w:r>
      <w:r w:rsidR="0013681A">
        <w:rPr>
          <w:sz w:val="22"/>
        </w:rPr>
        <w:t>have seen a swing</w:t>
      </w:r>
      <w:r w:rsidR="0013681A" w:rsidRPr="24D79F24">
        <w:rPr>
          <w:sz w:val="22"/>
        </w:rPr>
        <w:t xml:space="preserve"> from -71.1 GL and -111.8 GL debit respectively and are now 77 GL and 1</w:t>
      </w:r>
      <w:r w:rsidR="004E33F0">
        <w:rPr>
          <w:sz w:val="22"/>
        </w:rPr>
        <w:t>42</w:t>
      </w:r>
      <w:r w:rsidR="00584EE4">
        <w:rPr>
          <w:sz w:val="22"/>
        </w:rPr>
        <w:t>.4</w:t>
      </w:r>
      <w:r w:rsidR="0013681A" w:rsidRPr="24D79F24">
        <w:rPr>
          <w:sz w:val="22"/>
        </w:rPr>
        <w:t xml:space="preserve"> GL in credit. The Murrumbidgee also has significant model adjustments each year, </w:t>
      </w:r>
      <w:r w:rsidR="0013681A" w:rsidRPr="00550FBE">
        <w:rPr>
          <w:sz w:val="22"/>
        </w:rPr>
        <w:t>while the SDL method is yet to be finalised through an accredited water resource plan.</w:t>
      </w:r>
      <w:r w:rsidR="0013681A" w:rsidRPr="24D79F24">
        <w:rPr>
          <w:sz w:val="22"/>
        </w:rPr>
        <w:t xml:space="preserve"> These major movements in </w:t>
      </w:r>
      <w:r w:rsidR="007745C2">
        <w:rPr>
          <w:sz w:val="22"/>
        </w:rPr>
        <w:t xml:space="preserve">the interim </w:t>
      </w:r>
      <w:r w:rsidR="0013681A" w:rsidRPr="24D79F24">
        <w:rPr>
          <w:sz w:val="22"/>
        </w:rPr>
        <w:t xml:space="preserve">accounts can create mistrust in </w:t>
      </w:r>
      <w:r w:rsidR="0013681A" w:rsidRPr="24D79F24">
        <w:rPr>
          <w:sz w:val="22"/>
        </w:rPr>
        <w:lastRenderedPageBreak/>
        <w:t>the process</w:t>
      </w:r>
      <w:r w:rsidR="0013681A">
        <w:rPr>
          <w:sz w:val="22"/>
        </w:rPr>
        <w:t xml:space="preserve"> and</w:t>
      </w:r>
      <w:r w:rsidR="0013681A" w:rsidRPr="24D79F24">
        <w:rPr>
          <w:sz w:val="22"/>
        </w:rPr>
        <w:t xml:space="preserve"> I refer readers to Part B </w:t>
      </w:r>
      <w:r w:rsidR="0013681A">
        <w:rPr>
          <w:sz w:val="22"/>
        </w:rPr>
        <w:t>of th</w:t>
      </w:r>
      <w:r w:rsidR="001E6511">
        <w:rPr>
          <w:sz w:val="22"/>
        </w:rPr>
        <w:t>is</w:t>
      </w:r>
      <w:r w:rsidR="0013681A">
        <w:rPr>
          <w:sz w:val="22"/>
        </w:rPr>
        <w:t xml:space="preserve"> Statement </w:t>
      </w:r>
      <w:r w:rsidR="0013681A" w:rsidRPr="24D79F24">
        <w:rPr>
          <w:sz w:val="22"/>
        </w:rPr>
        <w:t>for an explanation of these issues.</w:t>
      </w:r>
    </w:p>
    <w:p w14:paraId="4F241B34" w14:textId="6C2E04C0" w:rsidR="0013681A" w:rsidRDefault="00544340" w:rsidP="0013681A">
      <w:pPr>
        <w:rPr>
          <w:sz w:val="22"/>
        </w:rPr>
      </w:pPr>
      <w:r>
        <w:rPr>
          <w:sz w:val="22"/>
        </w:rPr>
        <w:t>T</w:t>
      </w:r>
      <w:r w:rsidR="0013681A" w:rsidRPr="00E242E6">
        <w:rPr>
          <w:sz w:val="22"/>
        </w:rPr>
        <w:t>he prolonged reliance on bilateral arrangements</w:t>
      </w:r>
      <w:r w:rsidR="0013681A">
        <w:rPr>
          <w:sz w:val="22"/>
        </w:rPr>
        <w:t xml:space="preserve"> between the Murray-Darling Basin Authority and New South Wales</w:t>
      </w:r>
      <w:r w:rsidR="00090417">
        <w:rPr>
          <w:sz w:val="22"/>
        </w:rPr>
        <w:t xml:space="preserve"> risks</w:t>
      </w:r>
      <w:r w:rsidR="00090417" w:rsidRPr="00090417">
        <w:rPr>
          <w:sz w:val="22"/>
        </w:rPr>
        <w:t xml:space="preserve"> corrosion of confidence in the integrity of Basin Plan delivery</w:t>
      </w:r>
      <w:r w:rsidR="003B6891">
        <w:rPr>
          <w:sz w:val="22"/>
        </w:rPr>
        <w:t>. These are administrative arrangements</w:t>
      </w:r>
      <w:r w:rsidR="0013681A" w:rsidRPr="00E242E6">
        <w:rPr>
          <w:sz w:val="22"/>
        </w:rPr>
        <w:t xml:space="preserve">, in lieu of </w:t>
      </w:r>
      <w:r w:rsidR="0013681A">
        <w:rPr>
          <w:sz w:val="22"/>
        </w:rPr>
        <w:t>l</w:t>
      </w:r>
      <w:r w:rsidR="0013681A" w:rsidRPr="00E242E6">
        <w:rPr>
          <w:sz w:val="22"/>
        </w:rPr>
        <w:t xml:space="preserve">egislative compliance through the Basin Plan and accredited </w:t>
      </w:r>
      <w:r w:rsidR="0013681A">
        <w:rPr>
          <w:sz w:val="22"/>
        </w:rPr>
        <w:t>water resource plans</w:t>
      </w:r>
      <w:r w:rsidR="0013681A" w:rsidRPr="00E242E6">
        <w:rPr>
          <w:sz w:val="22"/>
        </w:rPr>
        <w:t>.</w:t>
      </w:r>
      <w:r w:rsidR="0013681A">
        <w:rPr>
          <w:sz w:val="22"/>
        </w:rPr>
        <w:t xml:space="preserve"> </w:t>
      </w:r>
      <w:r w:rsidR="006B5775">
        <w:rPr>
          <w:sz w:val="22"/>
        </w:rPr>
        <w:t>A rece</w:t>
      </w:r>
      <w:r w:rsidR="005D78D8">
        <w:rPr>
          <w:sz w:val="22"/>
        </w:rPr>
        <w:t>nt</w:t>
      </w:r>
      <w:r w:rsidR="0013681A" w:rsidRPr="00E242E6">
        <w:rPr>
          <w:sz w:val="22"/>
        </w:rPr>
        <w:t xml:space="preserve"> review of the Inspector-General of Water Compliance</w:t>
      </w:r>
      <w:r w:rsidR="005D78D8">
        <w:rPr>
          <w:sz w:val="22"/>
        </w:rPr>
        <w:t>, conducted by Mr Peter Harris AO</w:t>
      </w:r>
      <w:r w:rsidR="0013681A" w:rsidRPr="00E242E6">
        <w:rPr>
          <w:sz w:val="22"/>
        </w:rPr>
        <w:t xml:space="preserve"> considered this issue and made the following statement</w:t>
      </w:r>
      <w:r w:rsidR="0013681A">
        <w:rPr>
          <w:sz w:val="22"/>
        </w:rPr>
        <w:t>:</w:t>
      </w:r>
    </w:p>
    <w:p w14:paraId="37346CEA" w14:textId="68D6C6F5" w:rsidR="0013681A" w:rsidRPr="00A57E90" w:rsidRDefault="0013681A" w:rsidP="00202FF9">
      <w:pPr>
        <w:ind w:left="720"/>
        <w:rPr>
          <w:i/>
          <w:iCs/>
          <w:sz w:val="22"/>
        </w:rPr>
      </w:pPr>
      <w:r w:rsidRPr="534AE6DE">
        <w:rPr>
          <w:i/>
          <w:iCs/>
          <w:sz w:val="22"/>
        </w:rPr>
        <w:t>“</w:t>
      </w:r>
      <w:r w:rsidR="7EADFC21" w:rsidRPr="534AE6DE">
        <w:rPr>
          <w:i/>
          <w:iCs/>
          <w:sz w:val="22"/>
        </w:rPr>
        <w:t>The</w:t>
      </w:r>
      <w:r w:rsidRPr="534AE6DE">
        <w:rPr>
          <w:i/>
          <w:iCs/>
          <w:sz w:val="22"/>
        </w:rPr>
        <w:t xml:space="preserve"> more that unenforceable arrangements are developed that enable the impression to be created that NSW is delivering on its commitments under the Basin Plan without having to meet the same burden of proof and reform of historical anomalies in water take as other jurisdictions, the less incentive there is to complete water resource plans at all.” </w:t>
      </w:r>
    </w:p>
    <w:p w14:paraId="714318C2" w14:textId="47AF9646" w:rsidR="0013681A" w:rsidRDefault="0013681A" w:rsidP="0013681A">
      <w:pPr>
        <w:rPr>
          <w:sz w:val="22"/>
        </w:rPr>
      </w:pPr>
      <w:r w:rsidRPr="00E242E6">
        <w:rPr>
          <w:sz w:val="22"/>
        </w:rPr>
        <w:t xml:space="preserve">I am pleased to see an end to this arrangement on the horizon, as 16 </w:t>
      </w:r>
      <w:r>
        <w:rPr>
          <w:sz w:val="22"/>
        </w:rPr>
        <w:t>New South Wales water resource plans</w:t>
      </w:r>
      <w:r w:rsidRPr="00E242E6">
        <w:rPr>
          <w:sz w:val="22"/>
        </w:rPr>
        <w:t xml:space="preserve"> are accredited at the time of this </w:t>
      </w:r>
      <w:r>
        <w:rPr>
          <w:sz w:val="22"/>
        </w:rPr>
        <w:t>S</w:t>
      </w:r>
      <w:r w:rsidRPr="00E242E6">
        <w:rPr>
          <w:sz w:val="22"/>
        </w:rPr>
        <w:t>tatement. There is however a</w:t>
      </w:r>
      <w:r>
        <w:rPr>
          <w:sz w:val="22"/>
        </w:rPr>
        <w:t xml:space="preserve"> time</w:t>
      </w:r>
      <w:r w:rsidRPr="00E242E6">
        <w:rPr>
          <w:sz w:val="22"/>
        </w:rPr>
        <w:t xml:space="preserve"> lag which will </w:t>
      </w:r>
      <w:r>
        <w:rPr>
          <w:sz w:val="22"/>
        </w:rPr>
        <w:t xml:space="preserve">see several water resource plan areas not appear on the Registers of Take for </w:t>
      </w:r>
      <w:r w:rsidRPr="00E242E6">
        <w:rPr>
          <w:sz w:val="22"/>
        </w:rPr>
        <w:t xml:space="preserve">a couple of years </w:t>
      </w:r>
      <w:r>
        <w:rPr>
          <w:sz w:val="22"/>
        </w:rPr>
        <w:t>to</w:t>
      </w:r>
      <w:r w:rsidRPr="00E242E6">
        <w:rPr>
          <w:sz w:val="22"/>
        </w:rPr>
        <w:t xml:space="preserve"> come</w:t>
      </w:r>
      <w:r>
        <w:rPr>
          <w:sz w:val="22"/>
        </w:rPr>
        <w:t xml:space="preserve">. </w:t>
      </w:r>
    </w:p>
    <w:p w14:paraId="3619BCD1" w14:textId="30208DA4" w:rsidR="0013681A" w:rsidRDefault="0013681A" w:rsidP="0013681A">
      <w:pPr>
        <w:rPr>
          <w:sz w:val="22"/>
        </w:rPr>
      </w:pPr>
      <w:r>
        <w:rPr>
          <w:sz w:val="22"/>
        </w:rPr>
        <w:t xml:space="preserve">While Basin States continue to work towards ensuring all significant water extractions are metered accurately, </w:t>
      </w:r>
      <w:r w:rsidRPr="00DA01BF">
        <w:rPr>
          <w:sz w:val="22"/>
        </w:rPr>
        <w:t>the uncertainties associated with modelled surface water take remain a concern</w:t>
      </w:r>
      <w:r w:rsidR="007523C0">
        <w:rPr>
          <w:sz w:val="22"/>
        </w:rPr>
        <w:t xml:space="preserve"> for the community</w:t>
      </w:r>
      <w:r w:rsidRPr="00DA01BF">
        <w:rPr>
          <w:sz w:val="22"/>
        </w:rPr>
        <w:t xml:space="preserve">. </w:t>
      </w:r>
      <w:r w:rsidR="001E30C9">
        <w:rPr>
          <w:sz w:val="22"/>
        </w:rPr>
        <w:t xml:space="preserve">I am not just listening to </w:t>
      </w:r>
      <w:r w:rsidR="001E7CAC">
        <w:rPr>
          <w:sz w:val="22"/>
        </w:rPr>
        <w:t>communities</w:t>
      </w:r>
      <w:r w:rsidR="001E30C9">
        <w:rPr>
          <w:sz w:val="22"/>
        </w:rPr>
        <w:t xml:space="preserve">, I am hearing them and </w:t>
      </w:r>
      <w:r w:rsidR="006234E9">
        <w:rPr>
          <w:sz w:val="22"/>
        </w:rPr>
        <w:t xml:space="preserve">independently </w:t>
      </w:r>
      <w:r w:rsidR="001E30C9">
        <w:rPr>
          <w:sz w:val="22"/>
        </w:rPr>
        <w:t>acting on their areas of concern</w:t>
      </w:r>
      <w:r w:rsidR="001E7CAC">
        <w:rPr>
          <w:sz w:val="22"/>
        </w:rPr>
        <w:t xml:space="preserve"> on their behalf</w:t>
      </w:r>
      <w:r w:rsidR="001E30C9">
        <w:rPr>
          <w:sz w:val="22"/>
        </w:rPr>
        <w:t xml:space="preserve">. </w:t>
      </w:r>
      <w:r w:rsidRPr="00DA01BF">
        <w:rPr>
          <w:sz w:val="22"/>
        </w:rPr>
        <w:t xml:space="preserve">I have recently commissioned research to increase </w:t>
      </w:r>
      <w:r>
        <w:rPr>
          <w:sz w:val="22"/>
        </w:rPr>
        <w:t>the</w:t>
      </w:r>
      <w:r w:rsidRPr="00DA01BF">
        <w:rPr>
          <w:sz w:val="22"/>
        </w:rPr>
        <w:t xml:space="preserve"> understanding of modelled surface water values, </w:t>
      </w:r>
      <w:r>
        <w:rPr>
          <w:sz w:val="22"/>
        </w:rPr>
        <w:t>identify</w:t>
      </w:r>
      <w:r w:rsidRPr="00DA01BF">
        <w:rPr>
          <w:sz w:val="22"/>
        </w:rPr>
        <w:t xml:space="preserve"> level</w:t>
      </w:r>
      <w:r w:rsidR="00FA24ED">
        <w:rPr>
          <w:sz w:val="22"/>
        </w:rPr>
        <w:t>s</w:t>
      </w:r>
      <w:r w:rsidRPr="00DA01BF">
        <w:rPr>
          <w:sz w:val="22"/>
        </w:rPr>
        <w:t xml:space="preserve"> of confidence in modelling </w:t>
      </w:r>
      <w:r>
        <w:rPr>
          <w:sz w:val="22"/>
        </w:rPr>
        <w:t>figures</w:t>
      </w:r>
      <w:r w:rsidRPr="00DA01BF">
        <w:rPr>
          <w:sz w:val="22"/>
        </w:rPr>
        <w:t xml:space="preserve">, and </w:t>
      </w:r>
      <w:r>
        <w:rPr>
          <w:sz w:val="22"/>
        </w:rPr>
        <w:t>clarify</w:t>
      </w:r>
      <w:r w:rsidRPr="00DA01BF">
        <w:rPr>
          <w:sz w:val="22"/>
        </w:rPr>
        <w:t xml:space="preserve"> growth in use </w:t>
      </w:r>
      <w:r>
        <w:rPr>
          <w:sz w:val="22"/>
        </w:rPr>
        <w:t>in</w:t>
      </w:r>
      <w:r w:rsidRPr="00DA01BF">
        <w:rPr>
          <w:sz w:val="22"/>
        </w:rPr>
        <w:t xml:space="preserve"> the modelled proportion of</w:t>
      </w:r>
      <w:r>
        <w:rPr>
          <w:sz w:val="22"/>
        </w:rPr>
        <w:t xml:space="preserve"> water use</w:t>
      </w:r>
      <w:r w:rsidRPr="00DA01BF">
        <w:rPr>
          <w:sz w:val="22"/>
        </w:rPr>
        <w:t>. This will support in</w:t>
      </w:r>
      <w:r>
        <w:rPr>
          <w:sz w:val="22"/>
        </w:rPr>
        <w:t>-</w:t>
      </w:r>
      <w:r w:rsidRPr="00DA01BF">
        <w:rPr>
          <w:sz w:val="22"/>
        </w:rPr>
        <w:t xml:space="preserve">depth understanding of the implications of these sources of uncertainty and risk </w:t>
      </w:r>
      <w:r w:rsidR="00042F1F">
        <w:rPr>
          <w:sz w:val="22"/>
        </w:rPr>
        <w:t>when I</w:t>
      </w:r>
      <w:r w:rsidR="00042F1F" w:rsidRPr="00DA01BF">
        <w:rPr>
          <w:sz w:val="22"/>
        </w:rPr>
        <w:t xml:space="preserve"> </w:t>
      </w:r>
      <w:r w:rsidRPr="00DA01BF">
        <w:rPr>
          <w:sz w:val="22"/>
        </w:rPr>
        <w:t>determin</w:t>
      </w:r>
      <w:r w:rsidR="005F55DC">
        <w:rPr>
          <w:sz w:val="22"/>
        </w:rPr>
        <w:t>e</w:t>
      </w:r>
      <w:r w:rsidRPr="00DA01BF">
        <w:rPr>
          <w:sz w:val="22"/>
        </w:rPr>
        <w:t xml:space="preserve"> compliance with the SDLs.</w:t>
      </w:r>
    </w:p>
    <w:p w14:paraId="146D7EF6" w14:textId="079BB00B" w:rsidR="0013681A" w:rsidRPr="007D6B20" w:rsidRDefault="0013681A" w:rsidP="0013681A">
      <w:pPr>
        <w:rPr>
          <w:sz w:val="22"/>
        </w:rPr>
      </w:pPr>
      <w:r>
        <w:rPr>
          <w:sz w:val="22"/>
        </w:rPr>
        <w:t>As the</w:t>
      </w:r>
      <w:r w:rsidRPr="007D6B20">
        <w:rPr>
          <w:sz w:val="22"/>
        </w:rPr>
        <w:t xml:space="preserve"> Inspector-General of Water Compliance </w:t>
      </w:r>
      <w:r>
        <w:rPr>
          <w:sz w:val="22"/>
        </w:rPr>
        <w:t xml:space="preserve">I </w:t>
      </w:r>
      <w:r w:rsidRPr="007D6B20">
        <w:rPr>
          <w:sz w:val="22"/>
        </w:rPr>
        <w:t xml:space="preserve">remain dedicated to transparency, rigorous oversight, and building </w:t>
      </w:r>
      <w:r w:rsidR="00E53A01">
        <w:rPr>
          <w:sz w:val="22"/>
        </w:rPr>
        <w:t xml:space="preserve">confidence in </w:t>
      </w:r>
      <w:r w:rsidR="003A1254">
        <w:rPr>
          <w:sz w:val="22"/>
        </w:rPr>
        <w:t>SDL compliance</w:t>
      </w:r>
      <w:r w:rsidR="00E53A01" w:rsidRPr="007D6B20">
        <w:rPr>
          <w:sz w:val="22"/>
        </w:rPr>
        <w:t xml:space="preserve"> </w:t>
      </w:r>
      <w:r w:rsidRPr="007D6B20">
        <w:rPr>
          <w:sz w:val="22"/>
        </w:rPr>
        <w:t xml:space="preserve">among all stakeholders. </w:t>
      </w:r>
      <w:r>
        <w:rPr>
          <w:sz w:val="22"/>
        </w:rPr>
        <w:t>I am</w:t>
      </w:r>
      <w:r w:rsidRPr="007D6B20">
        <w:rPr>
          <w:sz w:val="22"/>
        </w:rPr>
        <w:t xml:space="preserve"> committed to </w:t>
      </w:r>
      <w:r w:rsidR="002B1CFE">
        <w:rPr>
          <w:sz w:val="22"/>
        </w:rPr>
        <w:t>advocating for greater public visibility of state</w:t>
      </w:r>
      <w:r w:rsidR="00FA2A00">
        <w:rPr>
          <w:sz w:val="22"/>
        </w:rPr>
        <w:t xml:space="preserve"> and commonwealth</w:t>
      </w:r>
      <w:r w:rsidR="002B1CFE">
        <w:rPr>
          <w:sz w:val="22"/>
        </w:rPr>
        <w:t xml:space="preserve"> de</w:t>
      </w:r>
      <w:r w:rsidR="00FA2A00">
        <w:rPr>
          <w:sz w:val="22"/>
        </w:rPr>
        <w:t xml:space="preserve">cision making, </w:t>
      </w:r>
      <w:r w:rsidRPr="007D6B20">
        <w:rPr>
          <w:sz w:val="22"/>
        </w:rPr>
        <w:t xml:space="preserve">publishing our findings, conducting thorough assessments, and engaging with the community to ensure that the </w:t>
      </w:r>
      <w:r>
        <w:rPr>
          <w:sz w:val="22"/>
        </w:rPr>
        <w:t>outcomes</w:t>
      </w:r>
      <w:r w:rsidRPr="007D6B20">
        <w:rPr>
          <w:sz w:val="22"/>
        </w:rPr>
        <w:t xml:space="preserve"> of the Basin Plan are met. This </w:t>
      </w:r>
      <w:r>
        <w:rPr>
          <w:sz w:val="22"/>
        </w:rPr>
        <w:t>C</w:t>
      </w:r>
      <w:r w:rsidRPr="007D6B20">
        <w:rPr>
          <w:sz w:val="22"/>
        </w:rPr>
        <w:t xml:space="preserve">ompliance </w:t>
      </w:r>
      <w:r>
        <w:rPr>
          <w:sz w:val="22"/>
        </w:rPr>
        <w:t>S</w:t>
      </w:r>
      <w:r w:rsidRPr="007D6B20">
        <w:rPr>
          <w:sz w:val="22"/>
        </w:rPr>
        <w:t>tatement is a testament to our ongoing efforts and the collective responsibility we share in safeguarding our water resources for future generations.</w:t>
      </w:r>
    </w:p>
    <w:p w14:paraId="47AC5F76" w14:textId="5ECA5C21" w:rsidR="0013681A" w:rsidRDefault="00DE5515" w:rsidP="0013681A">
      <w:pPr>
        <w:rPr>
          <w:sz w:val="22"/>
        </w:rPr>
      </w:pPr>
      <w:r>
        <w:rPr>
          <w:sz w:val="22"/>
        </w:rPr>
        <w:t>I am encouraged that</w:t>
      </w:r>
      <w:r w:rsidR="0013681A" w:rsidRPr="007D6B20">
        <w:rPr>
          <w:sz w:val="22"/>
        </w:rPr>
        <w:t xml:space="preserve"> we continue to make significant strides towards sustainable water management across the Murray-Darling Basin.</w:t>
      </w:r>
    </w:p>
    <w:p w14:paraId="6F4D0C4C" w14:textId="77777777" w:rsidR="009878FA" w:rsidRDefault="009878FA" w:rsidP="0013681A">
      <w:pPr>
        <w:rPr>
          <w:sz w:val="22"/>
        </w:rPr>
      </w:pPr>
    </w:p>
    <w:p w14:paraId="467F9513" w14:textId="77777777" w:rsidR="009878FA" w:rsidRDefault="009878FA" w:rsidP="0013681A">
      <w:pPr>
        <w:rPr>
          <w:sz w:val="22"/>
        </w:rPr>
      </w:pPr>
    </w:p>
    <w:p w14:paraId="7A75F1B1" w14:textId="35E0375C" w:rsidR="009878FA" w:rsidRDefault="004C3BAD" w:rsidP="0013681A">
      <w:pPr>
        <w:rPr>
          <w:sz w:val="22"/>
        </w:rPr>
      </w:pPr>
      <w:r>
        <w:rPr>
          <w:noProof/>
          <w:sz w:val="22"/>
        </w:rPr>
        <w:drawing>
          <wp:inline distT="0" distB="0" distL="0" distR="0" wp14:anchorId="75B883F5" wp14:editId="05618907">
            <wp:extent cx="1188777" cy="590232"/>
            <wp:effectExtent l="0" t="0" r="0" b="635"/>
            <wp:docPr id="1670257655" name="Picture 1" descr="The Hon. Troy Gran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57655" name="Picture 1" descr="The Hon. Troy Grant's signature."/>
                    <pic:cNvPicPr/>
                  </pic:nvPicPr>
                  <pic:blipFill>
                    <a:blip r:embed="rId24">
                      <a:extLst>
                        <a:ext uri="{28A0092B-C50C-407E-A947-70E740481C1C}">
                          <a14:useLocalDpi xmlns:a14="http://schemas.microsoft.com/office/drawing/2010/main" val="0"/>
                        </a:ext>
                      </a:extLst>
                    </a:blip>
                    <a:stretch>
                      <a:fillRect/>
                    </a:stretch>
                  </pic:blipFill>
                  <pic:spPr>
                    <a:xfrm>
                      <a:off x="0" y="0"/>
                      <a:ext cx="1188777" cy="590232"/>
                    </a:xfrm>
                    <a:prstGeom prst="rect">
                      <a:avLst/>
                    </a:prstGeom>
                  </pic:spPr>
                </pic:pic>
              </a:graphicData>
            </a:graphic>
          </wp:inline>
        </w:drawing>
      </w:r>
    </w:p>
    <w:p w14:paraId="1017EDCC" w14:textId="77777777" w:rsidR="009878FA" w:rsidRDefault="009878FA" w:rsidP="0013681A">
      <w:pPr>
        <w:rPr>
          <w:sz w:val="22"/>
        </w:rPr>
      </w:pPr>
    </w:p>
    <w:p w14:paraId="70285BA1" w14:textId="1D3F8D5D" w:rsidR="009878FA" w:rsidRDefault="009878FA" w:rsidP="0013681A">
      <w:pPr>
        <w:rPr>
          <w:sz w:val="22"/>
        </w:rPr>
      </w:pPr>
      <w:r>
        <w:rPr>
          <w:sz w:val="22"/>
        </w:rPr>
        <w:t>The Hon. Troy Grant</w:t>
      </w:r>
    </w:p>
    <w:p w14:paraId="7D84818B" w14:textId="4456E1D4" w:rsidR="009878FA" w:rsidRDefault="009878FA" w:rsidP="0013681A">
      <w:pPr>
        <w:rPr>
          <w:sz w:val="22"/>
        </w:rPr>
      </w:pPr>
      <w:r>
        <w:rPr>
          <w:sz w:val="22"/>
        </w:rPr>
        <w:t>Inspector-General of Water Compliance</w:t>
      </w:r>
    </w:p>
    <w:p w14:paraId="426A71EA" w14:textId="51FD099E" w:rsidR="009878FA" w:rsidRPr="007D6B20" w:rsidRDefault="009878FA" w:rsidP="0013681A">
      <w:pPr>
        <w:rPr>
          <w:sz w:val="22"/>
        </w:rPr>
      </w:pPr>
      <w:r>
        <w:rPr>
          <w:sz w:val="22"/>
        </w:rPr>
        <w:t>31 July 2024</w:t>
      </w:r>
    </w:p>
    <w:p w14:paraId="621B786C" w14:textId="77777777" w:rsidR="00441522" w:rsidRPr="00441522" w:rsidRDefault="00441522" w:rsidP="00BC1CB5"/>
    <w:p w14:paraId="534E388D" w14:textId="102BDAA7" w:rsidR="009546C2" w:rsidRDefault="00297BCD" w:rsidP="009546C2">
      <w:pPr>
        <w:pStyle w:val="Heading1"/>
      </w:pPr>
      <w:bookmarkStart w:id="6" w:name="_Toc172018834"/>
      <w:r>
        <w:lastRenderedPageBreak/>
        <w:t xml:space="preserve">Part A - </w:t>
      </w:r>
      <w:r w:rsidR="009546C2">
        <w:t>Compliance with the Sustainable Diversion Limits</w:t>
      </w:r>
      <w:bookmarkEnd w:id="4"/>
      <w:bookmarkEnd w:id="5"/>
      <w:bookmarkEnd w:id="6"/>
    </w:p>
    <w:p w14:paraId="7ADC51C9" w14:textId="77777777" w:rsidR="009546C2" w:rsidRDefault="009546C2" w:rsidP="009546C2">
      <w:pPr>
        <w:pStyle w:val="Heading2"/>
      </w:pPr>
      <w:bookmarkStart w:id="7" w:name="_Toc162015529"/>
      <w:bookmarkStart w:id="8" w:name="_Toc172018835"/>
      <w:r>
        <w:t xml:space="preserve">Ensure </w:t>
      </w:r>
      <w:proofErr w:type="spellStart"/>
      <w:r>
        <w:t>it’s</w:t>
      </w:r>
      <w:proofErr w:type="spellEnd"/>
      <w:r>
        <w:t xml:space="preserve"> lawful</w:t>
      </w:r>
      <w:bookmarkEnd w:id="7"/>
      <w:bookmarkEnd w:id="8"/>
    </w:p>
    <w:p w14:paraId="713A80AE" w14:textId="2956ECB0" w:rsidR="009546C2" w:rsidRPr="009975A0" w:rsidRDefault="009546C2" w:rsidP="009546C2">
      <w:r w:rsidRPr="009975A0">
        <w:t xml:space="preserve">Sustainable Diversion Limits (SDLs) and compliance with the limits are essential to the implementation and operation of the </w:t>
      </w:r>
      <w:r w:rsidRPr="009975A0">
        <w:rPr>
          <w:i/>
        </w:rPr>
        <w:t>Basin Plan</w:t>
      </w:r>
      <w:r w:rsidRPr="009975A0">
        <w:rPr>
          <w:i/>
          <w:iCs/>
        </w:rPr>
        <w:t xml:space="preserve"> 2012</w:t>
      </w:r>
      <w:r w:rsidRPr="009975A0">
        <w:t xml:space="preserve"> (Basin Plan). Under the Commonwealth </w:t>
      </w:r>
      <w:r w:rsidRPr="009975A0">
        <w:rPr>
          <w:i/>
          <w:iCs/>
        </w:rPr>
        <w:t>Water Act 2007</w:t>
      </w:r>
      <w:r w:rsidR="00977DD8">
        <w:t xml:space="preserve"> (the Act)</w:t>
      </w:r>
      <w:r w:rsidRPr="009975A0">
        <w:t>, SDLs provide for ‘the establishment and enforcement of environmentally sustainable limits on the quantities of surface water and groundwater that may be taken from the Basin water resources.</w:t>
      </w:r>
      <w:r w:rsidRPr="009975A0">
        <w:rPr>
          <w:rStyle w:val="FootnoteReference"/>
        </w:rPr>
        <w:footnoteReference w:id="2"/>
      </w:r>
      <w:r w:rsidRPr="009975A0">
        <w:t xml:space="preserve"> </w:t>
      </w:r>
    </w:p>
    <w:p w14:paraId="6C678C5E" w14:textId="77777777" w:rsidR="009546C2" w:rsidRDefault="009546C2" w:rsidP="009546C2">
      <w:r w:rsidRPr="009975A0">
        <w:t>Compliance with the SDLs by Basin States has been required since 1 July 2019.</w:t>
      </w:r>
      <w:r w:rsidRPr="009975A0">
        <w:rPr>
          <w:rStyle w:val="FootnoteReference"/>
        </w:rPr>
        <w:footnoteReference w:id="3"/>
      </w:r>
      <w:r>
        <w:t xml:space="preserve"> Only when a water resource plan is </w:t>
      </w:r>
      <w:r w:rsidRPr="009975A0">
        <w:t>operat</w:t>
      </w:r>
      <w:r>
        <w:t>ing</w:t>
      </w:r>
      <w:r w:rsidRPr="009975A0">
        <w:t xml:space="preserve"> for a full water accounting year (1 July – 30 June)</w:t>
      </w:r>
      <w:r w:rsidRPr="009975A0">
        <w:rPr>
          <w:rStyle w:val="FootnoteReference"/>
        </w:rPr>
        <w:footnoteReference w:id="4"/>
      </w:r>
      <w:r w:rsidRPr="009975A0" w:rsidDel="0082652D">
        <w:t xml:space="preserve"> </w:t>
      </w:r>
      <w:r>
        <w:t xml:space="preserve">can </w:t>
      </w:r>
      <w:r w:rsidRPr="009975A0">
        <w:t xml:space="preserve">SDL compliance </w:t>
      </w:r>
      <w:r>
        <w:t xml:space="preserve">apply. </w:t>
      </w:r>
    </w:p>
    <w:p w14:paraId="5B80E769" w14:textId="68595F08" w:rsidR="009546C2" w:rsidRDefault="009546C2" w:rsidP="009546C2">
      <w:r>
        <w:t xml:space="preserve">SDL compliance is determined from the accredited accounting methods and application of obligations within the </w:t>
      </w:r>
      <w:r w:rsidRPr="009975A0">
        <w:t>water resource plan</w:t>
      </w:r>
      <w:r>
        <w:t>. It is the responsibility of the Basin States to report on and ensure compliance with the SDLs on an annual basis.</w:t>
      </w:r>
    </w:p>
    <w:p w14:paraId="7B3A8B52" w14:textId="5100F10C" w:rsidR="009546C2" w:rsidRPr="009975A0" w:rsidRDefault="009546C2" w:rsidP="009546C2">
      <w:r w:rsidRPr="009975A0">
        <w:t xml:space="preserve">Non-compliance with SDLs </w:t>
      </w:r>
      <w:r>
        <w:t xml:space="preserve">considers more than </w:t>
      </w:r>
      <w:r w:rsidRPr="009975A0">
        <w:t xml:space="preserve">one </w:t>
      </w:r>
      <w:r>
        <w:t xml:space="preserve">water </w:t>
      </w:r>
      <w:r w:rsidRPr="009975A0">
        <w:t>user</w:t>
      </w:r>
      <w:r>
        <w:t xml:space="preserve"> group</w:t>
      </w:r>
      <w:r w:rsidRPr="009975A0">
        <w:t xml:space="preserve"> tak</w:t>
      </w:r>
      <w:r>
        <w:t>ing</w:t>
      </w:r>
      <w:r w:rsidRPr="009975A0">
        <w:t xml:space="preserve"> too much water</w:t>
      </w:r>
      <w:r w:rsidR="00D35DB3">
        <w:t>:</w:t>
      </w:r>
      <w:r w:rsidRPr="009975A0">
        <w:t xml:space="preserve"> </w:t>
      </w:r>
      <w:r w:rsidR="00D35DB3">
        <w:t>n</w:t>
      </w:r>
      <w:r w:rsidRPr="009975A0">
        <w:t xml:space="preserve">on-compliance </w:t>
      </w:r>
      <w:r>
        <w:t xml:space="preserve">is when the combined water use across all consumptive uses exceeds </w:t>
      </w:r>
      <w:r w:rsidRPr="009975A0">
        <w:t>the</w:t>
      </w:r>
      <w:r w:rsidRPr="009975A0">
        <w:rPr>
          <w:rStyle w:val="Hyperlink"/>
          <w:b/>
          <w:bCs/>
          <w:u w:val="none"/>
        </w:rPr>
        <w:t xml:space="preserve"> </w:t>
      </w:r>
      <w:r w:rsidR="00124D96" w:rsidRPr="00D56471">
        <w:rPr>
          <w:rStyle w:val="Hyperlink"/>
          <w:color w:val="auto"/>
          <w:u w:val="none"/>
        </w:rPr>
        <w:t xml:space="preserve">SDL </w:t>
      </w:r>
      <w:r w:rsidR="001A67E7" w:rsidRPr="00D56471">
        <w:rPr>
          <w:rStyle w:val="Hyperlink"/>
          <w:color w:val="auto"/>
          <w:u w:val="none"/>
        </w:rPr>
        <w:t xml:space="preserve">compliance </w:t>
      </w:r>
      <w:r w:rsidRPr="00D56471">
        <w:rPr>
          <w:rStyle w:val="Hyperlink"/>
          <w:color w:val="auto"/>
          <w:u w:val="none"/>
        </w:rPr>
        <w:t>threshold</w:t>
      </w:r>
      <w:r>
        <w:rPr>
          <w:rStyle w:val="Hyperlink"/>
          <w:b/>
          <w:bCs/>
          <w:color w:val="auto"/>
          <w:u w:val="none"/>
        </w:rPr>
        <w:t xml:space="preserve"> </w:t>
      </w:r>
      <w:r w:rsidRPr="002A0E11">
        <w:rPr>
          <w:rStyle w:val="Hyperlink"/>
          <w:color w:val="auto"/>
          <w:u w:val="none"/>
        </w:rPr>
        <w:t xml:space="preserve">and there is no </w:t>
      </w:r>
      <w:r>
        <w:rPr>
          <w:rStyle w:val="Hyperlink"/>
          <w:color w:val="auto"/>
          <w:u w:val="none"/>
        </w:rPr>
        <w:t xml:space="preserve">deemed </w:t>
      </w:r>
      <w:r w:rsidRPr="00D56471">
        <w:rPr>
          <w:rStyle w:val="Hyperlink"/>
          <w:color w:val="auto"/>
          <w:u w:val="none"/>
        </w:rPr>
        <w:t>reasonable excuse</w:t>
      </w:r>
      <w:r w:rsidRPr="002A0E11">
        <w:rPr>
          <w:rStyle w:val="Hyperlink"/>
          <w:color w:val="auto"/>
          <w:u w:val="none"/>
        </w:rPr>
        <w:t xml:space="preserve"> for the excess</w:t>
      </w:r>
      <w:r w:rsidRPr="00CB7BFE">
        <w:t>.</w:t>
      </w:r>
    </w:p>
    <w:p w14:paraId="0FFFC360" w14:textId="06069DEA" w:rsidR="009546C2" w:rsidRDefault="009546C2" w:rsidP="009546C2">
      <w:r>
        <w:t>As an independent regulator, the</w:t>
      </w:r>
      <w:r w:rsidR="00736402">
        <w:t xml:space="preserve"> Inspector-General of Water Compliance</w:t>
      </w:r>
      <w:r>
        <w:t xml:space="preserve"> </w:t>
      </w:r>
      <w:r w:rsidR="00736402">
        <w:t>(</w:t>
      </w:r>
      <w:r>
        <w:t>Inspector-General</w:t>
      </w:r>
      <w:r w:rsidR="00736402">
        <w:t>)</w:t>
      </w:r>
      <w:r>
        <w:t xml:space="preserve"> has a responsibility to undertake an annual assessment and respond to SDL compliance. The Inspector-General has legislative powers to conduct an</w:t>
      </w:r>
      <w:r w:rsidRPr="00F06D0D">
        <w:t xml:space="preserve"> inquiry, audit, and investigati</w:t>
      </w:r>
      <w:r>
        <w:t>on.</w:t>
      </w:r>
      <w:r w:rsidRPr="006A67D2">
        <w:t xml:space="preserve"> </w:t>
      </w:r>
    </w:p>
    <w:p w14:paraId="61F6F3A5" w14:textId="77777777" w:rsidR="009546C2" w:rsidRDefault="009546C2" w:rsidP="009546C2">
      <w:pPr>
        <w:pStyle w:val="Heading2"/>
      </w:pPr>
      <w:bookmarkStart w:id="9" w:name="_Toc138234572"/>
      <w:bookmarkStart w:id="10" w:name="_Toc162015530"/>
      <w:bookmarkStart w:id="11" w:name="_Toc172018836"/>
      <w:r>
        <w:t xml:space="preserve">Ensure </w:t>
      </w:r>
      <w:proofErr w:type="spellStart"/>
      <w:r>
        <w:t>it’s</w:t>
      </w:r>
      <w:proofErr w:type="spellEnd"/>
      <w:r>
        <w:t xml:space="preserve"> visible</w:t>
      </w:r>
      <w:bookmarkEnd w:id="9"/>
      <w:bookmarkEnd w:id="10"/>
      <w:bookmarkEnd w:id="11"/>
    </w:p>
    <w:p w14:paraId="59EDDC81" w14:textId="77777777" w:rsidR="009546C2" w:rsidRDefault="009546C2" w:rsidP="009546C2">
      <w:pPr>
        <w:spacing w:after="120"/>
      </w:pPr>
      <w:r w:rsidRPr="000A0555">
        <w:t xml:space="preserve">With increasing public scrutiny in relation to water management across the Murray-Darling Basin, the role of </w:t>
      </w:r>
      <w:r w:rsidRPr="00034C4C">
        <w:t xml:space="preserve">the Inspector-General </w:t>
      </w:r>
      <w:r w:rsidRPr="002E4908">
        <w:t xml:space="preserve">was established </w:t>
      </w:r>
      <w:r>
        <w:t>in August 2021. Through this role, the Inspector-General has committed to:</w:t>
      </w:r>
    </w:p>
    <w:p w14:paraId="1531195B" w14:textId="77777777" w:rsidR="009546C2" w:rsidRPr="00D67D3F" w:rsidRDefault="009546C2" w:rsidP="009546C2">
      <w:pPr>
        <w:numPr>
          <w:ilvl w:val="0"/>
          <w:numId w:val="46"/>
        </w:numPr>
        <w:spacing w:after="75"/>
        <w:ind w:left="714" w:hanging="357"/>
      </w:pPr>
      <w:r w:rsidRPr="00D67D3F">
        <w:t>Deliver trust and transparency around the management of Murray-Darling Basin water resources.</w:t>
      </w:r>
    </w:p>
    <w:p w14:paraId="17A67F65" w14:textId="0B1FBE1D" w:rsidR="009546C2" w:rsidRPr="00D67D3F" w:rsidRDefault="009546C2" w:rsidP="009546C2">
      <w:pPr>
        <w:numPr>
          <w:ilvl w:val="0"/>
          <w:numId w:val="46"/>
        </w:numPr>
        <w:spacing w:before="100" w:beforeAutospacing="1" w:after="75"/>
      </w:pPr>
      <w:r w:rsidRPr="00D67D3F">
        <w:t xml:space="preserve">Ensure the highest standard of accountability for all involved in the use and management of Basin resources, including </w:t>
      </w:r>
      <w:r w:rsidR="00B06815">
        <w:t>S</w:t>
      </w:r>
      <w:r w:rsidR="00B06815" w:rsidRPr="00D67D3F">
        <w:t xml:space="preserve">tate </w:t>
      </w:r>
      <w:r w:rsidRPr="00D67D3F">
        <w:t>and Commonwealth agencies.</w:t>
      </w:r>
    </w:p>
    <w:p w14:paraId="6971F62B" w14:textId="77777777" w:rsidR="009546C2" w:rsidRPr="00D67D3F" w:rsidRDefault="009546C2" w:rsidP="009546C2">
      <w:pPr>
        <w:numPr>
          <w:ilvl w:val="0"/>
          <w:numId w:val="46"/>
        </w:numPr>
        <w:spacing w:before="100" w:beforeAutospacing="1" w:after="75"/>
      </w:pPr>
      <w:r w:rsidRPr="00D67D3F">
        <w:t>Engage with the community on management of Basin resources.</w:t>
      </w:r>
    </w:p>
    <w:p w14:paraId="53FDBD77" w14:textId="5F10B650" w:rsidR="009546C2" w:rsidRDefault="009546C2" w:rsidP="009546C2">
      <w:r w:rsidRPr="002E4908">
        <w:t>The</w:t>
      </w:r>
      <w:r w:rsidR="00C13B57">
        <w:t xml:space="preserve"> </w:t>
      </w:r>
      <w:hyperlink r:id="rId25" w:history="1">
        <w:r w:rsidR="00C13B57">
          <w:rPr>
            <w:rStyle w:val="Hyperlink"/>
          </w:rPr>
          <w:t>Sustainable Diversion Limit Compliance Framework</w:t>
        </w:r>
      </w:hyperlink>
      <w:r w:rsidR="001C6192">
        <w:t xml:space="preserve"> </w:t>
      </w:r>
      <w:r w:rsidR="001F6F43">
        <w:t xml:space="preserve">(the </w:t>
      </w:r>
      <w:r w:rsidR="00DF6C05">
        <w:t xml:space="preserve">SDL </w:t>
      </w:r>
      <w:r w:rsidR="001F6F43">
        <w:t xml:space="preserve">Framework) </w:t>
      </w:r>
      <w:r>
        <w:t xml:space="preserve">has been developed to </w:t>
      </w:r>
      <w:r w:rsidRPr="001C5700">
        <w:t xml:space="preserve">articulate the </w:t>
      </w:r>
      <w:r>
        <w:t xml:space="preserve">Inspector-General’s </w:t>
      </w:r>
      <w:r w:rsidRPr="001C5700">
        <w:t xml:space="preserve">expectations and approach to exercising statutory powers and functions </w:t>
      </w:r>
      <w:r>
        <w:t>in relation to</w:t>
      </w:r>
      <w:r w:rsidRPr="001C5700">
        <w:t xml:space="preserve"> SDL compliance.</w:t>
      </w:r>
    </w:p>
    <w:p w14:paraId="485A6302" w14:textId="77777777" w:rsidR="009546C2" w:rsidRDefault="009546C2" w:rsidP="009546C2">
      <w:r>
        <w:t>This annual compliance statement is published to provide the community with information on the status of SDL compliance and transparency of water management in the Murray-Darling Basin.</w:t>
      </w:r>
    </w:p>
    <w:p w14:paraId="5FAC30C6" w14:textId="77777777" w:rsidR="00531A0A" w:rsidRDefault="00531A0A">
      <w:pPr>
        <w:spacing w:after="0"/>
        <w:rPr>
          <w:b/>
          <w:color w:val="48555E" w:themeColor="text2"/>
          <w:sz w:val="32"/>
          <w:szCs w:val="20"/>
        </w:rPr>
      </w:pPr>
      <w:bookmarkStart w:id="12" w:name="_Toc138234573"/>
      <w:bookmarkStart w:id="13" w:name="_Toc162015531"/>
      <w:r>
        <w:br w:type="page"/>
      </w:r>
    </w:p>
    <w:p w14:paraId="33FC87C0" w14:textId="1F6ACFA2" w:rsidR="00C63011" w:rsidRDefault="00C63011" w:rsidP="00C63011">
      <w:pPr>
        <w:pStyle w:val="Heading2"/>
      </w:pPr>
      <w:bookmarkStart w:id="14" w:name="_Toc172018837"/>
      <w:r>
        <w:lastRenderedPageBreak/>
        <w:t>Assessment Process</w:t>
      </w:r>
      <w:bookmarkEnd w:id="12"/>
      <w:bookmarkEnd w:id="13"/>
      <w:bookmarkEnd w:id="14"/>
    </w:p>
    <w:p w14:paraId="79F0A1E5" w14:textId="44278EAD" w:rsidR="00C63011" w:rsidRDefault="00C63011" w:rsidP="00C63011">
      <w:r>
        <w:t xml:space="preserve">As described in the </w:t>
      </w:r>
      <w:hyperlink r:id="rId26" w:history="1">
        <w:r w:rsidR="00DF6C05">
          <w:rPr>
            <w:rStyle w:val="Hyperlink"/>
          </w:rPr>
          <w:t>SDL Framework</w:t>
        </w:r>
      </w:hyperlink>
      <w:r>
        <w:t>, the SDL compliance assessment is informed by water accounts and reports provided by Basin States and the Murray-Darling Basin Authority (the Authority).</w:t>
      </w:r>
    </w:p>
    <w:p w14:paraId="1F7FC388" w14:textId="2C2C3AC5" w:rsidR="00C63011" w:rsidRDefault="00C63011" w:rsidP="00C63011">
      <w:r>
        <w:t>The annual SDL compliance assessments are informed by</w:t>
      </w:r>
      <w:r w:rsidR="000B118E">
        <w:t>:</w:t>
      </w:r>
    </w:p>
    <w:p w14:paraId="037CFD45" w14:textId="40C57758" w:rsidR="00C63011" w:rsidRPr="00264B98" w:rsidRDefault="00C63011" w:rsidP="00C63011">
      <w:pPr>
        <w:pStyle w:val="ListParagraph"/>
        <w:numPr>
          <w:ilvl w:val="0"/>
          <w:numId w:val="47"/>
        </w:numPr>
        <w:spacing w:after="120" w:line="240" w:lineRule="auto"/>
        <w:ind w:left="425" w:hanging="357"/>
        <w:contextualSpacing w:val="0"/>
        <w:rPr>
          <w:rFonts w:ascii="Verdana" w:eastAsia="Calibri" w:hAnsi="Verdana" w:cs="Times New Roman"/>
          <w:kern w:val="0"/>
          <w:sz w:val="20"/>
          <w14:ligatures w14:val="none"/>
        </w:rPr>
      </w:pPr>
      <w:r w:rsidRPr="00264B98">
        <w:rPr>
          <w:rFonts w:ascii="Verdana" w:eastAsia="Calibri" w:hAnsi="Verdana" w:cs="Times New Roman"/>
          <w:kern w:val="0"/>
          <w:sz w:val="20"/>
          <w14:ligatures w14:val="none"/>
        </w:rPr>
        <w:t xml:space="preserve">Basin State reports </w:t>
      </w:r>
      <w:r>
        <w:rPr>
          <w:rFonts w:ascii="Verdana" w:eastAsia="Calibri" w:hAnsi="Verdana" w:cs="Times New Roman"/>
          <w:kern w:val="0"/>
          <w:sz w:val="20"/>
          <w14:ligatures w14:val="none"/>
        </w:rPr>
        <w:t>as required</w:t>
      </w:r>
      <w:r w:rsidRPr="00264B98">
        <w:rPr>
          <w:rFonts w:ascii="Verdana" w:eastAsia="Calibri" w:hAnsi="Verdana" w:cs="Times New Roman"/>
          <w:kern w:val="0"/>
          <w:sz w:val="20"/>
          <w14:ligatures w14:val="none"/>
        </w:rPr>
        <w:t xml:space="preserve"> </w:t>
      </w:r>
      <w:r>
        <w:rPr>
          <w:rFonts w:ascii="Verdana" w:eastAsia="Calibri" w:hAnsi="Verdana" w:cs="Times New Roman"/>
          <w:kern w:val="0"/>
          <w:sz w:val="20"/>
          <w14:ligatures w14:val="none"/>
        </w:rPr>
        <w:t>by</w:t>
      </w:r>
      <w:r w:rsidRPr="00264B98">
        <w:rPr>
          <w:rFonts w:ascii="Verdana" w:eastAsia="Calibri" w:hAnsi="Verdana" w:cs="Times New Roman"/>
          <w:kern w:val="0"/>
          <w:sz w:val="20"/>
          <w14:ligatures w14:val="none"/>
        </w:rPr>
        <w:t xml:space="preserve"> Section 71 of the </w:t>
      </w:r>
      <w:r w:rsidR="00835DE6">
        <w:rPr>
          <w:rFonts w:ascii="Verdana" w:eastAsia="Calibri" w:hAnsi="Verdana" w:cs="Times New Roman"/>
          <w:kern w:val="0"/>
          <w:sz w:val="20"/>
          <w14:ligatures w14:val="none"/>
        </w:rPr>
        <w:t xml:space="preserve">Commonwealth Water </w:t>
      </w:r>
      <w:r w:rsidRPr="00264B98">
        <w:rPr>
          <w:rFonts w:ascii="Verdana" w:eastAsia="Calibri" w:hAnsi="Verdana" w:cs="Times New Roman"/>
          <w:kern w:val="0"/>
          <w:sz w:val="20"/>
          <w14:ligatures w14:val="none"/>
        </w:rPr>
        <w:t>Act</w:t>
      </w:r>
      <w:r>
        <w:rPr>
          <w:rFonts w:ascii="Verdana" w:eastAsia="Calibri" w:hAnsi="Verdana" w:cs="Times New Roman"/>
          <w:kern w:val="0"/>
          <w:sz w:val="20"/>
          <w14:ligatures w14:val="none"/>
        </w:rPr>
        <w:t>. The Section 71 reports include</w:t>
      </w:r>
      <w:r w:rsidRPr="00264B98">
        <w:rPr>
          <w:rFonts w:ascii="Verdana" w:eastAsia="Calibri" w:hAnsi="Verdana" w:cs="Times New Roman"/>
          <w:kern w:val="0"/>
          <w:sz w:val="20"/>
          <w14:ligatures w14:val="none"/>
        </w:rPr>
        <w:t xml:space="preserve"> detail</w:t>
      </w:r>
      <w:r w:rsidR="0038365E">
        <w:rPr>
          <w:rFonts w:ascii="Verdana" w:eastAsia="Calibri" w:hAnsi="Verdana" w:cs="Times New Roman"/>
          <w:kern w:val="0"/>
          <w:sz w:val="20"/>
          <w14:ligatures w14:val="none"/>
        </w:rPr>
        <w:t>ed water account</w:t>
      </w:r>
      <w:r w:rsidRPr="00264B98">
        <w:rPr>
          <w:rFonts w:ascii="Verdana" w:eastAsia="Calibri" w:hAnsi="Verdana" w:cs="Times New Roman"/>
          <w:kern w:val="0"/>
          <w:sz w:val="20"/>
          <w14:ligatures w14:val="none"/>
        </w:rPr>
        <w:t>s</w:t>
      </w:r>
      <w:r w:rsidR="00176674">
        <w:rPr>
          <w:rFonts w:ascii="Verdana" w:eastAsia="Calibri" w:hAnsi="Verdana" w:cs="Times New Roman"/>
          <w:kern w:val="0"/>
          <w:sz w:val="20"/>
          <w14:ligatures w14:val="none"/>
        </w:rPr>
        <w:t>, including</w:t>
      </w:r>
      <w:r w:rsidRPr="00264B98">
        <w:rPr>
          <w:rFonts w:ascii="Verdana" w:eastAsia="Calibri" w:hAnsi="Verdana" w:cs="Times New Roman"/>
          <w:kern w:val="0"/>
          <w:sz w:val="20"/>
          <w14:ligatures w14:val="none"/>
        </w:rPr>
        <w:t xml:space="preserve"> </w:t>
      </w:r>
      <w:r w:rsidR="00835DE6">
        <w:rPr>
          <w:rFonts w:ascii="Verdana" w:eastAsia="Calibri" w:hAnsi="Verdana" w:cs="Times New Roman"/>
          <w:kern w:val="0"/>
          <w:sz w:val="20"/>
          <w14:ligatures w14:val="none"/>
        </w:rPr>
        <w:t xml:space="preserve">both </w:t>
      </w:r>
      <w:proofErr w:type="gramStart"/>
      <w:r w:rsidRPr="00264B98">
        <w:rPr>
          <w:rFonts w:ascii="Verdana" w:eastAsia="Calibri" w:hAnsi="Verdana" w:cs="Times New Roman"/>
          <w:kern w:val="0"/>
          <w:sz w:val="20"/>
          <w14:ligatures w14:val="none"/>
        </w:rPr>
        <w:t>water</w:t>
      </w:r>
      <w:proofErr w:type="gramEnd"/>
      <w:r w:rsidRPr="00264B98">
        <w:rPr>
          <w:rFonts w:ascii="Verdana" w:eastAsia="Calibri" w:hAnsi="Verdana" w:cs="Times New Roman"/>
          <w:kern w:val="0"/>
          <w:sz w:val="20"/>
          <w14:ligatures w14:val="none"/>
        </w:rPr>
        <w:t xml:space="preserve"> taken and managed during the water accounting year, </w:t>
      </w:r>
      <w:r w:rsidR="00835DE6">
        <w:rPr>
          <w:rFonts w:ascii="Verdana" w:eastAsia="Calibri" w:hAnsi="Verdana" w:cs="Times New Roman"/>
          <w:kern w:val="0"/>
          <w:sz w:val="20"/>
          <w14:ligatures w14:val="none"/>
        </w:rPr>
        <w:t>and</w:t>
      </w:r>
      <w:r w:rsidR="00605659">
        <w:rPr>
          <w:rFonts w:ascii="Verdana" w:eastAsia="Calibri" w:hAnsi="Verdana" w:cs="Times New Roman"/>
          <w:kern w:val="0"/>
          <w:sz w:val="20"/>
          <w14:ligatures w14:val="none"/>
        </w:rPr>
        <w:t xml:space="preserve"> with</w:t>
      </w:r>
      <w:r w:rsidR="00605659" w:rsidRPr="00264B98">
        <w:rPr>
          <w:rFonts w:ascii="Verdana" w:eastAsia="Calibri" w:hAnsi="Verdana" w:cs="Times New Roman"/>
          <w:kern w:val="0"/>
          <w:sz w:val="20"/>
          <w14:ligatures w14:val="none"/>
        </w:rPr>
        <w:t xml:space="preserve"> </w:t>
      </w:r>
      <w:r w:rsidRPr="00264B98">
        <w:rPr>
          <w:rFonts w:ascii="Verdana" w:eastAsia="Calibri" w:hAnsi="Verdana" w:cs="Times New Roman"/>
          <w:kern w:val="0"/>
          <w:sz w:val="20"/>
          <w14:ligatures w14:val="none"/>
        </w:rPr>
        <w:t>Basin States assessment of compliance and actions to achieve compliance with SDLs.</w:t>
      </w:r>
    </w:p>
    <w:p w14:paraId="6D0CF0C4" w14:textId="0267482B" w:rsidR="00C63011" w:rsidRPr="003F21D5" w:rsidRDefault="00C63011" w:rsidP="00C63011">
      <w:pPr>
        <w:pStyle w:val="ListParagraph"/>
        <w:numPr>
          <w:ilvl w:val="0"/>
          <w:numId w:val="47"/>
        </w:numPr>
        <w:spacing w:after="120" w:line="240" w:lineRule="auto"/>
        <w:ind w:left="425" w:hanging="357"/>
        <w:contextualSpacing w:val="0"/>
        <w:rPr>
          <w:rFonts w:ascii="Verdana" w:eastAsia="Calibri" w:hAnsi="Verdana" w:cs="Times New Roman"/>
          <w:kern w:val="0"/>
          <w:sz w:val="20"/>
          <w:szCs w:val="20"/>
          <w14:ligatures w14:val="none"/>
        </w:rPr>
      </w:pPr>
      <w:r w:rsidRPr="00264B98">
        <w:rPr>
          <w:rFonts w:ascii="Verdana" w:eastAsia="Calibri" w:hAnsi="Verdana" w:cs="Times New Roman"/>
          <w:kern w:val="0"/>
          <w:sz w:val="20"/>
          <w14:ligatures w14:val="none"/>
        </w:rPr>
        <w:t xml:space="preserve">Registers of Take as prepared by the </w:t>
      </w:r>
      <w:r>
        <w:rPr>
          <w:rFonts w:ascii="Verdana" w:eastAsia="Calibri" w:hAnsi="Verdana" w:cs="Times New Roman"/>
          <w:kern w:val="0"/>
          <w:sz w:val="20"/>
          <w14:ligatures w14:val="none"/>
        </w:rPr>
        <w:t>Authority, which includes SDL resource units managed under an accredited water resource plan</w:t>
      </w:r>
      <w:r w:rsidRPr="00264B98">
        <w:rPr>
          <w:rFonts w:ascii="Verdana" w:eastAsia="Calibri" w:hAnsi="Verdana" w:cs="Times New Roman"/>
          <w:kern w:val="0"/>
          <w:sz w:val="20"/>
          <w14:ligatures w14:val="none"/>
        </w:rPr>
        <w:t xml:space="preserve">. </w:t>
      </w:r>
    </w:p>
    <w:p w14:paraId="247D91F4" w14:textId="4B87D4C0" w:rsidR="00C63011" w:rsidRPr="00264B98" w:rsidRDefault="00C63011" w:rsidP="00C63011">
      <w:pPr>
        <w:pStyle w:val="ListParagraph"/>
        <w:numPr>
          <w:ilvl w:val="0"/>
          <w:numId w:val="47"/>
        </w:numPr>
        <w:spacing w:after="120" w:line="240" w:lineRule="auto"/>
        <w:ind w:left="425" w:hanging="357"/>
        <w:contextualSpacing w:val="0"/>
        <w:rPr>
          <w:rFonts w:ascii="Verdana" w:eastAsia="Calibri" w:hAnsi="Verdana" w:cs="Times New Roman"/>
          <w:kern w:val="0"/>
          <w:sz w:val="20"/>
          <w14:ligatures w14:val="none"/>
        </w:rPr>
      </w:pPr>
      <w:r w:rsidRPr="00264B98">
        <w:rPr>
          <w:rFonts w:ascii="Verdana" w:eastAsia="Calibri" w:hAnsi="Verdana" w:cs="Times New Roman"/>
          <w:kern w:val="0"/>
          <w:sz w:val="20"/>
          <w14:ligatures w14:val="none"/>
        </w:rPr>
        <w:t>Prior years SDL compliance assessment information</w:t>
      </w:r>
      <w:r w:rsidR="00CC13B5">
        <w:rPr>
          <w:rFonts w:ascii="Verdana" w:eastAsia="Calibri" w:hAnsi="Verdana" w:cs="Times New Roman"/>
          <w:kern w:val="0"/>
          <w:sz w:val="20"/>
          <w14:ligatures w14:val="none"/>
        </w:rPr>
        <w:t>.</w:t>
      </w:r>
      <w:r>
        <w:rPr>
          <w:rStyle w:val="FootnoteReference"/>
          <w:rFonts w:ascii="Verdana" w:eastAsia="Calibri" w:hAnsi="Verdana" w:cs="Times New Roman"/>
          <w:kern w:val="0"/>
          <w:sz w:val="20"/>
          <w14:ligatures w14:val="none"/>
        </w:rPr>
        <w:footnoteReference w:id="5"/>
      </w:r>
    </w:p>
    <w:p w14:paraId="00551623" w14:textId="77777777" w:rsidR="00C63011" w:rsidRDefault="00C63011" w:rsidP="00C63011">
      <w:pPr>
        <w:pStyle w:val="ListParagraph"/>
        <w:numPr>
          <w:ilvl w:val="0"/>
          <w:numId w:val="47"/>
        </w:numPr>
        <w:spacing w:after="120" w:line="240" w:lineRule="auto"/>
        <w:ind w:left="425" w:hanging="357"/>
        <w:contextualSpacing w:val="0"/>
        <w:rPr>
          <w:rFonts w:ascii="Verdana" w:eastAsia="Calibri" w:hAnsi="Verdana" w:cs="Times New Roman"/>
          <w:kern w:val="0"/>
          <w:sz w:val="20"/>
          <w14:ligatures w14:val="none"/>
        </w:rPr>
      </w:pPr>
      <w:r w:rsidRPr="00264B98">
        <w:rPr>
          <w:rFonts w:ascii="Verdana" w:eastAsia="Calibri" w:hAnsi="Verdana" w:cs="Times New Roman"/>
          <w:kern w:val="0"/>
          <w:sz w:val="20"/>
          <w14:ligatures w14:val="none"/>
        </w:rPr>
        <w:t>Other information provided to the Inspector-General, or gained publicly, for the purposes of undertaking a compliance assessment.</w:t>
      </w:r>
    </w:p>
    <w:p w14:paraId="7F55E55C" w14:textId="48EF73EE" w:rsidR="00B610D9" w:rsidRPr="00264B98" w:rsidRDefault="00B610D9" w:rsidP="00C63011">
      <w:pPr>
        <w:pStyle w:val="ListParagraph"/>
        <w:numPr>
          <w:ilvl w:val="0"/>
          <w:numId w:val="47"/>
        </w:numPr>
        <w:spacing w:after="120" w:line="240" w:lineRule="auto"/>
        <w:ind w:left="425" w:hanging="357"/>
        <w:contextualSpacing w:val="0"/>
        <w:rPr>
          <w:rFonts w:ascii="Verdana" w:eastAsia="Calibri" w:hAnsi="Verdana" w:cs="Times New Roman"/>
          <w:kern w:val="0"/>
          <w:sz w:val="20"/>
          <w14:ligatures w14:val="none"/>
        </w:rPr>
      </w:pPr>
      <w:r>
        <w:rPr>
          <w:rFonts w:ascii="Verdana" w:eastAsia="Calibri" w:hAnsi="Verdana" w:cs="Times New Roman"/>
          <w:kern w:val="0"/>
          <w:sz w:val="20"/>
          <w14:ligatures w14:val="none"/>
        </w:rPr>
        <w:t xml:space="preserve">Bilateral </w:t>
      </w:r>
      <w:r w:rsidR="005C6568">
        <w:rPr>
          <w:rFonts w:ascii="Verdana" w:eastAsia="Calibri" w:hAnsi="Verdana" w:cs="Times New Roman"/>
          <w:kern w:val="0"/>
          <w:sz w:val="20"/>
          <w14:ligatures w14:val="none"/>
        </w:rPr>
        <w:t>discussions and</w:t>
      </w:r>
      <w:r w:rsidR="00B149D1">
        <w:rPr>
          <w:rFonts w:ascii="Verdana" w:eastAsia="Calibri" w:hAnsi="Verdana" w:cs="Times New Roman"/>
          <w:kern w:val="0"/>
          <w:sz w:val="20"/>
          <w14:ligatures w14:val="none"/>
        </w:rPr>
        <w:t xml:space="preserve"> additional</w:t>
      </w:r>
      <w:r w:rsidR="005C6568">
        <w:rPr>
          <w:rFonts w:ascii="Verdana" w:eastAsia="Calibri" w:hAnsi="Verdana" w:cs="Times New Roman"/>
          <w:kern w:val="0"/>
          <w:sz w:val="20"/>
          <w14:ligatures w14:val="none"/>
        </w:rPr>
        <w:t xml:space="preserve"> information provided by the Basin States.</w:t>
      </w:r>
    </w:p>
    <w:p w14:paraId="5B3EDDAF" w14:textId="35875FF8" w:rsidR="00C63011" w:rsidRDefault="00C63011" w:rsidP="00036804">
      <w:pPr>
        <w:spacing w:before="240"/>
      </w:pPr>
      <w:r>
        <w:t xml:space="preserve">The </w:t>
      </w:r>
      <w:r w:rsidRPr="00380F3D">
        <w:t xml:space="preserve">Registers of Take </w:t>
      </w:r>
      <w:r>
        <w:t xml:space="preserve">report was </w:t>
      </w:r>
      <w:r w:rsidRPr="00380F3D">
        <w:t xml:space="preserve">provided by the </w:t>
      </w:r>
      <w:r>
        <w:t>Authority</w:t>
      </w:r>
      <w:r w:rsidRPr="00380F3D">
        <w:t xml:space="preserve"> to the Inspector-General</w:t>
      </w:r>
      <w:r w:rsidR="004138B1" w:rsidRPr="004138B1">
        <w:t xml:space="preserve"> </w:t>
      </w:r>
      <w:r w:rsidR="004138B1" w:rsidRPr="00380F3D">
        <w:t xml:space="preserve">on </w:t>
      </w:r>
      <w:r w:rsidR="00C54FFB">
        <w:t>5</w:t>
      </w:r>
      <w:r w:rsidR="004138B1" w:rsidRPr="00380F3D">
        <w:t xml:space="preserve"> </w:t>
      </w:r>
      <w:r w:rsidR="004138B1">
        <w:t>April 2024</w:t>
      </w:r>
      <w:r>
        <w:t>.</w:t>
      </w:r>
    </w:p>
    <w:p w14:paraId="15CB596C" w14:textId="4904AE07" w:rsidR="00C63011" w:rsidRDefault="00C63011" w:rsidP="00C63011">
      <w:r w:rsidRPr="7B02F4E0">
        <w:t xml:space="preserve">The </w:t>
      </w:r>
      <w:r>
        <w:t xml:space="preserve">Registers of Take report </w:t>
      </w:r>
      <w:r w:rsidR="002A74AC">
        <w:t xml:space="preserve">collates the </w:t>
      </w:r>
      <w:r w:rsidR="00842AE1">
        <w:t>Section 71 report</w:t>
      </w:r>
      <w:r w:rsidR="00627915">
        <w:t xml:space="preserve">s </w:t>
      </w:r>
      <w:r w:rsidR="002A74AC">
        <w:t>water accounts</w:t>
      </w:r>
      <w:r w:rsidR="00D9132E">
        <w:t xml:space="preserve"> and </w:t>
      </w:r>
      <w:r w:rsidR="00EB7203">
        <w:t>indicates</w:t>
      </w:r>
      <w:r w:rsidR="0077215D">
        <w:t xml:space="preserve"> the</w:t>
      </w:r>
      <w:r w:rsidR="005C06FA">
        <w:t xml:space="preserve"> </w:t>
      </w:r>
      <w:r w:rsidR="00EB7203">
        <w:t>impact</w:t>
      </w:r>
      <w:r w:rsidR="005C06FA">
        <w:t xml:space="preserve"> of</w:t>
      </w:r>
      <w:r w:rsidR="00F77CF8">
        <w:t xml:space="preserve"> the</w:t>
      </w:r>
      <w:r w:rsidR="0077215D">
        <w:t xml:space="preserve"> water taken</w:t>
      </w:r>
      <w:r w:rsidR="00024E8F">
        <w:t xml:space="preserve"> </w:t>
      </w:r>
      <w:r w:rsidR="00AB5F42">
        <w:t>through a</w:t>
      </w:r>
      <w:r w:rsidR="00024E8F">
        <w:t xml:space="preserve"> cumulative balance</w:t>
      </w:r>
      <w:r w:rsidR="009139F9">
        <w:t xml:space="preserve"> (credits or debits)</w:t>
      </w:r>
      <w:r w:rsidR="0024733D">
        <w:t xml:space="preserve"> in relation to the SDL for each SDL resource unit.</w:t>
      </w:r>
      <w:r>
        <w:t xml:space="preserve"> </w:t>
      </w:r>
    </w:p>
    <w:p w14:paraId="353233BD" w14:textId="0677193F" w:rsidR="00C63011" w:rsidRDefault="00917295" w:rsidP="00C63011">
      <w:r>
        <w:t>W</w:t>
      </w:r>
      <w:r w:rsidR="00C63011">
        <w:t xml:space="preserve">here </w:t>
      </w:r>
      <w:r w:rsidR="00001ACF">
        <w:t xml:space="preserve">the amount of </w:t>
      </w:r>
      <w:r w:rsidR="00DD289D">
        <w:t>water take</w:t>
      </w:r>
      <w:r w:rsidR="00001ACF">
        <w:t>n</w:t>
      </w:r>
      <w:r w:rsidR="00DD289D">
        <w:t xml:space="preserve"> leads to an </w:t>
      </w:r>
      <w:r w:rsidR="00C63011">
        <w:t xml:space="preserve">exceedance above the SDL, but </w:t>
      </w:r>
      <w:r w:rsidR="007F4D5B">
        <w:t xml:space="preserve">the cumulative balance remains </w:t>
      </w:r>
      <w:r w:rsidR="00C63011">
        <w:t xml:space="preserve">below the SDL compliance threshold, the Basin State is compliant with the SDL. </w:t>
      </w:r>
    </w:p>
    <w:p w14:paraId="61F7B9A4" w14:textId="423186EB" w:rsidR="00C63011" w:rsidRDefault="00D96AAE" w:rsidP="00C63011">
      <w:pPr>
        <w:spacing w:after="0"/>
      </w:pPr>
      <w:r>
        <w:t>Where the amount of water taken leads to an excess</w:t>
      </w:r>
      <w:r w:rsidR="00C63011">
        <w:t xml:space="preserve"> above the SDL and</w:t>
      </w:r>
      <w:r w:rsidR="002A031A">
        <w:t xml:space="preserve"> the cumulative balance is</w:t>
      </w:r>
      <w:r w:rsidR="00C63011">
        <w:t xml:space="preserve"> equal to or above the SDL compliance threshold, the Basin State is non-compliant unless they </w:t>
      </w:r>
      <w:r w:rsidR="006B48C2">
        <w:t>have</w:t>
      </w:r>
      <w:r w:rsidR="00C63011">
        <w:t xml:space="preserve"> a reasonable excuse.</w:t>
      </w:r>
    </w:p>
    <w:p w14:paraId="7799BC90" w14:textId="54219116" w:rsidR="00C63011" w:rsidRPr="00E46124" w:rsidRDefault="00C63011" w:rsidP="00C63011">
      <w:pPr>
        <w:pStyle w:val="pf0"/>
        <w:rPr>
          <w:rFonts w:ascii="Verdana" w:eastAsia="Calibri" w:hAnsi="Verdana" w:cs="Times New Roman"/>
          <w:sz w:val="20"/>
          <w:lang w:eastAsia="en-US"/>
        </w:rPr>
      </w:pPr>
      <w:r w:rsidRPr="00E46124">
        <w:rPr>
          <w:rFonts w:ascii="Verdana" w:eastAsia="Calibri" w:hAnsi="Verdana" w:cs="Times New Roman"/>
          <w:sz w:val="20"/>
          <w:lang w:eastAsia="en-US"/>
        </w:rPr>
        <w:t xml:space="preserve">The </w:t>
      </w:r>
      <w:r w:rsidR="008C741D">
        <w:rPr>
          <w:rFonts w:ascii="Verdana" w:eastAsia="Calibri" w:hAnsi="Verdana" w:cs="Times New Roman"/>
          <w:sz w:val="20"/>
          <w:lang w:eastAsia="en-US"/>
        </w:rPr>
        <w:t xml:space="preserve">SDL compliance </w:t>
      </w:r>
      <w:r w:rsidRPr="00E46124">
        <w:rPr>
          <w:rFonts w:ascii="Verdana" w:eastAsia="Calibri" w:hAnsi="Verdana" w:cs="Times New Roman"/>
          <w:sz w:val="20"/>
          <w:lang w:eastAsia="en-US"/>
        </w:rPr>
        <w:t xml:space="preserve">assessment recognises that </w:t>
      </w:r>
      <w:r w:rsidR="00B80206">
        <w:rPr>
          <w:rFonts w:ascii="Verdana" w:eastAsia="Calibri" w:hAnsi="Verdana" w:cs="Times New Roman"/>
          <w:sz w:val="20"/>
          <w:lang w:eastAsia="en-US"/>
        </w:rPr>
        <w:t xml:space="preserve">incomplete water recovery </w:t>
      </w:r>
      <w:r>
        <w:rPr>
          <w:rFonts w:ascii="Verdana" w:eastAsia="Calibri" w:hAnsi="Verdana" w:cs="Times New Roman"/>
          <w:sz w:val="20"/>
          <w:lang w:eastAsia="en-US"/>
        </w:rPr>
        <w:t xml:space="preserve">by the </w:t>
      </w:r>
      <w:r w:rsidRPr="00E46124">
        <w:rPr>
          <w:rFonts w:ascii="Verdana" w:eastAsia="Calibri" w:hAnsi="Verdana" w:cs="Times New Roman"/>
          <w:sz w:val="20"/>
          <w:lang w:eastAsia="en-US"/>
        </w:rPr>
        <w:t xml:space="preserve">Commonwealth, </w:t>
      </w:r>
      <w:r>
        <w:rPr>
          <w:rFonts w:ascii="Verdana" w:eastAsia="Calibri" w:hAnsi="Verdana" w:cs="Times New Roman"/>
          <w:sz w:val="20"/>
          <w:lang w:eastAsia="en-US"/>
        </w:rPr>
        <w:t xml:space="preserve">are </w:t>
      </w:r>
      <w:r w:rsidRPr="00E46124">
        <w:rPr>
          <w:rFonts w:ascii="Verdana" w:eastAsia="Calibri" w:hAnsi="Verdana" w:cs="Times New Roman"/>
          <w:sz w:val="20"/>
          <w:lang w:eastAsia="en-US"/>
        </w:rPr>
        <w:t xml:space="preserve">for reasons beyond the Basin State’s control, </w:t>
      </w:r>
      <w:r w:rsidR="00432DE0">
        <w:rPr>
          <w:rFonts w:ascii="Verdana" w:eastAsia="Calibri" w:hAnsi="Verdana" w:cs="Times New Roman"/>
          <w:sz w:val="20"/>
          <w:lang w:eastAsia="en-US"/>
        </w:rPr>
        <w:t xml:space="preserve">and </w:t>
      </w:r>
      <w:r w:rsidRPr="00E46124">
        <w:rPr>
          <w:rFonts w:ascii="Verdana" w:eastAsia="Calibri" w:hAnsi="Verdana" w:cs="Times New Roman"/>
          <w:sz w:val="20"/>
          <w:lang w:eastAsia="en-US"/>
        </w:rPr>
        <w:t xml:space="preserve">are adjusted for in the </w:t>
      </w:r>
      <w:r w:rsidR="00F96A43">
        <w:rPr>
          <w:rFonts w:ascii="Verdana" w:eastAsia="Calibri" w:hAnsi="Verdana" w:cs="Times New Roman"/>
          <w:sz w:val="20"/>
          <w:lang w:eastAsia="en-US"/>
        </w:rPr>
        <w:t>R</w:t>
      </w:r>
      <w:r w:rsidRPr="00E46124">
        <w:rPr>
          <w:rFonts w:ascii="Verdana" w:eastAsia="Calibri" w:hAnsi="Verdana" w:cs="Times New Roman"/>
          <w:sz w:val="20"/>
          <w:lang w:eastAsia="en-US"/>
        </w:rPr>
        <w:t xml:space="preserve">egisters of </w:t>
      </w:r>
      <w:r w:rsidR="00F96A43">
        <w:rPr>
          <w:rFonts w:ascii="Verdana" w:eastAsia="Calibri" w:hAnsi="Verdana" w:cs="Times New Roman"/>
          <w:sz w:val="20"/>
          <w:lang w:eastAsia="en-US"/>
        </w:rPr>
        <w:t>T</w:t>
      </w:r>
      <w:r w:rsidRPr="00E46124">
        <w:rPr>
          <w:rFonts w:ascii="Verdana" w:eastAsia="Calibri" w:hAnsi="Verdana" w:cs="Times New Roman"/>
          <w:sz w:val="20"/>
          <w:lang w:eastAsia="en-US"/>
        </w:rPr>
        <w:t>ake.</w:t>
      </w:r>
    </w:p>
    <w:p w14:paraId="59BD31E8" w14:textId="7AE7DB22" w:rsidR="008E0ABC" w:rsidRPr="00446B83" w:rsidRDefault="00B64703" w:rsidP="00C63011">
      <w:pPr>
        <w:pStyle w:val="pf0"/>
        <w:rPr>
          <w:rFonts w:ascii="Verdana" w:hAnsi="Verdana"/>
          <w:sz w:val="20"/>
          <w:szCs w:val="20"/>
        </w:rPr>
      </w:pPr>
      <w:r w:rsidRPr="002D17DD">
        <w:rPr>
          <w:rStyle w:val="normaltextrun"/>
          <w:rFonts w:ascii="Verdana" w:hAnsi="Verdana" w:cs="Segoe UI"/>
          <w:sz w:val="20"/>
          <w:szCs w:val="20"/>
          <w:shd w:val="clear" w:color="auto" w:fill="FFFFFF"/>
        </w:rPr>
        <w:t>T</w:t>
      </w:r>
      <w:r w:rsidR="008E0ABC" w:rsidRPr="002D17DD">
        <w:rPr>
          <w:rStyle w:val="normaltextrun"/>
          <w:rFonts w:ascii="Verdana" w:hAnsi="Verdana" w:cs="Segoe UI"/>
          <w:sz w:val="20"/>
          <w:szCs w:val="20"/>
          <w:shd w:val="clear" w:color="auto" w:fill="FFFFFF"/>
        </w:rPr>
        <w:t xml:space="preserve">he </w:t>
      </w:r>
      <w:r w:rsidRPr="002D17DD">
        <w:rPr>
          <w:rStyle w:val="normaltextrun"/>
          <w:rFonts w:ascii="Verdana" w:hAnsi="Verdana" w:cs="Segoe UI"/>
          <w:sz w:val="20"/>
          <w:szCs w:val="20"/>
          <w:shd w:val="clear" w:color="auto" w:fill="FFFFFF"/>
        </w:rPr>
        <w:t>Water Amendment (</w:t>
      </w:r>
      <w:r w:rsidR="008E0ABC" w:rsidRPr="002D17DD">
        <w:rPr>
          <w:rStyle w:val="normaltextrun"/>
          <w:rFonts w:ascii="Verdana" w:hAnsi="Verdana" w:cs="Segoe UI"/>
          <w:sz w:val="20"/>
          <w:szCs w:val="20"/>
          <w:shd w:val="clear" w:color="auto" w:fill="FFFFFF"/>
        </w:rPr>
        <w:t>Restoring our Rivers</w:t>
      </w:r>
      <w:r w:rsidRPr="002D17DD">
        <w:rPr>
          <w:rStyle w:val="normaltextrun"/>
          <w:rFonts w:ascii="Verdana" w:hAnsi="Verdana" w:cs="Segoe UI"/>
          <w:sz w:val="20"/>
          <w:szCs w:val="20"/>
          <w:shd w:val="clear" w:color="auto" w:fill="FFFFFF"/>
        </w:rPr>
        <w:t>) Act 2023</w:t>
      </w:r>
      <w:r w:rsidR="008E0ABC" w:rsidRPr="002D17DD">
        <w:rPr>
          <w:rStyle w:val="normaltextrun"/>
          <w:rFonts w:ascii="Verdana" w:hAnsi="Verdana" w:cs="Segoe UI"/>
          <w:sz w:val="20"/>
          <w:szCs w:val="20"/>
          <w:shd w:val="clear" w:color="auto" w:fill="FFFFFF"/>
        </w:rPr>
        <w:t xml:space="preserve"> clarifie</w:t>
      </w:r>
      <w:r w:rsidRPr="002D17DD">
        <w:rPr>
          <w:rStyle w:val="normaltextrun"/>
          <w:rFonts w:ascii="Verdana" w:hAnsi="Verdana" w:cs="Segoe UI"/>
          <w:sz w:val="20"/>
          <w:szCs w:val="20"/>
          <w:shd w:val="clear" w:color="auto" w:fill="FFFFFF"/>
        </w:rPr>
        <w:t>s</w:t>
      </w:r>
      <w:r w:rsidR="008E0ABC" w:rsidRPr="002D17DD">
        <w:rPr>
          <w:rStyle w:val="normaltextrun"/>
          <w:rFonts w:ascii="Verdana" w:hAnsi="Verdana" w:cs="Segoe UI"/>
          <w:sz w:val="20"/>
          <w:szCs w:val="20"/>
          <w:shd w:val="clear" w:color="auto" w:fill="FFFFFF"/>
        </w:rPr>
        <w:t xml:space="preserve"> the role of the Inspector-General in relation to SDL compliance. The Inspector-General must be satisfied of a Basin State’s claim of reasonable excuse, otherwise the Basin State will be non-compliant. Additionally, accountability for where there is non-compliance or compliance with a reasonable excuse has been strengthened through the requirement of the </w:t>
      </w:r>
      <w:r w:rsidR="00601801" w:rsidRPr="002D17DD">
        <w:rPr>
          <w:rStyle w:val="normaltextrun"/>
          <w:rFonts w:ascii="Verdana" w:hAnsi="Verdana" w:cs="Segoe UI"/>
          <w:sz w:val="20"/>
          <w:szCs w:val="20"/>
          <w:shd w:val="clear" w:color="auto" w:fill="FFFFFF"/>
        </w:rPr>
        <w:t xml:space="preserve">Basin </w:t>
      </w:r>
      <w:r w:rsidR="008E0ABC" w:rsidRPr="002D17DD">
        <w:rPr>
          <w:rStyle w:val="normaltextrun"/>
          <w:rFonts w:ascii="Verdana" w:hAnsi="Verdana" w:cs="Segoe UI"/>
          <w:sz w:val="20"/>
          <w:szCs w:val="20"/>
          <w:shd w:val="clear" w:color="auto" w:fill="FFFFFF"/>
        </w:rPr>
        <w:t xml:space="preserve">States to provide action plans on how they will reduce water take to be compliant. The </w:t>
      </w:r>
      <w:r w:rsidR="00601801" w:rsidRPr="002D17DD">
        <w:rPr>
          <w:rStyle w:val="normaltextrun"/>
          <w:rFonts w:ascii="Verdana" w:hAnsi="Verdana" w:cs="Segoe UI"/>
          <w:sz w:val="20"/>
          <w:szCs w:val="20"/>
          <w:shd w:val="clear" w:color="auto" w:fill="FFFFFF"/>
        </w:rPr>
        <w:t xml:space="preserve">Basin </w:t>
      </w:r>
      <w:r w:rsidR="008E0ABC" w:rsidRPr="002D17DD">
        <w:rPr>
          <w:rStyle w:val="normaltextrun"/>
          <w:rFonts w:ascii="Verdana" w:hAnsi="Verdana" w:cs="Segoe UI"/>
          <w:sz w:val="20"/>
          <w:szCs w:val="20"/>
          <w:shd w:val="clear" w:color="auto" w:fill="FFFFFF"/>
        </w:rPr>
        <w:t>States will also be required to report on progress against those actions in their annual reports. The Inspector-General also has new powers to make guidelines to ensure action plans and reporting on progress are fit-for-purpose and delivering intended outcomes. </w:t>
      </w:r>
      <w:r w:rsidR="008E0ABC" w:rsidRPr="00412DBE">
        <w:rPr>
          <w:rStyle w:val="eop"/>
          <w:rFonts w:ascii="Verdana" w:hAnsi="Verdana"/>
          <w:sz w:val="20"/>
          <w:szCs w:val="20"/>
          <w:shd w:val="clear" w:color="auto" w:fill="FFFFFF"/>
        </w:rPr>
        <w:t> </w:t>
      </w:r>
    </w:p>
    <w:p w14:paraId="5F67A27B" w14:textId="77777777" w:rsidR="00C113F9" w:rsidRDefault="00C113F9">
      <w:pPr>
        <w:spacing w:after="0"/>
        <w:rPr>
          <w:b/>
          <w:color w:val="48555E" w:themeColor="text2"/>
          <w:sz w:val="32"/>
          <w:szCs w:val="20"/>
        </w:rPr>
      </w:pPr>
      <w:r>
        <w:rPr>
          <w:b/>
          <w:color w:val="48555E" w:themeColor="text2"/>
          <w:sz w:val="32"/>
          <w:szCs w:val="20"/>
        </w:rPr>
        <w:br w:type="page"/>
      </w:r>
    </w:p>
    <w:p w14:paraId="140CB815" w14:textId="6A29C496" w:rsidR="00C113F9" w:rsidRPr="00EB59A4" w:rsidRDefault="00C113F9" w:rsidP="00EB59A4">
      <w:pPr>
        <w:pStyle w:val="Heading2"/>
      </w:pPr>
      <w:bookmarkStart w:id="15" w:name="_Toc172018838"/>
      <w:r w:rsidRPr="00146B72">
        <w:lastRenderedPageBreak/>
        <w:t>Assessment Findings</w:t>
      </w:r>
      <w:bookmarkEnd w:id="15"/>
    </w:p>
    <w:p w14:paraId="46FEBEBE" w14:textId="77777777" w:rsidR="00C113F9" w:rsidRPr="00146B72" w:rsidRDefault="00C113F9" w:rsidP="00C113F9">
      <w:pPr>
        <w:spacing w:after="0"/>
        <w:rPr>
          <w:b/>
          <w:color w:val="48555E" w:themeColor="text2"/>
          <w:sz w:val="32"/>
          <w:szCs w:val="20"/>
        </w:rPr>
      </w:pPr>
    </w:p>
    <w:p w14:paraId="35E852F2" w14:textId="77777777" w:rsidR="00C113F9" w:rsidRPr="00590AAA" w:rsidRDefault="00C113F9" w:rsidP="00C113F9">
      <w:r w:rsidRPr="00590AAA">
        <w:t>There are 55 SDL resource units (19 surface water and 36 groundwater) on the Registers of Take for the 2022-2023 water accounting year. The 55 SDL resource units are managed through the 13 water resource plans across Queensland, South Australia, Victoria, and the Australian Capital Territory.</w:t>
      </w:r>
    </w:p>
    <w:p w14:paraId="2CC2D22D" w14:textId="77777777" w:rsidR="00C113F9" w:rsidRPr="00590AAA" w:rsidRDefault="00C113F9" w:rsidP="00C113F9">
      <w:r w:rsidRPr="00590AAA">
        <w:t xml:space="preserve">There were no SDL exceedances in 2022-2023 from the 55 SDL resource units. All 55 SDL resource units were found to be compliant. </w:t>
      </w:r>
    </w:p>
    <w:p w14:paraId="4905CE08" w14:textId="4FCA0453" w:rsidR="00C113F9" w:rsidRPr="00590AAA" w:rsidRDefault="00C113F9" w:rsidP="00C113F9">
      <w:r w:rsidRPr="00590AAA">
        <w:t xml:space="preserve">As there were no SDL resource units </w:t>
      </w:r>
      <w:proofErr w:type="gramStart"/>
      <w:r w:rsidRPr="00590AAA">
        <w:t>in excess of</w:t>
      </w:r>
      <w:proofErr w:type="gramEnd"/>
      <w:r w:rsidRPr="00590AAA">
        <w:t xml:space="preserve"> the SDL compliance threshold, there were no </w:t>
      </w:r>
      <w:r w:rsidR="0052264A">
        <w:t>claims</w:t>
      </w:r>
      <w:r w:rsidRPr="00590AAA">
        <w:t xml:space="preserve"> of a reasonable excuse or action plans provided by Basin States</w:t>
      </w:r>
      <w:r w:rsidR="0052264A">
        <w:t xml:space="preserve"> to the Inspector-General</w:t>
      </w:r>
      <w:r w:rsidRPr="00590AAA">
        <w:t>.</w:t>
      </w:r>
    </w:p>
    <w:p w14:paraId="7EBDDFE5" w14:textId="0AF9802E" w:rsidR="00C113F9" w:rsidRPr="00590AAA" w:rsidRDefault="00C113F9" w:rsidP="00C113F9">
      <w:r w:rsidRPr="00590AAA">
        <w:t xml:space="preserve">The </w:t>
      </w:r>
      <w:r w:rsidR="00445F9E">
        <w:t xml:space="preserve">2022-2023 </w:t>
      </w:r>
      <w:r w:rsidRPr="00590AAA">
        <w:t xml:space="preserve">assessment was based on the information in the Registers of Take, as prepared by the Authority for surface water SDL resource units and for groundwater SDL resource units, at the time of the assessment. </w:t>
      </w:r>
    </w:p>
    <w:p w14:paraId="4114968B" w14:textId="455A2DE1" w:rsidR="00590AAA" w:rsidRDefault="00BA2F67" w:rsidP="00590AAA">
      <w:r>
        <w:t>D</w:t>
      </w:r>
      <w:r w:rsidR="00C113F9" w:rsidRPr="00590AAA">
        <w:t xml:space="preserve">ata from the Registers of Take is represented in </w:t>
      </w:r>
      <w:r w:rsidR="002746B0">
        <w:fldChar w:fldCharType="begin"/>
      </w:r>
      <w:r w:rsidR="002746B0">
        <w:instrText xml:space="preserve"> REF _Ref170207631 \h </w:instrText>
      </w:r>
      <w:r w:rsidR="002746B0">
        <w:fldChar w:fldCharType="separate"/>
      </w:r>
      <w:r w:rsidR="00346F31">
        <w:t xml:space="preserve">Table </w:t>
      </w:r>
      <w:r w:rsidR="00346F31">
        <w:rPr>
          <w:noProof/>
        </w:rPr>
        <w:t>1</w:t>
      </w:r>
      <w:r w:rsidR="002746B0">
        <w:fldChar w:fldCharType="end"/>
      </w:r>
      <w:r w:rsidR="00953F5D" w:rsidRPr="00953F5D">
        <w:t xml:space="preserve"> (Surface water)</w:t>
      </w:r>
      <w:r w:rsidR="00590AAA" w:rsidRPr="00953F5D">
        <w:t xml:space="preserve"> and </w:t>
      </w:r>
      <w:r w:rsidR="002746B0">
        <w:fldChar w:fldCharType="begin"/>
      </w:r>
      <w:r w:rsidR="002746B0">
        <w:instrText xml:space="preserve"> REF _Ref170207641 \h </w:instrText>
      </w:r>
      <w:r w:rsidR="002746B0">
        <w:fldChar w:fldCharType="separate"/>
      </w:r>
      <w:r w:rsidR="00346F31">
        <w:t xml:space="preserve">Table </w:t>
      </w:r>
      <w:r w:rsidR="00346F31">
        <w:rPr>
          <w:noProof/>
        </w:rPr>
        <w:t>2</w:t>
      </w:r>
      <w:r w:rsidR="002746B0">
        <w:fldChar w:fldCharType="end"/>
      </w:r>
      <w:r w:rsidR="00953F5D" w:rsidRPr="00953F5D">
        <w:t xml:space="preserve"> (Groundwater)</w:t>
      </w:r>
      <w:r w:rsidR="00590AAA" w:rsidRPr="00953F5D">
        <w:t>.</w:t>
      </w:r>
    </w:p>
    <w:p w14:paraId="1C34396F" w14:textId="339FEC0C" w:rsidR="006C1D9A" w:rsidRDefault="006D397B" w:rsidP="00590AAA">
      <w:r>
        <w:t xml:space="preserve">The SDL compliance assessment has </w:t>
      </w:r>
      <w:r w:rsidR="006C1D9A">
        <w:t>observ</w:t>
      </w:r>
      <w:r>
        <w:t>ed</w:t>
      </w:r>
      <w:r w:rsidR="00EC76B1">
        <w:t xml:space="preserve"> a trend of</w:t>
      </w:r>
      <w:r w:rsidR="00CC09AE">
        <w:t xml:space="preserve"> increasing cumulative balance credits</w:t>
      </w:r>
      <w:r w:rsidR="00674861">
        <w:t xml:space="preserve"> across all Basin States</w:t>
      </w:r>
      <w:r w:rsidR="00CC09AE">
        <w:t xml:space="preserve">. This is due to less water </w:t>
      </w:r>
      <w:proofErr w:type="gramStart"/>
      <w:r w:rsidR="007A448C">
        <w:t xml:space="preserve">actually </w:t>
      </w:r>
      <w:r w:rsidR="00CC09AE">
        <w:t>being</w:t>
      </w:r>
      <w:proofErr w:type="gramEnd"/>
      <w:r w:rsidR="00CC09AE">
        <w:t xml:space="preserve"> </w:t>
      </w:r>
      <w:r w:rsidR="006C7AA7">
        <w:t>tak</w:t>
      </w:r>
      <w:r w:rsidR="00CC09AE">
        <w:t>e</w:t>
      </w:r>
      <w:r w:rsidR="007A448C">
        <w:t>n</w:t>
      </w:r>
      <w:r w:rsidR="006C7AA7">
        <w:t xml:space="preserve"> than the SDL methods </w:t>
      </w:r>
      <w:r w:rsidR="007A448C">
        <w:t xml:space="preserve">calculated </w:t>
      </w:r>
      <w:r w:rsidR="006C7AA7">
        <w:t>permitted</w:t>
      </w:r>
      <w:r w:rsidR="007A448C">
        <w:t xml:space="preserve"> take</w:t>
      </w:r>
      <w:r w:rsidR="00587F8E">
        <w:t xml:space="preserve">, </w:t>
      </w:r>
      <w:r w:rsidR="00F97587">
        <w:t xml:space="preserve">on </w:t>
      </w:r>
      <w:r w:rsidR="00587F8E">
        <w:t>average across SDL resource units.</w:t>
      </w:r>
      <w:r w:rsidR="007A2741">
        <w:t xml:space="preserve"> </w:t>
      </w:r>
      <w:r w:rsidR="00B87166">
        <w:t>Many</w:t>
      </w:r>
      <w:r w:rsidR="00001D01">
        <w:t xml:space="preserve"> Basin States have reported above average rainfall </w:t>
      </w:r>
      <w:r w:rsidR="00037577">
        <w:t xml:space="preserve">conditions </w:t>
      </w:r>
      <w:r w:rsidR="00B87166">
        <w:t>in the previous 3 years</w:t>
      </w:r>
      <w:r w:rsidR="004C4E39">
        <w:t xml:space="preserve"> and </w:t>
      </w:r>
      <w:r w:rsidR="000A3A23">
        <w:t>consistent with</w:t>
      </w:r>
      <w:r w:rsidR="004C4E39">
        <w:t xml:space="preserve"> La </w:t>
      </w:r>
      <w:r w:rsidR="004C4E39" w:rsidRPr="0024394F">
        <w:rPr>
          <w:lang w:val="es-ES_tradnl"/>
        </w:rPr>
        <w:t>Ni</w:t>
      </w:r>
      <w:r w:rsidR="000534B4">
        <w:rPr>
          <w:lang w:val="es-ES"/>
        </w:rPr>
        <w:t>ñ</w:t>
      </w:r>
      <w:r w:rsidR="004C4E39" w:rsidRPr="0024394F">
        <w:rPr>
          <w:lang w:val="es-ES_tradnl"/>
        </w:rPr>
        <w:t>a</w:t>
      </w:r>
      <w:r w:rsidR="004C4E39">
        <w:t xml:space="preserve"> conditions</w:t>
      </w:r>
      <w:r w:rsidR="000A3A23">
        <w:t xml:space="preserve">. It </w:t>
      </w:r>
      <w:r w:rsidR="00775FA5">
        <w:t xml:space="preserve">is presumed </w:t>
      </w:r>
      <w:r w:rsidR="000A3A23">
        <w:t>the</w:t>
      </w:r>
      <w:r w:rsidR="00FC39D5">
        <w:t xml:space="preserve"> favourable</w:t>
      </w:r>
      <w:r w:rsidR="000A3A23">
        <w:t xml:space="preserve"> condition</w:t>
      </w:r>
      <w:r w:rsidR="00FC39D5">
        <w:t>s</w:t>
      </w:r>
      <w:r w:rsidR="000A3A23">
        <w:t xml:space="preserve"> </w:t>
      </w:r>
      <w:r w:rsidR="00775FA5">
        <w:t>have contributed to</w:t>
      </w:r>
      <w:r w:rsidR="000A3A23">
        <w:t xml:space="preserve"> a</w:t>
      </w:r>
      <w:r w:rsidR="00775FA5">
        <w:t xml:space="preserve"> </w:t>
      </w:r>
      <w:r w:rsidR="00BD37C8">
        <w:t xml:space="preserve">higher permitted take, particularly in the northern </w:t>
      </w:r>
      <w:r w:rsidR="008B5779">
        <w:t>B</w:t>
      </w:r>
      <w:r w:rsidR="00BD37C8">
        <w:t xml:space="preserve">asin, and lower demand </w:t>
      </w:r>
      <w:r w:rsidR="00E502C1">
        <w:t xml:space="preserve">for water use </w:t>
      </w:r>
      <w:r w:rsidR="00BD37C8">
        <w:t>across the Basin.</w:t>
      </w:r>
    </w:p>
    <w:p w14:paraId="113C829D" w14:textId="34A94FEB" w:rsidR="00FA27F0" w:rsidRDefault="00EE68B6" w:rsidP="00590AAA">
      <w:r>
        <w:t>C</w:t>
      </w:r>
      <w:r w:rsidR="00856F68">
        <w:t xml:space="preserve">umulative balance credits </w:t>
      </w:r>
      <w:r w:rsidR="006B22F8">
        <w:t xml:space="preserve">in the current year usually become the opening balance for the </w:t>
      </w:r>
      <w:r w:rsidR="00301B17">
        <w:t>next</w:t>
      </w:r>
      <w:r w:rsidR="006B22F8">
        <w:t xml:space="preserve"> year. </w:t>
      </w:r>
      <w:r w:rsidR="00301B17">
        <w:t xml:space="preserve">The </w:t>
      </w:r>
      <w:r w:rsidR="00301B17" w:rsidRPr="0024394F">
        <w:rPr>
          <w:i/>
          <w:iCs/>
        </w:rPr>
        <w:t>Water Amendment (Restoring our River</w:t>
      </w:r>
      <w:r w:rsidR="001440E3" w:rsidRPr="0024394F">
        <w:rPr>
          <w:i/>
          <w:iCs/>
        </w:rPr>
        <w:t>s</w:t>
      </w:r>
      <w:r w:rsidR="00301B17" w:rsidRPr="0024394F">
        <w:rPr>
          <w:i/>
          <w:iCs/>
        </w:rPr>
        <w:t>) Act 2023</w:t>
      </w:r>
      <w:r w:rsidR="009C7E61">
        <w:t xml:space="preserve"> </w:t>
      </w:r>
      <w:r w:rsidR="00445B92">
        <w:t>introduced</w:t>
      </w:r>
      <w:r w:rsidR="009C7E61">
        <w:t xml:space="preserve"> a “one-off adjustment”</w:t>
      </w:r>
      <w:r w:rsidR="00BC5108">
        <w:t xml:space="preserve"> to cumulative balances for surface water SDL resource units</w:t>
      </w:r>
      <w:r w:rsidR="00DD3ABD">
        <w:t xml:space="preserve">, </w:t>
      </w:r>
      <w:r w:rsidR="00E003CE">
        <w:t>to</w:t>
      </w:r>
      <w:r w:rsidR="00266A2C">
        <w:t xml:space="preserve"> retrospectively </w:t>
      </w:r>
      <w:r w:rsidR="00B66B6F">
        <w:t>apply the</w:t>
      </w:r>
      <w:r w:rsidR="00E003CE">
        <w:t xml:space="preserve"> </w:t>
      </w:r>
      <w:r w:rsidR="000236BF">
        <w:t xml:space="preserve">cumulative balance credits and/or debits </w:t>
      </w:r>
      <w:r w:rsidR="00A23D4D">
        <w:t>from 2019-2020</w:t>
      </w:r>
      <w:r w:rsidR="00445B92">
        <w:t xml:space="preserve"> until the year</w:t>
      </w:r>
      <w:r w:rsidR="00AB2B87">
        <w:t xml:space="preserve"> the </w:t>
      </w:r>
      <w:r w:rsidR="00ED349E">
        <w:t xml:space="preserve">water resource plans </w:t>
      </w:r>
      <w:r w:rsidR="00AB2B87">
        <w:t xml:space="preserve">came into </w:t>
      </w:r>
      <w:r w:rsidR="00704DAD">
        <w:t>operation</w:t>
      </w:r>
      <w:r w:rsidR="0056434F">
        <w:t>.</w:t>
      </w:r>
      <w:r w:rsidR="00B66B6F">
        <w:t xml:space="preserve"> </w:t>
      </w:r>
      <w:r w:rsidR="00843BD0">
        <w:t xml:space="preserve">This means the cumulative balance from 2022-2023 will be adjusted </w:t>
      </w:r>
      <w:r w:rsidR="00D60AE3">
        <w:t xml:space="preserve">for </w:t>
      </w:r>
      <w:r w:rsidR="003A398B">
        <w:t xml:space="preserve">most SDL resource units going forward onto the </w:t>
      </w:r>
      <w:r w:rsidR="00D033B4">
        <w:t xml:space="preserve">2023-2024 </w:t>
      </w:r>
      <w:r w:rsidR="003A398B">
        <w:t>Registers of Take.</w:t>
      </w:r>
      <w:r w:rsidR="00BA7160">
        <w:t xml:space="preserve"> </w:t>
      </w:r>
      <w:r w:rsidR="00D033B4">
        <w:t xml:space="preserve">The SDL Compliance outcomes </w:t>
      </w:r>
      <w:r w:rsidR="00EC46FD">
        <w:t xml:space="preserve">of the “one-off adjustment” </w:t>
      </w:r>
      <w:r w:rsidR="00D033B4">
        <w:t xml:space="preserve">will not be known until the </w:t>
      </w:r>
      <w:r w:rsidR="00EC46FD">
        <w:t>2023-2024 Register</w:t>
      </w:r>
      <w:r w:rsidR="008B5779">
        <w:t>s</w:t>
      </w:r>
      <w:r w:rsidR="00EC46FD">
        <w:t xml:space="preserve"> of Take are prepared</w:t>
      </w:r>
      <w:r w:rsidR="00A81244">
        <w:t xml:space="preserve"> by the </w:t>
      </w:r>
      <w:r w:rsidR="006A7E7E">
        <w:t>Authority</w:t>
      </w:r>
      <w:r w:rsidR="00EC46FD">
        <w:t>.</w:t>
      </w:r>
      <w:r w:rsidR="009121F5">
        <w:t xml:space="preserve"> These changes were supported by the Inspector-General.</w:t>
      </w:r>
    </w:p>
    <w:p w14:paraId="4C60496F" w14:textId="2BA4D006" w:rsidR="00C17B27" w:rsidRPr="00590AAA" w:rsidRDefault="001D0A92" w:rsidP="00590AAA">
      <w:r>
        <w:t xml:space="preserve">A final </w:t>
      </w:r>
      <w:proofErr w:type="gramStart"/>
      <w:r>
        <w:t>observation</w:t>
      </w:r>
      <w:r w:rsidR="002B7809">
        <w:t>;</w:t>
      </w:r>
      <w:proofErr w:type="gramEnd"/>
      <w:r w:rsidR="00FF0221">
        <w:t xml:space="preserve"> </w:t>
      </w:r>
      <w:r w:rsidR="002845C8">
        <w:t>information provided through Section 71 narrative reports</w:t>
      </w:r>
      <w:r w:rsidR="007F75AB">
        <w:t xml:space="preserve"> has been consistent </w:t>
      </w:r>
      <w:r w:rsidR="00AF5B0A">
        <w:t>throughout</w:t>
      </w:r>
      <w:r w:rsidR="007F75AB">
        <w:t xml:space="preserve"> previous years</w:t>
      </w:r>
      <w:r w:rsidR="000A125D">
        <w:t xml:space="preserve"> and </w:t>
      </w:r>
      <w:r w:rsidR="0099715D">
        <w:t xml:space="preserve">is often </w:t>
      </w:r>
      <w:r w:rsidR="00905325">
        <w:t>a</w:t>
      </w:r>
      <w:r w:rsidR="000A125D">
        <w:t xml:space="preserve"> statement of water resource plan arrangements</w:t>
      </w:r>
      <w:r w:rsidR="00FF0221">
        <w:t>,</w:t>
      </w:r>
      <w:r w:rsidR="000A125D">
        <w:t xml:space="preserve"> where they exist. </w:t>
      </w:r>
      <w:r>
        <w:t xml:space="preserve">Basin </w:t>
      </w:r>
      <w:r w:rsidR="0001182B">
        <w:t xml:space="preserve">States </w:t>
      </w:r>
      <w:r>
        <w:t xml:space="preserve">are encouraged to </w:t>
      </w:r>
      <w:r w:rsidR="0099715D">
        <w:t>use</w:t>
      </w:r>
      <w:r w:rsidR="00D735AB">
        <w:t xml:space="preserve"> the narrative reports</w:t>
      </w:r>
      <w:r w:rsidR="00B00E27">
        <w:t xml:space="preserve"> to </w:t>
      </w:r>
      <w:r w:rsidR="00E52760">
        <w:t>offer</w:t>
      </w:r>
      <w:r w:rsidR="0082173C">
        <w:t xml:space="preserve"> further</w:t>
      </w:r>
      <w:r w:rsidR="009B22DE">
        <w:t xml:space="preserve"> relevant </w:t>
      </w:r>
      <w:r w:rsidR="00B00E27">
        <w:t>details</w:t>
      </w:r>
      <w:r w:rsidR="0099715D">
        <w:t>, where possible,</w:t>
      </w:r>
      <w:r w:rsidR="00B00E27">
        <w:t xml:space="preserve"> </w:t>
      </w:r>
      <w:r w:rsidR="009B22DE">
        <w:t xml:space="preserve">that </w:t>
      </w:r>
      <w:r w:rsidR="00943444">
        <w:t xml:space="preserve">provide clarity and disclosure to </w:t>
      </w:r>
      <w:r w:rsidR="009B22DE">
        <w:t xml:space="preserve">the Inspector-General and the </w:t>
      </w:r>
      <w:proofErr w:type="gramStart"/>
      <w:r w:rsidR="009B22DE">
        <w:t>general public</w:t>
      </w:r>
      <w:proofErr w:type="gramEnd"/>
      <w:r w:rsidR="009B22DE">
        <w:t xml:space="preserve"> </w:t>
      </w:r>
      <w:r w:rsidR="00CB04E0">
        <w:t>o</w:t>
      </w:r>
      <w:r w:rsidR="000A62B6">
        <w:t>n annual</w:t>
      </w:r>
      <w:r w:rsidR="00CB04E0">
        <w:t xml:space="preserve"> </w:t>
      </w:r>
      <w:r w:rsidR="00B0516F">
        <w:t>decision</w:t>
      </w:r>
      <w:r w:rsidR="00E27FF2">
        <w:t xml:space="preserve">-making </w:t>
      </w:r>
      <w:r w:rsidR="00CB04E0">
        <w:t>t</w:t>
      </w:r>
      <w:r w:rsidR="008C366B">
        <w:t>hat</w:t>
      </w:r>
      <w:r w:rsidR="00E27FF2">
        <w:t xml:space="preserve"> contributes t</w:t>
      </w:r>
      <w:r w:rsidR="007B3677">
        <w:t>o</w:t>
      </w:r>
      <w:r w:rsidR="00CB04E0">
        <w:t xml:space="preserve"> </w:t>
      </w:r>
      <w:r w:rsidR="0085213A">
        <w:t>enabl</w:t>
      </w:r>
      <w:r w:rsidR="007B3677">
        <w:t>ing</w:t>
      </w:r>
      <w:r w:rsidR="0085213A">
        <w:t xml:space="preserve"> trade, manag</w:t>
      </w:r>
      <w:r w:rsidR="0082173C">
        <w:t>ing</w:t>
      </w:r>
      <w:r w:rsidR="0085213A">
        <w:t xml:space="preserve"> allocations, water take limits and </w:t>
      </w:r>
      <w:r w:rsidR="00CB04E0">
        <w:t>SDLs</w:t>
      </w:r>
      <w:r w:rsidR="0085213A">
        <w:t xml:space="preserve"> in general</w:t>
      </w:r>
      <w:r w:rsidR="00CB31E8">
        <w:t xml:space="preserve">. </w:t>
      </w:r>
      <w:r w:rsidR="008C366B">
        <w:t>This</w:t>
      </w:r>
      <w:r w:rsidR="00F26F46">
        <w:t xml:space="preserve"> </w:t>
      </w:r>
      <w:r w:rsidR="00AC28C8">
        <w:t xml:space="preserve">would </w:t>
      </w:r>
      <w:r w:rsidR="00B22DD4">
        <w:t xml:space="preserve">help to explain outcomes and </w:t>
      </w:r>
      <w:r w:rsidR="00DA4D04">
        <w:t xml:space="preserve">trends </w:t>
      </w:r>
      <w:r w:rsidR="00B22DD4">
        <w:t>of</w:t>
      </w:r>
      <w:r w:rsidR="00DA4D04">
        <w:t xml:space="preserve"> the R</w:t>
      </w:r>
      <w:r w:rsidR="000B39BC">
        <w:t xml:space="preserve">egisters of </w:t>
      </w:r>
      <w:r w:rsidR="00734D57">
        <w:t>T</w:t>
      </w:r>
      <w:r w:rsidR="000B39BC">
        <w:t>ake</w:t>
      </w:r>
      <w:r w:rsidR="00DA4D04">
        <w:t xml:space="preserve">, </w:t>
      </w:r>
      <w:r w:rsidR="00AC28C8">
        <w:t>and</w:t>
      </w:r>
      <w:r w:rsidR="00231217">
        <w:t xml:space="preserve"> </w:t>
      </w:r>
      <w:r w:rsidR="00726424">
        <w:t xml:space="preserve">in turn </w:t>
      </w:r>
      <w:r w:rsidR="008E563D">
        <w:t>build trust and confidence</w:t>
      </w:r>
      <w:r>
        <w:t xml:space="preserve"> in compliance with the SDLs.</w:t>
      </w:r>
    </w:p>
    <w:p w14:paraId="06D6765D" w14:textId="6C877B30" w:rsidR="00590AAA" w:rsidRDefault="00590AAA">
      <w:pPr>
        <w:spacing w:after="0"/>
        <w:rPr>
          <w:highlight w:val="yellow"/>
        </w:rPr>
      </w:pPr>
      <w:r>
        <w:rPr>
          <w:highlight w:val="yellow"/>
        </w:rPr>
        <w:br w:type="page"/>
      </w:r>
    </w:p>
    <w:p w14:paraId="70591F0C" w14:textId="77777777" w:rsidR="00DD3EE2" w:rsidRDefault="00D33752" w:rsidP="00DD3EE2">
      <w:pPr>
        <w:pStyle w:val="Caption"/>
        <w:keepNext/>
      </w:pPr>
      <w:r>
        <w:rPr>
          <w:noProof/>
        </w:rPr>
        <w:lastRenderedPageBreak/>
        <w:drawing>
          <wp:inline distT="0" distB="0" distL="0" distR="0" wp14:anchorId="419FA426" wp14:editId="09886299">
            <wp:extent cx="6108700" cy="8638886"/>
            <wp:effectExtent l="0" t="0" r="6350" b="0"/>
            <wp:docPr id="490269425" name="Picture 490269425" descr="Map showing surface water SDL compliance in the Murray-Darling Basin. A green highlighted area shows compliant assessed areas in QLD, ACT, VIC and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69425" name="Picture 490269425" descr="Map showing surface water SDL compliance in the Murray-Darling Basin. A green highlighted area shows compliant assessed areas in QLD, ACT, VIC and S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619" cy="8654328"/>
                    </a:xfrm>
                    <a:prstGeom prst="rect">
                      <a:avLst/>
                    </a:prstGeom>
                  </pic:spPr>
                </pic:pic>
              </a:graphicData>
            </a:graphic>
          </wp:inline>
        </w:drawing>
      </w:r>
    </w:p>
    <w:p w14:paraId="0559BB31" w14:textId="2836D78E" w:rsidR="00DA28D1" w:rsidRPr="00A535D4" w:rsidRDefault="00DD3EE2" w:rsidP="00A535D4">
      <w:pPr>
        <w:pStyle w:val="Caption"/>
        <w:rPr>
          <w:i w:val="0"/>
          <w:iCs w:val="0"/>
          <w:color w:val="4C6968" w:themeColor="text1"/>
          <w:sz w:val="20"/>
          <w:szCs w:val="22"/>
        </w:rPr>
      </w:pPr>
      <w:r>
        <w:t xml:space="preserve">Figure </w:t>
      </w:r>
      <w:r w:rsidR="00F70ECB">
        <w:fldChar w:fldCharType="begin"/>
      </w:r>
      <w:r w:rsidR="00F70ECB">
        <w:instrText xml:space="preserve"> SEQ Figure \* ARABIC </w:instrText>
      </w:r>
      <w:r w:rsidR="00F70ECB">
        <w:fldChar w:fldCharType="separate"/>
      </w:r>
      <w:r w:rsidR="00346F31">
        <w:rPr>
          <w:noProof/>
        </w:rPr>
        <w:t>1</w:t>
      </w:r>
      <w:r w:rsidR="00F70ECB">
        <w:fldChar w:fldCharType="end"/>
      </w:r>
      <w:r>
        <w:t xml:space="preserve">: </w:t>
      </w:r>
      <w:r w:rsidRPr="009845B1">
        <w:t xml:space="preserve">Map of </w:t>
      </w:r>
      <w:r w:rsidR="00785B45">
        <w:t>s</w:t>
      </w:r>
      <w:r w:rsidRPr="009845B1">
        <w:t>urface water SDL compliance</w:t>
      </w:r>
    </w:p>
    <w:p w14:paraId="2EBDBA82" w14:textId="77777777" w:rsidR="00DD3EE2" w:rsidRDefault="00D33752" w:rsidP="00DD3EE2">
      <w:pPr>
        <w:pStyle w:val="Caption"/>
        <w:keepNext/>
      </w:pPr>
      <w:bookmarkStart w:id="16" w:name="_Ref142050920"/>
      <w:r>
        <w:rPr>
          <w:noProof/>
        </w:rPr>
        <w:lastRenderedPageBreak/>
        <w:drawing>
          <wp:inline distT="0" distB="0" distL="0" distR="0" wp14:anchorId="2081867D" wp14:editId="507262E7">
            <wp:extent cx="6120130" cy="8654476"/>
            <wp:effectExtent l="0" t="0" r="0" b="0"/>
            <wp:docPr id="156493949" name="Picture 156493949" descr="Map showing Groundwater SDL compliance in the Murray-Darling Basin. A green highlighted area shows compliant assessed areas in QLD, ACT, VIC and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949" name="Picture 156493949" descr="Map showing Groundwater SDL compliance in the Murray-Darling Basin. A green highlighted area shows compliant assessed areas in QLD, ACT, VIC and S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8654476"/>
                    </a:xfrm>
                    <a:prstGeom prst="rect">
                      <a:avLst/>
                    </a:prstGeom>
                  </pic:spPr>
                </pic:pic>
              </a:graphicData>
            </a:graphic>
          </wp:inline>
        </w:drawing>
      </w:r>
      <w:bookmarkEnd w:id="16"/>
    </w:p>
    <w:p w14:paraId="7BA33534" w14:textId="798A1A98" w:rsidR="00A70023" w:rsidRDefault="00DD3EE2" w:rsidP="00A70023">
      <w:pPr>
        <w:pStyle w:val="Caption"/>
        <w:sectPr w:rsidR="00A70023" w:rsidSect="00674D70">
          <w:headerReference w:type="even" r:id="rId29"/>
          <w:headerReference w:type="default" r:id="rId30"/>
          <w:footerReference w:type="even" r:id="rId31"/>
          <w:footerReference w:type="default" r:id="rId32"/>
          <w:headerReference w:type="first" r:id="rId33"/>
          <w:footerReference w:type="first" r:id="rId34"/>
          <w:pgSz w:w="11906" w:h="16838"/>
          <w:pgMar w:top="709" w:right="1134" w:bottom="816" w:left="1134" w:header="425" w:footer="999" w:gutter="0"/>
          <w:cols w:space="708"/>
          <w:titlePg/>
          <w:docGrid w:linePitch="360"/>
        </w:sectPr>
      </w:pPr>
      <w:r>
        <w:t xml:space="preserve">Figure </w:t>
      </w:r>
      <w:r w:rsidR="00F70ECB">
        <w:fldChar w:fldCharType="begin"/>
      </w:r>
      <w:r w:rsidR="00F70ECB">
        <w:instrText xml:space="preserve"> SEQ Figure \* ARABIC </w:instrText>
      </w:r>
      <w:r w:rsidR="00F70ECB">
        <w:fldChar w:fldCharType="separate"/>
      </w:r>
      <w:r w:rsidR="00346F31">
        <w:rPr>
          <w:noProof/>
        </w:rPr>
        <w:t>2</w:t>
      </w:r>
      <w:r w:rsidR="00F70ECB">
        <w:fldChar w:fldCharType="end"/>
      </w:r>
      <w:r>
        <w:t xml:space="preserve">: </w:t>
      </w:r>
      <w:r w:rsidRPr="006D6B93">
        <w:t xml:space="preserve">Map of </w:t>
      </w:r>
      <w:r w:rsidR="00785B45">
        <w:t>g</w:t>
      </w:r>
      <w:r w:rsidRPr="006D6B93">
        <w:t>roundwater SDL compliance</w:t>
      </w:r>
    </w:p>
    <w:p w14:paraId="7166D393" w14:textId="140E1348" w:rsidR="00DD3EE2" w:rsidRDefault="00DD3EE2" w:rsidP="00DD3EE2">
      <w:pPr>
        <w:pStyle w:val="Caption"/>
        <w:keepNext/>
      </w:pPr>
      <w:bookmarkStart w:id="17" w:name="_Ref170207631"/>
      <w:r>
        <w:lastRenderedPageBreak/>
        <w:t xml:space="preserve">Table </w:t>
      </w:r>
      <w:r>
        <w:fldChar w:fldCharType="begin"/>
      </w:r>
      <w:r>
        <w:instrText xml:space="preserve"> SEQ Table \* ARABIC </w:instrText>
      </w:r>
      <w:r>
        <w:fldChar w:fldCharType="separate"/>
      </w:r>
      <w:r w:rsidR="00346F31">
        <w:rPr>
          <w:noProof/>
        </w:rPr>
        <w:t>1</w:t>
      </w:r>
      <w:r>
        <w:fldChar w:fldCharType="end"/>
      </w:r>
      <w:bookmarkEnd w:id="17"/>
      <w:r>
        <w:t xml:space="preserve">: </w:t>
      </w:r>
      <w:r w:rsidRPr="00C353BE">
        <w:t>2022-2023 Surface water accounts from Registers of Take</w:t>
      </w:r>
      <w:r w:rsidR="001351F1">
        <w:t xml:space="preserve"> (Gigalitres per year)</w:t>
      </w:r>
    </w:p>
    <w:tbl>
      <w:tblPr>
        <w:tblStyle w:val="GridTable4"/>
        <w:tblW w:w="5099" w:type="pct"/>
        <w:tblLayout w:type="fixed"/>
        <w:tblLook w:val="04A0" w:firstRow="1" w:lastRow="0" w:firstColumn="1" w:lastColumn="0" w:noHBand="0" w:noVBand="1"/>
      </w:tblPr>
      <w:tblGrid>
        <w:gridCol w:w="831"/>
        <w:gridCol w:w="1388"/>
        <w:gridCol w:w="1036"/>
        <w:gridCol w:w="991"/>
        <w:gridCol w:w="1175"/>
        <w:gridCol w:w="952"/>
        <w:gridCol w:w="1130"/>
        <w:gridCol w:w="1394"/>
        <w:gridCol w:w="1394"/>
        <w:gridCol w:w="1136"/>
        <w:gridCol w:w="1370"/>
        <w:gridCol w:w="1397"/>
        <w:gridCol w:w="826"/>
      </w:tblGrid>
      <w:tr w:rsidR="00C51189" w:rsidRPr="006D588F" w14:paraId="3E7EA31C" w14:textId="77777777" w:rsidTr="00B93C9A">
        <w:trPr>
          <w:cnfStyle w:val="100000000000" w:firstRow="1" w:lastRow="0" w:firstColumn="0" w:lastColumn="0" w:oddVBand="0" w:evenVBand="0" w:oddHBand="0" w:evenHBand="0" w:firstRowFirstColumn="0" w:firstRowLastColumn="0" w:lastRowFirstColumn="0" w:lastRowLastColumn="0"/>
          <w:trHeight w:val="1129"/>
          <w:tblHeader/>
        </w:trPr>
        <w:tc>
          <w:tcPr>
            <w:cnfStyle w:val="001000000000" w:firstRow="0" w:lastRow="0" w:firstColumn="1" w:lastColumn="0" w:oddVBand="0" w:evenVBand="0" w:oddHBand="0" w:evenHBand="0" w:firstRowFirstColumn="0" w:firstRowLastColumn="0" w:lastRowFirstColumn="0" w:lastRowLastColumn="0"/>
            <w:tcW w:w="277" w:type="pct"/>
            <w:hideMark/>
          </w:tcPr>
          <w:p w14:paraId="20B8CC29" w14:textId="77777777" w:rsidR="00C51189" w:rsidRPr="007424E5" w:rsidRDefault="00C51189" w:rsidP="00B93C9A">
            <w:pPr>
              <w:spacing w:before="120" w:after="120"/>
              <w:jc w:val="center"/>
              <w:rPr>
                <w:rFonts w:eastAsia="Times New Roman" w:cs="Calibri"/>
                <w:color w:val="FFFFFF"/>
                <w:sz w:val="16"/>
                <w:szCs w:val="16"/>
                <w:lang w:eastAsia="en-AU"/>
              </w:rPr>
            </w:pPr>
            <w:r w:rsidRPr="007424E5">
              <w:rPr>
                <w:rFonts w:eastAsia="Times New Roman" w:cs="Calibri"/>
                <w:color w:val="FFFFFF"/>
                <w:sz w:val="16"/>
                <w:szCs w:val="16"/>
                <w:lang w:eastAsia="en-AU"/>
              </w:rPr>
              <w:t>State</w:t>
            </w:r>
          </w:p>
        </w:tc>
        <w:tc>
          <w:tcPr>
            <w:tcW w:w="462" w:type="pct"/>
            <w:hideMark/>
          </w:tcPr>
          <w:p w14:paraId="6C7CFF4F"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SDL resource unit</w:t>
            </w:r>
          </w:p>
        </w:tc>
        <w:tc>
          <w:tcPr>
            <w:tcW w:w="345" w:type="pct"/>
            <w:hideMark/>
          </w:tcPr>
          <w:p w14:paraId="125B5F4E"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SDL resource unit code</w:t>
            </w:r>
          </w:p>
        </w:tc>
        <w:tc>
          <w:tcPr>
            <w:tcW w:w="330" w:type="pct"/>
            <w:hideMark/>
          </w:tcPr>
          <w:p w14:paraId="5663F280" w14:textId="347FB2C5"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SD</w:t>
            </w:r>
            <w:r>
              <w:rPr>
                <w:rFonts w:eastAsia="Times New Roman" w:cs="Calibri"/>
                <w:color w:val="FFFFFF"/>
                <w:sz w:val="16"/>
                <w:szCs w:val="16"/>
                <w:lang w:eastAsia="en-AU"/>
              </w:rPr>
              <w:t>L</w:t>
            </w:r>
          </w:p>
        </w:tc>
        <w:tc>
          <w:tcPr>
            <w:tcW w:w="391" w:type="pct"/>
            <w:hideMark/>
          </w:tcPr>
          <w:p w14:paraId="535AF70F"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Annual Permitted Take</w:t>
            </w:r>
          </w:p>
        </w:tc>
        <w:tc>
          <w:tcPr>
            <w:tcW w:w="317" w:type="pct"/>
            <w:hideMark/>
          </w:tcPr>
          <w:p w14:paraId="63C4DD21"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Annual Actual Take</w:t>
            </w:r>
          </w:p>
        </w:tc>
        <w:tc>
          <w:tcPr>
            <w:tcW w:w="376" w:type="pct"/>
            <w:hideMark/>
          </w:tcPr>
          <w:p w14:paraId="12641D4C"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Annual Balance</w:t>
            </w:r>
          </w:p>
        </w:tc>
        <w:tc>
          <w:tcPr>
            <w:tcW w:w="464" w:type="pct"/>
            <w:hideMark/>
          </w:tcPr>
          <w:p w14:paraId="25C4AC13"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Cumulative Balance, Start of year</w:t>
            </w:r>
          </w:p>
        </w:tc>
        <w:tc>
          <w:tcPr>
            <w:tcW w:w="464" w:type="pct"/>
            <w:hideMark/>
          </w:tcPr>
          <w:p w14:paraId="050A28FA"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Cumulative Balance, End of Year</w:t>
            </w:r>
          </w:p>
        </w:tc>
        <w:tc>
          <w:tcPr>
            <w:tcW w:w="378" w:type="pct"/>
            <w:hideMark/>
          </w:tcPr>
          <w:p w14:paraId="71D2AAA7"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HEW Adjust-</w:t>
            </w:r>
            <w:proofErr w:type="spellStart"/>
            <w:r w:rsidRPr="007424E5">
              <w:rPr>
                <w:rFonts w:eastAsia="Times New Roman" w:cs="Calibri"/>
                <w:color w:val="FFFFFF"/>
                <w:sz w:val="16"/>
                <w:szCs w:val="16"/>
                <w:lang w:eastAsia="en-AU"/>
              </w:rPr>
              <w:t>ments</w:t>
            </w:r>
            <w:proofErr w:type="spellEnd"/>
          </w:p>
        </w:tc>
        <w:tc>
          <w:tcPr>
            <w:tcW w:w="456" w:type="pct"/>
            <w:hideMark/>
          </w:tcPr>
          <w:p w14:paraId="39E9AC79"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Adjusted Cumulative Balance, End of year</w:t>
            </w:r>
          </w:p>
        </w:tc>
        <w:tc>
          <w:tcPr>
            <w:tcW w:w="465" w:type="pct"/>
            <w:hideMark/>
          </w:tcPr>
          <w:p w14:paraId="548A75B2"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 xml:space="preserve">SDL Compliance Threshold </w:t>
            </w:r>
            <w:r w:rsidRPr="007424E5">
              <w:rPr>
                <w:rFonts w:eastAsia="Times New Roman" w:cs="Calibri"/>
                <w:color w:val="FFFFFF"/>
                <w:sz w:val="16"/>
                <w:szCs w:val="16"/>
                <w:lang w:eastAsia="en-AU"/>
              </w:rPr>
              <w:br/>
              <w:t>(-20% of SDL)</w:t>
            </w:r>
          </w:p>
        </w:tc>
        <w:tc>
          <w:tcPr>
            <w:tcW w:w="275" w:type="pct"/>
            <w:hideMark/>
          </w:tcPr>
          <w:p w14:paraId="5ED22267" w14:textId="77777777" w:rsidR="00C51189" w:rsidRPr="007424E5" w:rsidRDefault="00C51189" w:rsidP="00B93C9A">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7424E5">
              <w:rPr>
                <w:rFonts w:eastAsia="Times New Roman" w:cs="Calibri"/>
                <w:color w:val="FFFFFF"/>
                <w:sz w:val="16"/>
                <w:szCs w:val="16"/>
                <w:lang w:eastAsia="en-AU"/>
              </w:rPr>
              <w:t>SDL Excess</w:t>
            </w:r>
          </w:p>
        </w:tc>
      </w:tr>
      <w:tr w:rsidR="00C51189" w:rsidRPr="009F08F1" w14:paraId="4C222FA9" w14:textId="77777777" w:rsidTr="00B93C9A">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77" w:type="pct"/>
            <w:hideMark/>
          </w:tcPr>
          <w:p w14:paraId="1B442CE9" w14:textId="77777777" w:rsidR="00C51189" w:rsidRPr="00D945B0" w:rsidRDefault="00C51189" w:rsidP="00B93C9A">
            <w:pPr>
              <w:spacing w:before="120" w:after="120"/>
              <w:jc w:val="center"/>
              <w:rPr>
                <w:rFonts w:eastAsia="Times New Roman" w:cs="Calibri"/>
                <w:color w:val="000000"/>
                <w:sz w:val="18"/>
                <w:szCs w:val="18"/>
                <w:lang w:eastAsia="en-AU"/>
              </w:rPr>
            </w:pPr>
            <w:r w:rsidRPr="00D945B0">
              <w:rPr>
                <w:rFonts w:eastAsia="Times New Roman" w:cs="Calibri"/>
                <w:color w:val="000000"/>
                <w:sz w:val="18"/>
                <w:szCs w:val="18"/>
                <w:lang w:eastAsia="en-AU"/>
              </w:rPr>
              <w:t>QLD</w:t>
            </w:r>
          </w:p>
        </w:tc>
        <w:tc>
          <w:tcPr>
            <w:tcW w:w="462" w:type="pct"/>
            <w:hideMark/>
          </w:tcPr>
          <w:p w14:paraId="217BA1EA"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Queensland Border Rivers</w:t>
            </w:r>
          </w:p>
        </w:tc>
        <w:tc>
          <w:tcPr>
            <w:tcW w:w="345" w:type="pct"/>
            <w:hideMark/>
          </w:tcPr>
          <w:p w14:paraId="1EFF5B7C"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SS24</w:t>
            </w:r>
          </w:p>
        </w:tc>
        <w:tc>
          <w:tcPr>
            <w:tcW w:w="330" w:type="pct"/>
            <w:hideMark/>
          </w:tcPr>
          <w:p w14:paraId="456576D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363.6</w:t>
            </w:r>
          </w:p>
        </w:tc>
        <w:tc>
          <w:tcPr>
            <w:tcW w:w="391" w:type="pct"/>
            <w:hideMark/>
          </w:tcPr>
          <w:p w14:paraId="608D0B4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424.8</w:t>
            </w:r>
          </w:p>
        </w:tc>
        <w:tc>
          <w:tcPr>
            <w:tcW w:w="317" w:type="pct"/>
            <w:hideMark/>
          </w:tcPr>
          <w:p w14:paraId="1DF7196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178.9</w:t>
            </w:r>
          </w:p>
        </w:tc>
        <w:tc>
          <w:tcPr>
            <w:tcW w:w="376" w:type="pct"/>
            <w:hideMark/>
          </w:tcPr>
          <w:p w14:paraId="2B9595F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245.9</w:t>
            </w:r>
          </w:p>
        </w:tc>
        <w:tc>
          <w:tcPr>
            <w:tcW w:w="464" w:type="pct"/>
            <w:hideMark/>
          </w:tcPr>
          <w:p w14:paraId="24A75557"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335.2</w:t>
            </w:r>
          </w:p>
        </w:tc>
        <w:tc>
          <w:tcPr>
            <w:tcW w:w="464" w:type="pct"/>
            <w:hideMark/>
          </w:tcPr>
          <w:p w14:paraId="4281A2F4"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581.1</w:t>
            </w:r>
          </w:p>
        </w:tc>
        <w:tc>
          <w:tcPr>
            <w:tcW w:w="378" w:type="pct"/>
            <w:hideMark/>
          </w:tcPr>
          <w:p w14:paraId="025534E6"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19DB0F4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581.1</w:t>
            </w:r>
          </w:p>
        </w:tc>
        <w:tc>
          <w:tcPr>
            <w:tcW w:w="465" w:type="pct"/>
            <w:hideMark/>
          </w:tcPr>
          <w:p w14:paraId="03E5173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-72.7</w:t>
            </w:r>
          </w:p>
        </w:tc>
        <w:tc>
          <w:tcPr>
            <w:tcW w:w="275" w:type="pct"/>
            <w:hideMark/>
          </w:tcPr>
          <w:p w14:paraId="06B796D5"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3EB017A2" w14:textId="77777777" w:rsidTr="00B93C9A">
        <w:trPr>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568B4EC5"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QLD</w:t>
            </w:r>
          </w:p>
        </w:tc>
        <w:tc>
          <w:tcPr>
            <w:tcW w:w="462" w:type="pct"/>
            <w:hideMark/>
          </w:tcPr>
          <w:p w14:paraId="3959B661"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Moonie</w:t>
            </w:r>
          </w:p>
        </w:tc>
        <w:tc>
          <w:tcPr>
            <w:tcW w:w="345" w:type="pct"/>
            <w:hideMark/>
          </w:tcPr>
          <w:p w14:paraId="41B686C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SS25</w:t>
            </w:r>
          </w:p>
        </w:tc>
        <w:tc>
          <w:tcPr>
            <w:tcW w:w="330" w:type="pct"/>
            <w:hideMark/>
          </w:tcPr>
          <w:p w14:paraId="125D241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89.9</w:t>
            </w:r>
          </w:p>
        </w:tc>
        <w:tc>
          <w:tcPr>
            <w:tcW w:w="391" w:type="pct"/>
            <w:hideMark/>
          </w:tcPr>
          <w:p w14:paraId="1A3F194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111.5</w:t>
            </w:r>
          </w:p>
        </w:tc>
        <w:tc>
          <w:tcPr>
            <w:tcW w:w="317" w:type="pct"/>
            <w:hideMark/>
          </w:tcPr>
          <w:p w14:paraId="01B9306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51.5</w:t>
            </w:r>
          </w:p>
        </w:tc>
        <w:tc>
          <w:tcPr>
            <w:tcW w:w="376" w:type="pct"/>
            <w:hideMark/>
          </w:tcPr>
          <w:p w14:paraId="3882AC12"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59.9</w:t>
            </w:r>
          </w:p>
        </w:tc>
        <w:tc>
          <w:tcPr>
            <w:tcW w:w="464" w:type="pct"/>
            <w:hideMark/>
          </w:tcPr>
          <w:p w14:paraId="0810016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125.6</w:t>
            </w:r>
          </w:p>
        </w:tc>
        <w:tc>
          <w:tcPr>
            <w:tcW w:w="464" w:type="pct"/>
            <w:hideMark/>
          </w:tcPr>
          <w:p w14:paraId="691305F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185.5</w:t>
            </w:r>
          </w:p>
        </w:tc>
        <w:tc>
          <w:tcPr>
            <w:tcW w:w="378" w:type="pct"/>
            <w:hideMark/>
          </w:tcPr>
          <w:p w14:paraId="19D7BE8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04B4071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185.5</w:t>
            </w:r>
          </w:p>
        </w:tc>
        <w:tc>
          <w:tcPr>
            <w:tcW w:w="465" w:type="pct"/>
            <w:hideMark/>
          </w:tcPr>
          <w:p w14:paraId="09801DD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-18</w:t>
            </w:r>
          </w:p>
        </w:tc>
        <w:tc>
          <w:tcPr>
            <w:tcW w:w="275" w:type="pct"/>
            <w:hideMark/>
          </w:tcPr>
          <w:p w14:paraId="1304EAC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5C25C70F" w14:textId="77777777" w:rsidTr="00B93C9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77" w:type="pct"/>
            <w:hideMark/>
          </w:tcPr>
          <w:p w14:paraId="048769F0"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QLD</w:t>
            </w:r>
          </w:p>
        </w:tc>
        <w:tc>
          <w:tcPr>
            <w:tcW w:w="462" w:type="pct"/>
            <w:hideMark/>
          </w:tcPr>
          <w:p w14:paraId="59F7C59F"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Condamine-Balonne</w:t>
            </w:r>
          </w:p>
        </w:tc>
        <w:tc>
          <w:tcPr>
            <w:tcW w:w="345" w:type="pct"/>
            <w:hideMark/>
          </w:tcPr>
          <w:p w14:paraId="11654FC3"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SS26</w:t>
            </w:r>
          </w:p>
        </w:tc>
        <w:tc>
          <w:tcPr>
            <w:tcW w:w="330" w:type="pct"/>
            <w:hideMark/>
          </w:tcPr>
          <w:p w14:paraId="76B1AE0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919</w:t>
            </w:r>
          </w:p>
        </w:tc>
        <w:tc>
          <w:tcPr>
            <w:tcW w:w="391" w:type="pct"/>
            <w:hideMark/>
          </w:tcPr>
          <w:p w14:paraId="196D1EC1"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859.4</w:t>
            </w:r>
          </w:p>
        </w:tc>
        <w:tc>
          <w:tcPr>
            <w:tcW w:w="317" w:type="pct"/>
            <w:hideMark/>
          </w:tcPr>
          <w:p w14:paraId="0A41833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599.9</w:t>
            </w:r>
          </w:p>
        </w:tc>
        <w:tc>
          <w:tcPr>
            <w:tcW w:w="376" w:type="pct"/>
            <w:hideMark/>
          </w:tcPr>
          <w:p w14:paraId="0E52C7A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259.5</w:t>
            </w:r>
          </w:p>
        </w:tc>
        <w:tc>
          <w:tcPr>
            <w:tcW w:w="464" w:type="pct"/>
            <w:hideMark/>
          </w:tcPr>
          <w:p w14:paraId="18C2AEE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263.6</w:t>
            </w:r>
          </w:p>
        </w:tc>
        <w:tc>
          <w:tcPr>
            <w:tcW w:w="464" w:type="pct"/>
            <w:hideMark/>
          </w:tcPr>
          <w:p w14:paraId="7FBDC90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523.1</w:t>
            </w:r>
          </w:p>
        </w:tc>
        <w:tc>
          <w:tcPr>
            <w:tcW w:w="378" w:type="pct"/>
            <w:hideMark/>
          </w:tcPr>
          <w:p w14:paraId="2ED7342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55.5</w:t>
            </w:r>
          </w:p>
        </w:tc>
        <w:tc>
          <w:tcPr>
            <w:tcW w:w="456" w:type="pct"/>
            <w:hideMark/>
          </w:tcPr>
          <w:p w14:paraId="10F928D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578.6</w:t>
            </w:r>
          </w:p>
        </w:tc>
        <w:tc>
          <w:tcPr>
            <w:tcW w:w="465" w:type="pct"/>
            <w:hideMark/>
          </w:tcPr>
          <w:p w14:paraId="41A19EEC"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-183.8</w:t>
            </w:r>
          </w:p>
        </w:tc>
        <w:tc>
          <w:tcPr>
            <w:tcW w:w="275" w:type="pct"/>
            <w:hideMark/>
          </w:tcPr>
          <w:p w14:paraId="705A8824"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4B7A13CD" w14:textId="77777777" w:rsidTr="00B93C9A">
        <w:trPr>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30527F90"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QLD</w:t>
            </w:r>
          </w:p>
        </w:tc>
        <w:tc>
          <w:tcPr>
            <w:tcW w:w="462" w:type="pct"/>
            <w:hideMark/>
          </w:tcPr>
          <w:p w14:paraId="67F48D7A"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proofErr w:type="spellStart"/>
            <w:r w:rsidRPr="00070479">
              <w:rPr>
                <w:rFonts w:eastAsia="Times New Roman" w:cs="Calibri"/>
                <w:color w:val="000000"/>
                <w:sz w:val="18"/>
                <w:szCs w:val="18"/>
                <w:lang w:eastAsia="en-AU"/>
              </w:rPr>
              <w:t>Nebine</w:t>
            </w:r>
            <w:proofErr w:type="spellEnd"/>
          </w:p>
        </w:tc>
        <w:tc>
          <w:tcPr>
            <w:tcW w:w="345" w:type="pct"/>
            <w:hideMark/>
          </w:tcPr>
          <w:p w14:paraId="2BE47D2E"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SS27</w:t>
            </w:r>
          </w:p>
        </w:tc>
        <w:tc>
          <w:tcPr>
            <w:tcW w:w="330" w:type="pct"/>
            <w:hideMark/>
          </w:tcPr>
          <w:p w14:paraId="77A30AD9"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17.1</w:t>
            </w:r>
          </w:p>
        </w:tc>
        <w:tc>
          <w:tcPr>
            <w:tcW w:w="391" w:type="pct"/>
            <w:hideMark/>
          </w:tcPr>
          <w:p w14:paraId="44E42F6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16.9</w:t>
            </w:r>
          </w:p>
        </w:tc>
        <w:tc>
          <w:tcPr>
            <w:tcW w:w="317" w:type="pct"/>
            <w:hideMark/>
          </w:tcPr>
          <w:p w14:paraId="00FC4789"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11.1</w:t>
            </w:r>
          </w:p>
        </w:tc>
        <w:tc>
          <w:tcPr>
            <w:tcW w:w="376" w:type="pct"/>
            <w:hideMark/>
          </w:tcPr>
          <w:p w14:paraId="69510B9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5.78</w:t>
            </w:r>
          </w:p>
        </w:tc>
        <w:tc>
          <w:tcPr>
            <w:tcW w:w="464" w:type="pct"/>
            <w:hideMark/>
          </w:tcPr>
          <w:p w14:paraId="6535876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12.4</w:t>
            </w:r>
          </w:p>
        </w:tc>
        <w:tc>
          <w:tcPr>
            <w:tcW w:w="464" w:type="pct"/>
            <w:hideMark/>
          </w:tcPr>
          <w:p w14:paraId="5197610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18.2</w:t>
            </w:r>
          </w:p>
        </w:tc>
        <w:tc>
          <w:tcPr>
            <w:tcW w:w="378" w:type="pct"/>
            <w:hideMark/>
          </w:tcPr>
          <w:p w14:paraId="37729D71"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430EC59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18.2</w:t>
            </w:r>
          </w:p>
        </w:tc>
        <w:tc>
          <w:tcPr>
            <w:tcW w:w="465" w:type="pct"/>
            <w:hideMark/>
          </w:tcPr>
          <w:p w14:paraId="28BF7EB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-3.41</w:t>
            </w:r>
          </w:p>
        </w:tc>
        <w:tc>
          <w:tcPr>
            <w:tcW w:w="275" w:type="pct"/>
            <w:hideMark/>
          </w:tcPr>
          <w:p w14:paraId="556CD6D2"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5F9B0901" w14:textId="77777777" w:rsidTr="00B93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25566D53"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QLD</w:t>
            </w:r>
          </w:p>
        </w:tc>
        <w:tc>
          <w:tcPr>
            <w:tcW w:w="462" w:type="pct"/>
            <w:hideMark/>
          </w:tcPr>
          <w:p w14:paraId="7FACD86C"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Warrego</w:t>
            </w:r>
          </w:p>
        </w:tc>
        <w:tc>
          <w:tcPr>
            <w:tcW w:w="345" w:type="pct"/>
            <w:hideMark/>
          </w:tcPr>
          <w:p w14:paraId="24F7AE2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SS28</w:t>
            </w:r>
          </w:p>
        </w:tc>
        <w:tc>
          <w:tcPr>
            <w:tcW w:w="330" w:type="pct"/>
            <w:hideMark/>
          </w:tcPr>
          <w:p w14:paraId="4CE1F9C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55.5</w:t>
            </w:r>
          </w:p>
        </w:tc>
        <w:tc>
          <w:tcPr>
            <w:tcW w:w="391" w:type="pct"/>
            <w:hideMark/>
          </w:tcPr>
          <w:p w14:paraId="1438CDD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59.1</w:t>
            </w:r>
          </w:p>
        </w:tc>
        <w:tc>
          <w:tcPr>
            <w:tcW w:w="317" w:type="pct"/>
            <w:hideMark/>
          </w:tcPr>
          <w:p w14:paraId="623D9CE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23</w:t>
            </w:r>
          </w:p>
        </w:tc>
        <w:tc>
          <w:tcPr>
            <w:tcW w:w="376" w:type="pct"/>
            <w:hideMark/>
          </w:tcPr>
          <w:p w14:paraId="70BA188C"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36.1</w:t>
            </w:r>
          </w:p>
        </w:tc>
        <w:tc>
          <w:tcPr>
            <w:tcW w:w="464" w:type="pct"/>
            <w:hideMark/>
          </w:tcPr>
          <w:p w14:paraId="2E4C94A4"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68</w:t>
            </w:r>
          </w:p>
        </w:tc>
        <w:tc>
          <w:tcPr>
            <w:tcW w:w="464" w:type="pct"/>
            <w:hideMark/>
          </w:tcPr>
          <w:p w14:paraId="4AEF3311"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104</w:t>
            </w:r>
          </w:p>
        </w:tc>
        <w:tc>
          <w:tcPr>
            <w:tcW w:w="378" w:type="pct"/>
            <w:hideMark/>
          </w:tcPr>
          <w:p w14:paraId="5586E4B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3300727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104</w:t>
            </w:r>
          </w:p>
        </w:tc>
        <w:tc>
          <w:tcPr>
            <w:tcW w:w="465" w:type="pct"/>
            <w:hideMark/>
          </w:tcPr>
          <w:p w14:paraId="3334AF27"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-11.1</w:t>
            </w:r>
          </w:p>
        </w:tc>
        <w:tc>
          <w:tcPr>
            <w:tcW w:w="275" w:type="pct"/>
            <w:hideMark/>
          </w:tcPr>
          <w:p w14:paraId="0730362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0D8882F4" w14:textId="77777777" w:rsidTr="00B93C9A">
        <w:trPr>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59B54F17"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QLD</w:t>
            </w:r>
          </w:p>
        </w:tc>
        <w:tc>
          <w:tcPr>
            <w:tcW w:w="462" w:type="pct"/>
            <w:hideMark/>
          </w:tcPr>
          <w:p w14:paraId="1BA81C7E"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Paroo</w:t>
            </w:r>
          </w:p>
        </w:tc>
        <w:tc>
          <w:tcPr>
            <w:tcW w:w="345" w:type="pct"/>
            <w:hideMark/>
          </w:tcPr>
          <w:p w14:paraId="1B59E04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SS29</w:t>
            </w:r>
          </w:p>
        </w:tc>
        <w:tc>
          <w:tcPr>
            <w:tcW w:w="330" w:type="pct"/>
            <w:hideMark/>
          </w:tcPr>
          <w:p w14:paraId="61FD9061"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11.8</w:t>
            </w:r>
          </w:p>
        </w:tc>
        <w:tc>
          <w:tcPr>
            <w:tcW w:w="391" w:type="pct"/>
            <w:hideMark/>
          </w:tcPr>
          <w:p w14:paraId="5798C6D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10.9</w:t>
            </w:r>
          </w:p>
        </w:tc>
        <w:tc>
          <w:tcPr>
            <w:tcW w:w="317" w:type="pct"/>
            <w:hideMark/>
          </w:tcPr>
          <w:p w14:paraId="1B11B5C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10.9</w:t>
            </w:r>
          </w:p>
        </w:tc>
        <w:tc>
          <w:tcPr>
            <w:tcW w:w="376" w:type="pct"/>
            <w:hideMark/>
          </w:tcPr>
          <w:p w14:paraId="11781EB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0.08</w:t>
            </w:r>
          </w:p>
        </w:tc>
        <w:tc>
          <w:tcPr>
            <w:tcW w:w="464" w:type="pct"/>
            <w:hideMark/>
          </w:tcPr>
          <w:p w14:paraId="483F108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0.23</w:t>
            </w:r>
          </w:p>
        </w:tc>
        <w:tc>
          <w:tcPr>
            <w:tcW w:w="464" w:type="pct"/>
            <w:hideMark/>
          </w:tcPr>
          <w:p w14:paraId="3669A771"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0.3</w:t>
            </w:r>
          </w:p>
        </w:tc>
        <w:tc>
          <w:tcPr>
            <w:tcW w:w="378" w:type="pct"/>
            <w:hideMark/>
          </w:tcPr>
          <w:p w14:paraId="0E496DD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3206EDF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0.3</w:t>
            </w:r>
          </w:p>
        </w:tc>
        <w:tc>
          <w:tcPr>
            <w:tcW w:w="465" w:type="pct"/>
            <w:hideMark/>
          </w:tcPr>
          <w:p w14:paraId="4EE45DBF"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-2.36</w:t>
            </w:r>
          </w:p>
        </w:tc>
        <w:tc>
          <w:tcPr>
            <w:tcW w:w="275" w:type="pct"/>
            <w:hideMark/>
          </w:tcPr>
          <w:p w14:paraId="29ED3EA1"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3C6D3195" w14:textId="77777777" w:rsidTr="00B93C9A">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77" w:type="pct"/>
            <w:hideMark/>
          </w:tcPr>
          <w:p w14:paraId="491483A9"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ACT</w:t>
            </w:r>
          </w:p>
        </w:tc>
        <w:tc>
          <w:tcPr>
            <w:tcW w:w="462" w:type="pct"/>
            <w:hideMark/>
          </w:tcPr>
          <w:p w14:paraId="330BCD00"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Australian Capital Territory</w:t>
            </w:r>
          </w:p>
        </w:tc>
        <w:tc>
          <w:tcPr>
            <w:tcW w:w="345" w:type="pct"/>
            <w:hideMark/>
          </w:tcPr>
          <w:p w14:paraId="66C45456"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SS1</w:t>
            </w:r>
          </w:p>
        </w:tc>
        <w:tc>
          <w:tcPr>
            <w:tcW w:w="330" w:type="pct"/>
            <w:hideMark/>
          </w:tcPr>
          <w:p w14:paraId="14E4513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53.4</w:t>
            </w:r>
          </w:p>
        </w:tc>
        <w:tc>
          <w:tcPr>
            <w:tcW w:w="391" w:type="pct"/>
            <w:hideMark/>
          </w:tcPr>
          <w:p w14:paraId="160B988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29.5</w:t>
            </w:r>
          </w:p>
        </w:tc>
        <w:tc>
          <w:tcPr>
            <w:tcW w:w="317" w:type="pct"/>
            <w:hideMark/>
          </w:tcPr>
          <w:p w14:paraId="55E615D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17.6</w:t>
            </w:r>
          </w:p>
        </w:tc>
        <w:tc>
          <w:tcPr>
            <w:tcW w:w="376" w:type="pct"/>
            <w:hideMark/>
          </w:tcPr>
          <w:p w14:paraId="76E1449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11.9</w:t>
            </w:r>
          </w:p>
        </w:tc>
        <w:tc>
          <w:tcPr>
            <w:tcW w:w="464" w:type="pct"/>
            <w:hideMark/>
          </w:tcPr>
          <w:p w14:paraId="3B11C42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29.7</w:t>
            </w:r>
          </w:p>
        </w:tc>
        <w:tc>
          <w:tcPr>
            <w:tcW w:w="464" w:type="pct"/>
            <w:hideMark/>
          </w:tcPr>
          <w:p w14:paraId="339FD27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41.6</w:t>
            </w:r>
          </w:p>
        </w:tc>
        <w:tc>
          <w:tcPr>
            <w:tcW w:w="378" w:type="pct"/>
            <w:hideMark/>
          </w:tcPr>
          <w:p w14:paraId="155A944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2.13</w:t>
            </w:r>
          </w:p>
        </w:tc>
        <w:tc>
          <w:tcPr>
            <w:tcW w:w="456" w:type="pct"/>
            <w:hideMark/>
          </w:tcPr>
          <w:p w14:paraId="4EF60D6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43.7</w:t>
            </w:r>
          </w:p>
        </w:tc>
        <w:tc>
          <w:tcPr>
            <w:tcW w:w="465" w:type="pct"/>
            <w:hideMark/>
          </w:tcPr>
          <w:p w14:paraId="506C099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-10.7</w:t>
            </w:r>
          </w:p>
        </w:tc>
        <w:tc>
          <w:tcPr>
            <w:tcW w:w="275" w:type="pct"/>
            <w:hideMark/>
          </w:tcPr>
          <w:p w14:paraId="5BB7FCE1"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272D0D92" w14:textId="77777777" w:rsidTr="00B93C9A">
        <w:trPr>
          <w:trHeight w:val="484"/>
        </w:trPr>
        <w:tc>
          <w:tcPr>
            <w:cnfStyle w:val="001000000000" w:firstRow="0" w:lastRow="0" w:firstColumn="1" w:lastColumn="0" w:oddVBand="0" w:evenVBand="0" w:oddHBand="0" w:evenHBand="0" w:firstRowFirstColumn="0" w:firstRowLastColumn="0" w:lastRowFirstColumn="0" w:lastRowLastColumn="0"/>
            <w:tcW w:w="277" w:type="pct"/>
            <w:hideMark/>
          </w:tcPr>
          <w:p w14:paraId="441405E8"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4F337AE2"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Victorian Murray</w:t>
            </w:r>
          </w:p>
        </w:tc>
        <w:tc>
          <w:tcPr>
            <w:tcW w:w="345" w:type="pct"/>
            <w:hideMark/>
          </w:tcPr>
          <w:p w14:paraId="04FE15A2"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SS2</w:t>
            </w:r>
          </w:p>
        </w:tc>
        <w:tc>
          <w:tcPr>
            <w:tcW w:w="330" w:type="pct"/>
            <w:hideMark/>
          </w:tcPr>
          <w:p w14:paraId="2290A00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1319.8</w:t>
            </w:r>
          </w:p>
        </w:tc>
        <w:tc>
          <w:tcPr>
            <w:tcW w:w="391" w:type="pct"/>
            <w:hideMark/>
          </w:tcPr>
          <w:p w14:paraId="2158CF0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1145.4</w:t>
            </w:r>
          </w:p>
        </w:tc>
        <w:tc>
          <w:tcPr>
            <w:tcW w:w="317" w:type="pct"/>
            <w:hideMark/>
          </w:tcPr>
          <w:p w14:paraId="670B94F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909.8</w:t>
            </w:r>
          </w:p>
        </w:tc>
        <w:tc>
          <w:tcPr>
            <w:tcW w:w="376" w:type="pct"/>
            <w:hideMark/>
          </w:tcPr>
          <w:p w14:paraId="425DA104"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235.6</w:t>
            </w:r>
          </w:p>
        </w:tc>
        <w:tc>
          <w:tcPr>
            <w:tcW w:w="464" w:type="pct"/>
            <w:hideMark/>
          </w:tcPr>
          <w:p w14:paraId="1CF6EA8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230</w:t>
            </w:r>
          </w:p>
        </w:tc>
        <w:tc>
          <w:tcPr>
            <w:tcW w:w="464" w:type="pct"/>
            <w:hideMark/>
          </w:tcPr>
          <w:p w14:paraId="478FE8E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465.6</w:t>
            </w:r>
          </w:p>
        </w:tc>
        <w:tc>
          <w:tcPr>
            <w:tcW w:w="378" w:type="pct"/>
            <w:hideMark/>
          </w:tcPr>
          <w:p w14:paraId="76E5BD2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32.4</w:t>
            </w:r>
          </w:p>
        </w:tc>
        <w:tc>
          <w:tcPr>
            <w:tcW w:w="456" w:type="pct"/>
            <w:hideMark/>
          </w:tcPr>
          <w:p w14:paraId="6697657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498</w:t>
            </w:r>
          </w:p>
        </w:tc>
        <w:tc>
          <w:tcPr>
            <w:tcW w:w="465" w:type="pct"/>
            <w:hideMark/>
          </w:tcPr>
          <w:p w14:paraId="591BE19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-264</w:t>
            </w:r>
          </w:p>
        </w:tc>
        <w:tc>
          <w:tcPr>
            <w:tcW w:w="275" w:type="pct"/>
            <w:hideMark/>
          </w:tcPr>
          <w:p w14:paraId="1DAA3E84"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676C222A" w14:textId="77777777" w:rsidTr="00B93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066E55B0"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51D9E487"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Kiewa</w:t>
            </w:r>
          </w:p>
        </w:tc>
        <w:tc>
          <w:tcPr>
            <w:tcW w:w="345" w:type="pct"/>
            <w:hideMark/>
          </w:tcPr>
          <w:p w14:paraId="2F20F39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SS3</w:t>
            </w:r>
          </w:p>
        </w:tc>
        <w:tc>
          <w:tcPr>
            <w:tcW w:w="330" w:type="pct"/>
            <w:hideMark/>
          </w:tcPr>
          <w:p w14:paraId="1E2E054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27.7</w:t>
            </w:r>
          </w:p>
        </w:tc>
        <w:tc>
          <w:tcPr>
            <w:tcW w:w="391" w:type="pct"/>
            <w:hideMark/>
          </w:tcPr>
          <w:p w14:paraId="668D66A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25.3</w:t>
            </w:r>
          </w:p>
        </w:tc>
        <w:tc>
          <w:tcPr>
            <w:tcW w:w="317" w:type="pct"/>
            <w:hideMark/>
          </w:tcPr>
          <w:p w14:paraId="59A9250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21.8</w:t>
            </w:r>
          </w:p>
        </w:tc>
        <w:tc>
          <w:tcPr>
            <w:tcW w:w="376" w:type="pct"/>
            <w:hideMark/>
          </w:tcPr>
          <w:p w14:paraId="48FDAAF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3.46</w:t>
            </w:r>
          </w:p>
        </w:tc>
        <w:tc>
          <w:tcPr>
            <w:tcW w:w="464" w:type="pct"/>
            <w:hideMark/>
          </w:tcPr>
          <w:p w14:paraId="4694E5D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12.4</w:t>
            </w:r>
          </w:p>
        </w:tc>
        <w:tc>
          <w:tcPr>
            <w:tcW w:w="464" w:type="pct"/>
            <w:hideMark/>
          </w:tcPr>
          <w:p w14:paraId="5942BC67"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15.9</w:t>
            </w:r>
          </w:p>
        </w:tc>
        <w:tc>
          <w:tcPr>
            <w:tcW w:w="378" w:type="pct"/>
            <w:hideMark/>
          </w:tcPr>
          <w:p w14:paraId="70429DF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46B247A6"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15.9</w:t>
            </w:r>
          </w:p>
        </w:tc>
        <w:tc>
          <w:tcPr>
            <w:tcW w:w="465" w:type="pct"/>
            <w:hideMark/>
          </w:tcPr>
          <w:p w14:paraId="4073732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-5.54</w:t>
            </w:r>
          </w:p>
        </w:tc>
        <w:tc>
          <w:tcPr>
            <w:tcW w:w="275" w:type="pct"/>
            <w:hideMark/>
          </w:tcPr>
          <w:p w14:paraId="2815CD27"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6E6B89B1" w14:textId="77777777" w:rsidTr="00B93C9A">
        <w:trPr>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3A678CA9"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318BFC59"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Ovens</w:t>
            </w:r>
          </w:p>
        </w:tc>
        <w:tc>
          <w:tcPr>
            <w:tcW w:w="345" w:type="pct"/>
            <w:hideMark/>
          </w:tcPr>
          <w:p w14:paraId="625CAAB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SS4</w:t>
            </w:r>
          </w:p>
        </w:tc>
        <w:tc>
          <w:tcPr>
            <w:tcW w:w="330" w:type="pct"/>
            <w:hideMark/>
          </w:tcPr>
          <w:p w14:paraId="180DF3C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85.8</w:t>
            </w:r>
          </w:p>
        </w:tc>
        <w:tc>
          <w:tcPr>
            <w:tcW w:w="391" w:type="pct"/>
            <w:hideMark/>
          </w:tcPr>
          <w:p w14:paraId="6A4E66E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82.9</w:t>
            </w:r>
          </w:p>
        </w:tc>
        <w:tc>
          <w:tcPr>
            <w:tcW w:w="317" w:type="pct"/>
            <w:hideMark/>
          </w:tcPr>
          <w:p w14:paraId="5CCE493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71</w:t>
            </w:r>
          </w:p>
        </w:tc>
        <w:tc>
          <w:tcPr>
            <w:tcW w:w="376" w:type="pct"/>
            <w:hideMark/>
          </w:tcPr>
          <w:p w14:paraId="70DB9DA4"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11.9</w:t>
            </w:r>
          </w:p>
        </w:tc>
        <w:tc>
          <w:tcPr>
            <w:tcW w:w="464" w:type="pct"/>
            <w:hideMark/>
          </w:tcPr>
          <w:p w14:paraId="343B948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25.2</w:t>
            </w:r>
          </w:p>
        </w:tc>
        <w:tc>
          <w:tcPr>
            <w:tcW w:w="464" w:type="pct"/>
            <w:hideMark/>
          </w:tcPr>
          <w:p w14:paraId="6CBE44A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37.14</w:t>
            </w:r>
          </w:p>
        </w:tc>
        <w:tc>
          <w:tcPr>
            <w:tcW w:w="378" w:type="pct"/>
            <w:hideMark/>
          </w:tcPr>
          <w:p w14:paraId="5A5BADC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-0.09</w:t>
            </w:r>
          </w:p>
        </w:tc>
        <w:tc>
          <w:tcPr>
            <w:tcW w:w="456" w:type="pct"/>
            <w:hideMark/>
          </w:tcPr>
          <w:p w14:paraId="0A277F19"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37.04</w:t>
            </w:r>
          </w:p>
        </w:tc>
        <w:tc>
          <w:tcPr>
            <w:tcW w:w="465" w:type="pct"/>
            <w:hideMark/>
          </w:tcPr>
          <w:p w14:paraId="28438B9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-17.2</w:t>
            </w:r>
          </w:p>
        </w:tc>
        <w:tc>
          <w:tcPr>
            <w:tcW w:w="275" w:type="pct"/>
            <w:hideMark/>
          </w:tcPr>
          <w:p w14:paraId="424F11D2"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1C14222D" w14:textId="77777777" w:rsidTr="00B93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2E8E346D"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207E0D72"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Broken</w:t>
            </w:r>
          </w:p>
        </w:tc>
        <w:tc>
          <w:tcPr>
            <w:tcW w:w="345" w:type="pct"/>
            <w:hideMark/>
          </w:tcPr>
          <w:p w14:paraId="1ED68BB5"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SS5</w:t>
            </w:r>
          </w:p>
        </w:tc>
        <w:tc>
          <w:tcPr>
            <w:tcW w:w="330" w:type="pct"/>
            <w:hideMark/>
          </w:tcPr>
          <w:p w14:paraId="27BA688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49</w:t>
            </w:r>
          </w:p>
        </w:tc>
        <w:tc>
          <w:tcPr>
            <w:tcW w:w="391" w:type="pct"/>
            <w:hideMark/>
          </w:tcPr>
          <w:p w14:paraId="354A0C91"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42.4</w:t>
            </w:r>
          </w:p>
        </w:tc>
        <w:tc>
          <w:tcPr>
            <w:tcW w:w="317" w:type="pct"/>
            <w:hideMark/>
          </w:tcPr>
          <w:p w14:paraId="74D0EF9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40.7</w:t>
            </w:r>
          </w:p>
        </w:tc>
        <w:tc>
          <w:tcPr>
            <w:tcW w:w="376" w:type="pct"/>
            <w:hideMark/>
          </w:tcPr>
          <w:p w14:paraId="0E854B2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1.69</w:t>
            </w:r>
          </w:p>
        </w:tc>
        <w:tc>
          <w:tcPr>
            <w:tcW w:w="464" w:type="pct"/>
            <w:hideMark/>
          </w:tcPr>
          <w:p w14:paraId="2AA1E1F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3.54</w:t>
            </w:r>
          </w:p>
        </w:tc>
        <w:tc>
          <w:tcPr>
            <w:tcW w:w="464" w:type="pct"/>
            <w:hideMark/>
          </w:tcPr>
          <w:p w14:paraId="1F670B7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5.23</w:t>
            </w:r>
          </w:p>
        </w:tc>
        <w:tc>
          <w:tcPr>
            <w:tcW w:w="378" w:type="pct"/>
            <w:hideMark/>
          </w:tcPr>
          <w:p w14:paraId="4F3081D1"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-0.6</w:t>
            </w:r>
          </w:p>
        </w:tc>
        <w:tc>
          <w:tcPr>
            <w:tcW w:w="456" w:type="pct"/>
            <w:hideMark/>
          </w:tcPr>
          <w:p w14:paraId="12F10CB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4.63</w:t>
            </w:r>
          </w:p>
        </w:tc>
        <w:tc>
          <w:tcPr>
            <w:tcW w:w="465" w:type="pct"/>
            <w:hideMark/>
          </w:tcPr>
          <w:p w14:paraId="44827205"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-9.8</w:t>
            </w:r>
          </w:p>
        </w:tc>
        <w:tc>
          <w:tcPr>
            <w:tcW w:w="275" w:type="pct"/>
            <w:hideMark/>
          </w:tcPr>
          <w:p w14:paraId="5B5D0EF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40C999CB" w14:textId="77777777" w:rsidTr="00B93C9A">
        <w:trPr>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4B6FE945"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1F54DC80"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Goulburn</w:t>
            </w:r>
          </w:p>
        </w:tc>
        <w:tc>
          <w:tcPr>
            <w:tcW w:w="345" w:type="pct"/>
            <w:hideMark/>
          </w:tcPr>
          <w:p w14:paraId="159BEB9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SS6</w:t>
            </w:r>
          </w:p>
        </w:tc>
        <w:tc>
          <w:tcPr>
            <w:tcW w:w="330" w:type="pct"/>
            <w:hideMark/>
          </w:tcPr>
          <w:p w14:paraId="19A92E69"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1278</w:t>
            </w:r>
          </w:p>
        </w:tc>
        <w:tc>
          <w:tcPr>
            <w:tcW w:w="391" w:type="pct"/>
            <w:hideMark/>
          </w:tcPr>
          <w:p w14:paraId="0A663AF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1327.6</w:t>
            </w:r>
          </w:p>
        </w:tc>
        <w:tc>
          <w:tcPr>
            <w:tcW w:w="317" w:type="pct"/>
            <w:hideMark/>
          </w:tcPr>
          <w:p w14:paraId="0EF15194"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800.9</w:t>
            </w:r>
          </w:p>
        </w:tc>
        <w:tc>
          <w:tcPr>
            <w:tcW w:w="376" w:type="pct"/>
            <w:hideMark/>
          </w:tcPr>
          <w:p w14:paraId="5AD35C8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526.7</w:t>
            </w:r>
          </w:p>
        </w:tc>
        <w:tc>
          <w:tcPr>
            <w:tcW w:w="464" w:type="pct"/>
            <w:hideMark/>
          </w:tcPr>
          <w:p w14:paraId="7992797E"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598.4</w:t>
            </w:r>
          </w:p>
        </w:tc>
        <w:tc>
          <w:tcPr>
            <w:tcW w:w="464" w:type="pct"/>
            <w:hideMark/>
          </w:tcPr>
          <w:p w14:paraId="034BC2A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1125</w:t>
            </w:r>
          </w:p>
        </w:tc>
        <w:tc>
          <w:tcPr>
            <w:tcW w:w="378" w:type="pct"/>
            <w:hideMark/>
          </w:tcPr>
          <w:p w14:paraId="0C78098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1142.5</w:t>
            </w:r>
          </w:p>
        </w:tc>
        <w:tc>
          <w:tcPr>
            <w:tcW w:w="456" w:type="pct"/>
            <w:hideMark/>
          </w:tcPr>
          <w:p w14:paraId="7412D0C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17.4</w:t>
            </w:r>
          </w:p>
        </w:tc>
        <w:tc>
          <w:tcPr>
            <w:tcW w:w="465" w:type="pct"/>
            <w:hideMark/>
          </w:tcPr>
          <w:p w14:paraId="10E0EE8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-255.6</w:t>
            </w:r>
          </w:p>
        </w:tc>
        <w:tc>
          <w:tcPr>
            <w:tcW w:w="275" w:type="pct"/>
            <w:hideMark/>
          </w:tcPr>
          <w:p w14:paraId="202B863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25613639" w14:textId="77777777" w:rsidTr="00B93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111DCD1A"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3F521571"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Campaspe</w:t>
            </w:r>
          </w:p>
        </w:tc>
        <w:tc>
          <w:tcPr>
            <w:tcW w:w="345" w:type="pct"/>
            <w:hideMark/>
          </w:tcPr>
          <w:p w14:paraId="4B0D7654"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SS7</w:t>
            </w:r>
          </w:p>
        </w:tc>
        <w:tc>
          <w:tcPr>
            <w:tcW w:w="330" w:type="pct"/>
            <w:hideMark/>
          </w:tcPr>
          <w:p w14:paraId="5E814C0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111.7</w:t>
            </w:r>
          </w:p>
        </w:tc>
        <w:tc>
          <w:tcPr>
            <w:tcW w:w="391" w:type="pct"/>
            <w:hideMark/>
          </w:tcPr>
          <w:p w14:paraId="214EAEB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86.2</w:t>
            </w:r>
          </w:p>
        </w:tc>
        <w:tc>
          <w:tcPr>
            <w:tcW w:w="317" w:type="pct"/>
            <w:hideMark/>
          </w:tcPr>
          <w:p w14:paraId="62926EB6"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51.5</w:t>
            </w:r>
          </w:p>
        </w:tc>
        <w:tc>
          <w:tcPr>
            <w:tcW w:w="376" w:type="pct"/>
            <w:hideMark/>
          </w:tcPr>
          <w:p w14:paraId="26AE251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34.7</w:t>
            </w:r>
          </w:p>
        </w:tc>
        <w:tc>
          <w:tcPr>
            <w:tcW w:w="464" w:type="pct"/>
            <w:hideMark/>
          </w:tcPr>
          <w:p w14:paraId="01D1CF8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25.3</w:t>
            </w:r>
          </w:p>
        </w:tc>
        <w:tc>
          <w:tcPr>
            <w:tcW w:w="464" w:type="pct"/>
            <w:hideMark/>
          </w:tcPr>
          <w:p w14:paraId="69143926"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59.9</w:t>
            </w:r>
          </w:p>
        </w:tc>
        <w:tc>
          <w:tcPr>
            <w:tcW w:w="378" w:type="pct"/>
            <w:hideMark/>
          </w:tcPr>
          <w:p w14:paraId="47E15A5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0.66</w:t>
            </w:r>
          </w:p>
        </w:tc>
        <w:tc>
          <w:tcPr>
            <w:tcW w:w="456" w:type="pct"/>
            <w:hideMark/>
          </w:tcPr>
          <w:p w14:paraId="2B53D64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60.6</w:t>
            </w:r>
          </w:p>
        </w:tc>
        <w:tc>
          <w:tcPr>
            <w:tcW w:w="465" w:type="pct"/>
            <w:hideMark/>
          </w:tcPr>
          <w:p w14:paraId="4A4F7838"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-22.3</w:t>
            </w:r>
          </w:p>
        </w:tc>
        <w:tc>
          <w:tcPr>
            <w:tcW w:w="275" w:type="pct"/>
            <w:hideMark/>
          </w:tcPr>
          <w:p w14:paraId="65C3D8C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1218BDE4" w14:textId="77777777" w:rsidTr="00B93C9A">
        <w:trPr>
          <w:trHeight w:val="428"/>
        </w:trPr>
        <w:tc>
          <w:tcPr>
            <w:cnfStyle w:val="001000000000" w:firstRow="0" w:lastRow="0" w:firstColumn="1" w:lastColumn="0" w:oddVBand="0" w:evenVBand="0" w:oddHBand="0" w:evenHBand="0" w:firstRowFirstColumn="0" w:firstRowLastColumn="0" w:lastRowFirstColumn="0" w:lastRowLastColumn="0"/>
            <w:tcW w:w="277" w:type="pct"/>
            <w:hideMark/>
          </w:tcPr>
          <w:p w14:paraId="1D69E4F4"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0281199E"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Loddon</w:t>
            </w:r>
          </w:p>
        </w:tc>
        <w:tc>
          <w:tcPr>
            <w:tcW w:w="345" w:type="pct"/>
            <w:hideMark/>
          </w:tcPr>
          <w:p w14:paraId="2DC085F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SS8</w:t>
            </w:r>
          </w:p>
        </w:tc>
        <w:tc>
          <w:tcPr>
            <w:tcW w:w="330" w:type="pct"/>
            <w:hideMark/>
          </w:tcPr>
          <w:p w14:paraId="4DE0E83E"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127.7</w:t>
            </w:r>
          </w:p>
        </w:tc>
        <w:tc>
          <w:tcPr>
            <w:tcW w:w="391" w:type="pct"/>
            <w:hideMark/>
          </w:tcPr>
          <w:p w14:paraId="483A7F3F"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132</w:t>
            </w:r>
          </w:p>
        </w:tc>
        <w:tc>
          <w:tcPr>
            <w:tcW w:w="317" w:type="pct"/>
            <w:hideMark/>
          </w:tcPr>
          <w:p w14:paraId="07305CDF"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97.6</w:t>
            </w:r>
          </w:p>
        </w:tc>
        <w:tc>
          <w:tcPr>
            <w:tcW w:w="376" w:type="pct"/>
            <w:hideMark/>
          </w:tcPr>
          <w:p w14:paraId="6567875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34.4</w:t>
            </w:r>
          </w:p>
        </w:tc>
        <w:tc>
          <w:tcPr>
            <w:tcW w:w="464" w:type="pct"/>
            <w:hideMark/>
          </w:tcPr>
          <w:p w14:paraId="4FBFF48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37.2</w:t>
            </w:r>
          </w:p>
        </w:tc>
        <w:tc>
          <w:tcPr>
            <w:tcW w:w="464" w:type="pct"/>
            <w:hideMark/>
          </w:tcPr>
          <w:p w14:paraId="1214329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71.6</w:t>
            </w:r>
          </w:p>
        </w:tc>
        <w:tc>
          <w:tcPr>
            <w:tcW w:w="378" w:type="pct"/>
            <w:hideMark/>
          </w:tcPr>
          <w:p w14:paraId="2BE66F8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4251544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71.6</w:t>
            </w:r>
          </w:p>
        </w:tc>
        <w:tc>
          <w:tcPr>
            <w:tcW w:w="465" w:type="pct"/>
            <w:hideMark/>
          </w:tcPr>
          <w:p w14:paraId="4519FCA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-25.5</w:t>
            </w:r>
          </w:p>
        </w:tc>
        <w:tc>
          <w:tcPr>
            <w:tcW w:w="275" w:type="pct"/>
            <w:hideMark/>
          </w:tcPr>
          <w:p w14:paraId="10FE97F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2B43B6BC" w14:textId="77777777" w:rsidTr="00B93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5A39A187"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lastRenderedPageBreak/>
              <w:t>VIC</w:t>
            </w:r>
          </w:p>
        </w:tc>
        <w:tc>
          <w:tcPr>
            <w:tcW w:w="462" w:type="pct"/>
            <w:hideMark/>
          </w:tcPr>
          <w:p w14:paraId="6FF69FBE"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Wimmera-Mallee</w:t>
            </w:r>
          </w:p>
        </w:tc>
        <w:tc>
          <w:tcPr>
            <w:tcW w:w="345" w:type="pct"/>
            <w:hideMark/>
          </w:tcPr>
          <w:p w14:paraId="635B24D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SS9</w:t>
            </w:r>
          </w:p>
        </w:tc>
        <w:tc>
          <w:tcPr>
            <w:tcW w:w="330" w:type="pct"/>
            <w:hideMark/>
          </w:tcPr>
          <w:p w14:paraId="3AA1772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76.1</w:t>
            </w:r>
          </w:p>
        </w:tc>
        <w:tc>
          <w:tcPr>
            <w:tcW w:w="391" w:type="pct"/>
            <w:hideMark/>
          </w:tcPr>
          <w:p w14:paraId="5F657A65"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76.6</w:t>
            </w:r>
          </w:p>
        </w:tc>
        <w:tc>
          <w:tcPr>
            <w:tcW w:w="317" w:type="pct"/>
            <w:hideMark/>
          </w:tcPr>
          <w:p w14:paraId="5315635C"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45.5</w:t>
            </w:r>
          </w:p>
        </w:tc>
        <w:tc>
          <w:tcPr>
            <w:tcW w:w="376" w:type="pct"/>
            <w:hideMark/>
          </w:tcPr>
          <w:p w14:paraId="7691A51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31.1</w:t>
            </w:r>
          </w:p>
        </w:tc>
        <w:tc>
          <w:tcPr>
            <w:tcW w:w="464" w:type="pct"/>
            <w:hideMark/>
          </w:tcPr>
          <w:p w14:paraId="4C789B4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47.9</w:t>
            </w:r>
          </w:p>
        </w:tc>
        <w:tc>
          <w:tcPr>
            <w:tcW w:w="464" w:type="pct"/>
            <w:hideMark/>
          </w:tcPr>
          <w:p w14:paraId="49E91CB3"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78.9</w:t>
            </w:r>
          </w:p>
        </w:tc>
        <w:tc>
          <w:tcPr>
            <w:tcW w:w="378" w:type="pct"/>
            <w:hideMark/>
          </w:tcPr>
          <w:p w14:paraId="0EFEE42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63849AC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78.9</w:t>
            </w:r>
          </w:p>
        </w:tc>
        <w:tc>
          <w:tcPr>
            <w:tcW w:w="465" w:type="pct"/>
            <w:hideMark/>
          </w:tcPr>
          <w:p w14:paraId="71332EA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-15.2</w:t>
            </w:r>
          </w:p>
        </w:tc>
        <w:tc>
          <w:tcPr>
            <w:tcW w:w="275" w:type="pct"/>
            <w:hideMark/>
          </w:tcPr>
          <w:p w14:paraId="5392368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7484C7BC" w14:textId="77777777" w:rsidTr="00B93C9A">
        <w:trPr>
          <w:trHeight w:val="900"/>
        </w:trPr>
        <w:tc>
          <w:tcPr>
            <w:cnfStyle w:val="001000000000" w:firstRow="0" w:lastRow="0" w:firstColumn="1" w:lastColumn="0" w:oddVBand="0" w:evenVBand="0" w:oddHBand="0" w:evenHBand="0" w:firstRowFirstColumn="0" w:firstRowLastColumn="0" w:lastRowFirstColumn="0" w:lastRowLastColumn="0"/>
            <w:tcW w:w="277" w:type="pct"/>
            <w:hideMark/>
          </w:tcPr>
          <w:p w14:paraId="5FC61945"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SA</w:t>
            </w:r>
          </w:p>
        </w:tc>
        <w:tc>
          <w:tcPr>
            <w:tcW w:w="462" w:type="pct"/>
            <w:hideMark/>
          </w:tcPr>
          <w:p w14:paraId="4DC45723"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South Australian Murray</w:t>
            </w:r>
          </w:p>
        </w:tc>
        <w:tc>
          <w:tcPr>
            <w:tcW w:w="345" w:type="pct"/>
            <w:hideMark/>
          </w:tcPr>
          <w:p w14:paraId="004FC93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SS11</w:t>
            </w:r>
          </w:p>
        </w:tc>
        <w:tc>
          <w:tcPr>
            <w:tcW w:w="330" w:type="pct"/>
            <w:hideMark/>
          </w:tcPr>
          <w:p w14:paraId="0FE6DAE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542.06</w:t>
            </w:r>
          </w:p>
        </w:tc>
        <w:tc>
          <w:tcPr>
            <w:tcW w:w="391" w:type="pct"/>
            <w:hideMark/>
          </w:tcPr>
          <w:p w14:paraId="2667E7C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505.96</w:t>
            </w:r>
          </w:p>
        </w:tc>
        <w:tc>
          <w:tcPr>
            <w:tcW w:w="317" w:type="pct"/>
            <w:hideMark/>
          </w:tcPr>
          <w:p w14:paraId="7B334656"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478.68</w:t>
            </w:r>
          </w:p>
        </w:tc>
        <w:tc>
          <w:tcPr>
            <w:tcW w:w="376" w:type="pct"/>
            <w:hideMark/>
          </w:tcPr>
          <w:p w14:paraId="791E587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27.28</w:t>
            </w:r>
          </w:p>
        </w:tc>
        <w:tc>
          <w:tcPr>
            <w:tcW w:w="464" w:type="pct"/>
            <w:hideMark/>
          </w:tcPr>
          <w:p w14:paraId="1C358802"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17.07</w:t>
            </w:r>
          </w:p>
        </w:tc>
        <w:tc>
          <w:tcPr>
            <w:tcW w:w="464" w:type="pct"/>
            <w:hideMark/>
          </w:tcPr>
          <w:p w14:paraId="4CAF6B0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44.35</w:t>
            </w:r>
          </w:p>
        </w:tc>
        <w:tc>
          <w:tcPr>
            <w:tcW w:w="378" w:type="pct"/>
            <w:hideMark/>
          </w:tcPr>
          <w:p w14:paraId="00AA9FA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-13.6</w:t>
            </w:r>
          </w:p>
        </w:tc>
        <w:tc>
          <w:tcPr>
            <w:tcW w:w="456" w:type="pct"/>
            <w:hideMark/>
          </w:tcPr>
          <w:p w14:paraId="2CBB798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30.75</w:t>
            </w:r>
          </w:p>
        </w:tc>
        <w:tc>
          <w:tcPr>
            <w:tcW w:w="465" w:type="pct"/>
            <w:hideMark/>
          </w:tcPr>
          <w:p w14:paraId="2F32CC5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-108.41</w:t>
            </w:r>
          </w:p>
        </w:tc>
        <w:tc>
          <w:tcPr>
            <w:tcW w:w="275" w:type="pct"/>
            <w:hideMark/>
          </w:tcPr>
          <w:p w14:paraId="4AD550A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6C857446" w14:textId="77777777" w:rsidTr="00B93C9A">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77" w:type="pct"/>
            <w:hideMark/>
          </w:tcPr>
          <w:p w14:paraId="24EF7960"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SA</w:t>
            </w:r>
          </w:p>
        </w:tc>
        <w:tc>
          <w:tcPr>
            <w:tcW w:w="462" w:type="pct"/>
            <w:hideMark/>
          </w:tcPr>
          <w:p w14:paraId="121017F1"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South Australian Non-Prescribed Areas</w:t>
            </w:r>
          </w:p>
        </w:tc>
        <w:tc>
          <w:tcPr>
            <w:tcW w:w="345" w:type="pct"/>
            <w:hideMark/>
          </w:tcPr>
          <w:p w14:paraId="0E7337A5"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SS10</w:t>
            </w:r>
          </w:p>
        </w:tc>
        <w:tc>
          <w:tcPr>
            <w:tcW w:w="330" w:type="pct"/>
            <w:hideMark/>
          </w:tcPr>
          <w:p w14:paraId="752A662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55.2</w:t>
            </w:r>
          </w:p>
        </w:tc>
        <w:tc>
          <w:tcPr>
            <w:tcW w:w="391" w:type="pct"/>
            <w:hideMark/>
          </w:tcPr>
          <w:p w14:paraId="769E666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55.2</w:t>
            </w:r>
          </w:p>
        </w:tc>
        <w:tc>
          <w:tcPr>
            <w:tcW w:w="317" w:type="pct"/>
            <w:hideMark/>
          </w:tcPr>
          <w:p w14:paraId="35CC1F2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23.34</w:t>
            </w:r>
          </w:p>
        </w:tc>
        <w:tc>
          <w:tcPr>
            <w:tcW w:w="376" w:type="pct"/>
            <w:hideMark/>
          </w:tcPr>
          <w:p w14:paraId="72D477A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31.86</w:t>
            </w:r>
          </w:p>
        </w:tc>
        <w:tc>
          <w:tcPr>
            <w:tcW w:w="464" w:type="pct"/>
            <w:hideMark/>
          </w:tcPr>
          <w:p w14:paraId="5C003DD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63.72</w:t>
            </w:r>
          </w:p>
        </w:tc>
        <w:tc>
          <w:tcPr>
            <w:tcW w:w="464" w:type="pct"/>
            <w:hideMark/>
          </w:tcPr>
          <w:p w14:paraId="1051C6E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95.57</w:t>
            </w:r>
          </w:p>
        </w:tc>
        <w:tc>
          <w:tcPr>
            <w:tcW w:w="378" w:type="pct"/>
            <w:hideMark/>
          </w:tcPr>
          <w:p w14:paraId="2C48B60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7C7B2AA3"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95.57</w:t>
            </w:r>
          </w:p>
        </w:tc>
        <w:tc>
          <w:tcPr>
            <w:tcW w:w="465" w:type="pct"/>
            <w:hideMark/>
          </w:tcPr>
          <w:p w14:paraId="1C1FAD1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-11.04</w:t>
            </w:r>
          </w:p>
        </w:tc>
        <w:tc>
          <w:tcPr>
            <w:tcW w:w="275" w:type="pct"/>
            <w:hideMark/>
          </w:tcPr>
          <w:p w14:paraId="0640518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1C847C94" w14:textId="77777777" w:rsidTr="00B93C9A">
        <w:trPr>
          <w:trHeight w:val="600"/>
        </w:trPr>
        <w:tc>
          <w:tcPr>
            <w:cnfStyle w:val="001000000000" w:firstRow="0" w:lastRow="0" w:firstColumn="1" w:lastColumn="0" w:oddVBand="0" w:evenVBand="0" w:oddHBand="0" w:evenHBand="0" w:firstRowFirstColumn="0" w:firstRowLastColumn="0" w:lastRowFirstColumn="0" w:lastRowLastColumn="0"/>
            <w:tcW w:w="277" w:type="pct"/>
            <w:hideMark/>
          </w:tcPr>
          <w:p w14:paraId="56CA8A67"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SA</w:t>
            </w:r>
          </w:p>
        </w:tc>
        <w:tc>
          <w:tcPr>
            <w:tcW w:w="462" w:type="pct"/>
            <w:hideMark/>
          </w:tcPr>
          <w:p w14:paraId="332C7DB1"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Marne-Saunders</w:t>
            </w:r>
          </w:p>
        </w:tc>
        <w:tc>
          <w:tcPr>
            <w:tcW w:w="345" w:type="pct"/>
            <w:hideMark/>
          </w:tcPr>
          <w:p w14:paraId="4CDEB4D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SS12</w:t>
            </w:r>
          </w:p>
        </w:tc>
        <w:tc>
          <w:tcPr>
            <w:tcW w:w="330" w:type="pct"/>
            <w:hideMark/>
          </w:tcPr>
          <w:p w14:paraId="16CC3EC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w:t>
            </w:r>
          </w:p>
        </w:tc>
        <w:tc>
          <w:tcPr>
            <w:tcW w:w="391" w:type="pct"/>
            <w:hideMark/>
          </w:tcPr>
          <w:p w14:paraId="3491F5C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3.7</w:t>
            </w:r>
          </w:p>
        </w:tc>
        <w:tc>
          <w:tcPr>
            <w:tcW w:w="317" w:type="pct"/>
            <w:hideMark/>
          </w:tcPr>
          <w:p w14:paraId="5E8E625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2.06</w:t>
            </w:r>
          </w:p>
        </w:tc>
        <w:tc>
          <w:tcPr>
            <w:tcW w:w="376" w:type="pct"/>
            <w:hideMark/>
          </w:tcPr>
          <w:p w14:paraId="1760041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1.65</w:t>
            </w:r>
          </w:p>
        </w:tc>
        <w:tc>
          <w:tcPr>
            <w:tcW w:w="464" w:type="pct"/>
            <w:hideMark/>
          </w:tcPr>
          <w:p w14:paraId="5989C7B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1.31</w:t>
            </w:r>
          </w:p>
        </w:tc>
        <w:tc>
          <w:tcPr>
            <w:tcW w:w="464" w:type="pct"/>
            <w:hideMark/>
          </w:tcPr>
          <w:p w14:paraId="15BE82E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2.96</w:t>
            </w:r>
          </w:p>
        </w:tc>
        <w:tc>
          <w:tcPr>
            <w:tcW w:w="378" w:type="pct"/>
            <w:hideMark/>
          </w:tcPr>
          <w:p w14:paraId="48B0BB3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3F0A60DB"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2.96</w:t>
            </w:r>
          </w:p>
        </w:tc>
        <w:tc>
          <w:tcPr>
            <w:tcW w:w="465" w:type="pct"/>
            <w:hideMark/>
          </w:tcPr>
          <w:p w14:paraId="0C32766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-0.6</w:t>
            </w:r>
          </w:p>
        </w:tc>
        <w:tc>
          <w:tcPr>
            <w:tcW w:w="275" w:type="pct"/>
            <w:hideMark/>
          </w:tcPr>
          <w:p w14:paraId="06F5BDF1"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3D3AC02F" w14:textId="77777777" w:rsidTr="00B93C9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7" w:type="pct"/>
            <w:hideMark/>
          </w:tcPr>
          <w:p w14:paraId="21ABEBD2"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SA</w:t>
            </w:r>
          </w:p>
        </w:tc>
        <w:tc>
          <w:tcPr>
            <w:tcW w:w="462" w:type="pct"/>
            <w:hideMark/>
          </w:tcPr>
          <w:p w14:paraId="5B8297A7" w14:textId="77777777"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Eastern Mount Lofty Ranges</w:t>
            </w:r>
          </w:p>
        </w:tc>
        <w:tc>
          <w:tcPr>
            <w:tcW w:w="345" w:type="pct"/>
            <w:hideMark/>
          </w:tcPr>
          <w:p w14:paraId="3C00BCA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SS13</w:t>
            </w:r>
          </w:p>
        </w:tc>
        <w:tc>
          <w:tcPr>
            <w:tcW w:w="330" w:type="pct"/>
            <w:hideMark/>
          </w:tcPr>
          <w:p w14:paraId="035159F6"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28.3</w:t>
            </w:r>
          </w:p>
        </w:tc>
        <w:tc>
          <w:tcPr>
            <w:tcW w:w="391" w:type="pct"/>
            <w:hideMark/>
          </w:tcPr>
          <w:p w14:paraId="62F4F44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21.38</w:t>
            </w:r>
          </w:p>
        </w:tc>
        <w:tc>
          <w:tcPr>
            <w:tcW w:w="317" w:type="pct"/>
            <w:hideMark/>
          </w:tcPr>
          <w:p w14:paraId="6A4D282E"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12.01</w:t>
            </w:r>
          </w:p>
        </w:tc>
        <w:tc>
          <w:tcPr>
            <w:tcW w:w="376" w:type="pct"/>
            <w:hideMark/>
          </w:tcPr>
          <w:p w14:paraId="2D0B675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9.37</w:t>
            </w:r>
          </w:p>
        </w:tc>
        <w:tc>
          <w:tcPr>
            <w:tcW w:w="464" w:type="pct"/>
            <w:hideMark/>
          </w:tcPr>
          <w:p w14:paraId="2989684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24.23</w:t>
            </w:r>
          </w:p>
        </w:tc>
        <w:tc>
          <w:tcPr>
            <w:tcW w:w="464" w:type="pct"/>
            <w:hideMark/>
          </w:tcPr>
          <w:p w14:paraId="177136B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33.6</w:t>
            </w:r>
          </w:p>
        </w:tc>
        <w:tc>
          <w:tcPr>
            <w:tcW w:w="378" w:type="pct"/>
            <w:hideMark/>
          </w:tcPr>
          <w:p w14:paraId="6D4BFD2A"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0</w:t>
            </w:r>
          </w:p>
        </w:tc>
        <w:tc>
          <w:tcPr>
            <w:tcW w:w="456" w:type="pct"/>
            <w:hideMark/>
          </w:tcPr>
          <w:p w14:paraId="173C1E6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33.6</w:t>
            </w:r>
          </w:p>
        </w:tc>
        <w:tc>
          <w:tcPr>
            <w:tcW w:w="465" w:type="pct"/>
            <w:hideMark/>
          </w:tcPr>
          <w:p w14:paraId="78684AA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-5.66</w:t>
            </w:r>
          </w:p>
        </w:tc>
        <w:tc>
          <w:tcPr>
            <w:tcW w:w="275" w:type="pct"/>
            <w:hideMark/>
          </w:tcPr>
          <w:p w14:paraId="54041F8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5FAED361" w14:textId="77777777" w:rsidTr="00B93C9A">
        <w:trPr>
          <w:trHeight w:val="300"/>
        </w:trPr>
        <w:tc>
          <w:tcPr>
            <w:cnfStyle w:val="001000000000" w:firstRow="0" w:lastRow="0" w:firstColumn="1" w:lastColumn="0" w:oddVBand="0" w:evenVBand="0" w:oddHBand="0" w:evenHBand="0" w:firstRowFirstColumn="0" w:firstRowLastColumn="0" w:lastRowFirstColumn="0" w:lastRowLastColumn="0"/>
            <w:tcW w:w="277" w:type="pct"/>
            <w:hideMark/>
          </w:tcPr>
          <w:p w14:paraId="11EB96C1"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Total</w:t>
            </w:r>
          </w:p>
        </w:tc>
        <w:tc>
          <w:tcPr>
            <w:tcW w:w="462" w:type="pct"/>
            <w:hideMark/>
          </w:tcPr>
          <w:p w14:paraId="16032F20"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p>
        </w:tc>
        <w:tc>
          <w:tcPr>
            <w:tcW w:w="345" w:type="pct"/>
            <w:hideMark/>
          </w:tcPr>
          <w:p w14:paraId="13339D4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AU"/>
              </w:rPr>
            </w:pPr>
          </w:p>
        </w:tc>
        <w:tc>
          <w:tcPr>
            <w:tcW w:w="330" w:type="pct"/>
            <w:hideMark/>
          </w:tcPr>
          <w:p w14:paraId="3E250DD9" w14:textId="0B3AC6D8"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5214.</w:t>
            </w:r>
            <w:r>
              <w:rPr>
                <w:rFonts w:eastAsia="Times New Roman" w:cs="Calibri"/>
                <w:b/>
                <w:bCs/>
                <w:color w:val="000000"/>
                <w:sz w:val="18"/>
                <w:szCs w:val="18"/>
                <w:lang w:eastAsia="en-AU"/>
              </w:rPr>
              <w:t>7</w:t>
            </w:r>
          </w:p>
        </w:tc>
        <w:tc>
          <w:tcPr>
            <w:tcW w:w="391" w:type="pct"/>
            <w:hideMark/>
          </w:tcPr>
          <w:p w14:paraId="2E91170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5016.74</w:t>
            </w:r>
          </w:p>
        </w:tc>
        <w:tc>
          <w:tcPr>
            <w:tcW w:w="317" w:type="pct"/>
            <w:hideMark/>
          </w:tcPr>
          <w:p w14:paraId="0F2C1453" w14:textId="38175C14"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3447.</w:t>
            </w:r>
            <w:r>
              <w:rPr>
                <w:rFonts w:eastAsia="Times New Roman" w:cs="Calibri"/>
                <w:b/>
                <w:bCs/>
                <w:color w:val="000000"/>
                <w:sz w:val="18"/>
                <w:szCs w:val="18"/>
                <w:lang w:eastAsia="en-AU"/>
              </w:rPr>
              <w:t>8</w:t>
            </w:r>
          </w:p>
        </w:tc>
        <w:tc>
          <w:tcPr>
            <w:tcW w:w="376" w:type="pct"/>
            <w:hideMark/>
          </w:tcPr>
          <w:p w14:paraId="291465E8" w14:textId="759E4E95"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1568.</w:t>
            </w:r>
            <w:r>
              <w:rPr>
                <w:rFonts w:eastAsia="Times New Roman" w:cs="Calibri"/>
                <w:b/>
                <w:bCs/>
                <w:color w:val="000000"/>
                <w:sz w:val="18"/>
                <w:szCs w:val="18"/>
                <w:lang w:eastAsia="en-AU"/>
              </w:rPr>
              <w:t>9</w:t>
            </w:r>
          </w:p>
        </w:tc>
        <w:tc>
          <w:tcPr>
            <w:tcW w:w="464" w:type="pct"/>
            <w:hideMark/>
          </w:tcPr>
          <w:p w14:paraId="0E964023"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1921</w:t>
            </w:r>
          </w:p>
        </w:tc>
        <w:tc>
          <w:tcPr>
            <w:tcW w:w="464" w:type="pct"/>
            <w:hideMark/>
          </w:tcPr>
          <w:p w14:paraId="352743CD"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3489.55</w:t>
            </w:r>
          </w:p>
        </w:tc>
        <w:tc>
          <w:tcPr>
            <w:tcW w:w="378" w:type="pct"/>
            <w:hideMark/>
          </w:tcPr>
          <w:p w14:paraId="3E60D51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1218.9</w:t>
            </w:r>
          </w:p>
        </w:tc>
        <w:tc>
          <w:tcPr>
            <w:tcW w:w="456" w:type="pct"/>
            <w:hideMark/>
          </w:tcPr>
          <w:p w14:paraId="23DB56A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r w:rsidRPr="00070479">
              <w:rPr>
                <w:rFonts w:eastAsia="Times New Roman" w:cs="Calibri"/>
                <w:b/>
                <w:bCs/>
                <w:color w:val="000000"/>
                <w:sz w:val="18"/>
                <w:szCs w:val="18"/>
                <w:lang w:eastAsia="en-AU"/>
              </w:rPr>
              <w:t>2458.35</w:t>
            </w:r>
          </w:p>
        </w:tc>
        <w:tc>
          <w:tcPr>
            <w:tcW w:w="465" w:type="pct"/>
            <w:hideMark/>
          </w:tcPr>
          <w:p w14:paraId="30981E3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AU"/>
              </w:rPr>
            </w:pPr>
          </w:p>
        </w:tc>
        <w:tc>
          <w:tcPr>
            <w:tcW w:w="275" w:type="pct"/>
            <w:hideMark/>
          </w:tcPr>
          <w:p w14:paraId="56CBB36A"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AU"/>
              </w:rPr>
            </w:pPr>
          </w:p>
        </w:tc>
      </w:tr>
      <w:tr w:rsidR="00C51189" w:rsidRPr="009F08F1" w14:paraId="7521EA02" w14:textId="77777777" w:rsidTr="00B93C9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7" w:type="pct"/>
            <w:hideMark/>
          </w:tcPr>
          <w:p w14:paraId="50F02354"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2788275B" w14:textId="58FCCC15" w:rsidR="00C51189" w:rsidRPr="00070479" w:rsidRDefault="00C51189" w:rsidP="00B93C9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Goulburn-Broken-Campaspe-Loddon</w:t>
            </w:r>
            <w:r>
              <w:rPr>
                <w:rStyle w:val="FootnoteReference"/>
                <w:rFonts w:eastAsia="Times New Roman" w:cs="Calibri"/>
                <w:color w:val="000000"/>
                <w:sz w:val="18"/>
                <w:szCs w:val="18"/>
                <w:lang w:eastAsia="en-AU"/>
              </w:rPr>
              <w:footnoteReference w:id="6"/>
            </w:r>
          </w:p>
        </w:tc>
        <w:tc>
          <w:tcPr>
            <w:tcW w:w="345" w:type="pct"/>
            <w:hideMark/>
          </w:tcPr>
          <w:p w14:paraId="2D5A9FBB"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p>
        </w:tc>
        <w:tc>
          <w:tcPr>
            <w:tcW w:w="330" w:type="pct"/>
            <w:hideMark/>
          </w:tcPr>
          <w:p w14:paraId="08AEA254"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1566.4</w:t>
            </w:r>
          </w:p>
        </w:tc>
        <w:tc>
          <w:tcPr>
            <w:tcW w:w="391" w:type="pct"/>
            <w:hideMark/>
          </w:tcPr>
          <w:p w14:paraId="2E961861"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1588.1</w:t>
            </w:r>
          </w:p>
        </w:tc>
        <w:tc>
          <w:tcPr>
            <w:tcW w:w="317" w:type="pct"/>
            <w:hideMark/>
          </w:tcPr>
          <w:p w14:paraId="4F320CFD"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990.7</w:t>
            </w:r>
          </w:p>
        </w:tc>
        <w:tc>
          <w:tcPr>
            <w:tcW w:w="376" w:type="pct"/>
            <w:hideMark/>
          </w:tcPr>
          <w:p w14:paraId="4E29384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597.4</w:t>
            </w:r>
          </w:p>
        </w:tc>
        <w:tc>
          <w:tcPr>
            <w:tcW w:w="464" w:type="pct"/>
            <w:hideMark/>
          </w:tcPr>
          <w:p w14:paraId="1E5FD022"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664.4</w:t>
            </w:r>
          </w:p>
        </w:tc>
        <w:tc>
          <w:tcPr>
            <w:tcW w:w="464" w:type="pct"/>
            <w:hideMark/>
          </w:tcPr>
          <w:p w14:paraId="5CC07CDF"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1261.8</w:t>
            </w:r>
          </w:p>
        </w:tc>
        <w:tc>
          <w:tcPr>
            <w:tcW w:w="378" w:type="pct"/>
            <w:hideMark/>
          </w:tcPr>
          <w:p w14:paraId="5F834CA7"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17.5</w:t>
            </w:r>
          </w:p>
        </w:tc>
        <w:tc>
          <w:tcPr>
            <w:tcW w:w="456" w:type="pct"/>
            <w:hideMark/>
          </w:tcPr>
          <w:p w14:paraId="4B20941C"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1279.3</w:t>
            </w:r>
          </w:p>
        </w:tc>
        <w:tc>
          <w:tcPr>
            <w:tcW w:w="465" w:type="pct"/>
            <w:hideMark/>
          </w:tcPr>
          <w:p w14:paraId="3BDED029"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-313.3</w:t>
            </w:r>
          </w:p>
        </w:tc>
        <w:tc>
          <w:tcPr>
            <w:tcW w:w="275" w:type="pct"/>
            <w:hideMark/>
          </w:tcPr>
          <w:p w14:paraId="6DE49480" w14:textId="77777777" w:rsidR="00C51189" w:rsidRPr="00070479" w:rsidRDefault="00C51189" w:rsidP="00B93C9A">
            <w:pPr>
              <w:spacing w:before="120" w:after="12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r w:rsidR="00C51189" w:rsidRPr="009F08F1" w14:paraId="07631A5D" w14:textId="77777777" w:rsidTr="00B93C9A">
        <w:trPr>
          <w:trHeight w:val="900"/>
        </w:trPr>
        <w:tc>
          <w:tcPr>
            <w:cnfStyle w:val="001000000000" w:firstRow="0" w:lastRow="0" w:firstColumn="1" w:lastColumn="0" w:oddVBand="0" w:evenVBand="0" w:oddHBand="0" w:evenHBand="0" w:firstRowFirstColumn="0" w:firstRowLastColumn="0" w:lastRowFirstColumn="0" w:lastRowLastColumn="0"/>
            <w:tcW w:w="277" w:type="pct"/>
            <w:hideMark/>
          </w:tcPr>
          <w:p w14:paraId="311B4424" w14:textId="77777777" w:rsidR="00C51189" w:rsidRPr="00070479" w:rsidRDefault="00C51189" w:rsidP="00B93C9A">
            <w:pPr>
              <w:spacing w:before="120" w:after="120"/>
              <w:jc w:val="center"/>
              <w:rPr>
                <w:rFonts w:eastAsia="Times New Roman" w:cs="Calibri"/>
                <w:color w:val="000000"/>
                <w:sz w:val="18"/>
                <w:szCs w:val="18"/>
                <w:lang w:eastAsia="en-AU"/>
              </w:rPr>
            </w:pPr>
            <w:r w:rsidRPr="00070479">
              <w:rPr>
                <w:rFonts w:eastAsia="Times New Roman" w:cs="Calibri"/>
                <w:color w:val="000000"/>
                <w:sz w:val="18"/>
                <w:szCs w:val="18"/>
                <w:lang w:eastAsia="en-AU"/>
              </w:rPr>
              <w:t>VIC</w:t>
            </w:r>
          </w:p>
        </w:tc>
        <w:tc>
          <w:tcPr>
            <w:tcW w:w="462" w:type="pct"/>
            <w:hideMark/>
          </w:tcPr>
          <w:p w14:paraId="7E11E4D4" w14:textId="77777777" w:rsidR="00C51189" w:rsidRPr="00070479" w:rsidRDefault="00C51189" w:rsidP="00B93C9A">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Victorian Murray-Kiewa-Ovens</w:t>
            </w:r>
          </w:p>
        </w:tc>
        <w:tc>
          <w:tcPr>
            <w:tcW w:w="345" w:type="pct"/>
            <w:hideMark/>
          </w:tcPr>
          <w:p w14:paraId="0F848B5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p>
        </w:tc>
        <w:tc>
          <w:tcPr>
            <w:tcW w:w="330" w:type="pct"/>
            <w:hideMark/>
          </w:tcPr>
          <w:p w14:paraId="6AE30317"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1433.3</w:t>
            </w:r>
          </w:p>
        </w:tc>
        <w:tc>
          <w:tcPr>
            <w:tcW w:w="391" w:type="pct"/>
            <w:hideMark/>
          </w:tcPr>
          <w:p w14:paraId="21FA6BD0"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1253.5</w:t>
            </w:r>
          </w:p>
        </w:tc>
        <w:tc>
          <w:tcPr>
            <w:tcW w:w="317" w:type="pct"/>
            <w:hideMark/>
          </w:tcPr>
          <w:p w14:paraId="1F06D81E"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1002.6</w:t>
            </w:r>
          </w:p>
        </w:tc>
        <w:tc>
          <w:tcPr>
            <w:tcW w:w="376" w:type="pct"/>
            <w:hideMark/>
          </w:tcPr>
          <w:p w14:paraId="649DAA4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251</w:t>
            </w:r>
          </w:p>
        </w:tc>
        <w:tc>
          <w:tcPr>
            <w:tcW w:w="464" w:type="pct"/>
            <w:hideMark/>
          </w:tcPr>
          <w:p w14:paraId="0F9B16AE"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267.6</w:t>
            </w:r>
          </w:p>
        </w:tc>
        <w:tc>
          <w:tcPr>
            <w:tcW w:w="464" w:type="pct"/>
            <w:hideMark/>
          </w:tcPr>
          <w:p w14:paraId="4BC1C85C"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518.6</w:t>
            </w:r>
          </w:p>
        </w:tc>
        <w:tc>
          <w:tcPr>
            <w:tcW w:w="378" w:type="pct"/>
            <w:hideMark/>
          </w:tcPr>
          <w:p w14:paraId="64303F4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32.3</w:t>
            </w:r>
          </w:p>
        </w:tc>
        <w:tc>
          <w:tcPr>
            <w:tcW w:w="456" w:type="pct"/>
            <w:hideMark/>
          </w:tcPr>
          <w:p w14:paraId="29F82FB5"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550.9</w:t>
            </w:r>
          </w:p>
        </w:tc>
        <w:tc>
          <w:tcPr>
            <w:tcW w:w="465" w:type="pct"/>
            <w:hideMark/>
          </w:tcPr>
          <w:p w14:paraId="314AECF9"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-286.7</w:t>
            </w:r>
          </w:p>
        </w:tc>
        <w:tc>
          <w:tcPr>
            <w:tcW w:w="275" w:type="pct"/>
            <w:hideMark/>
          </w:tcPr>
          <w:p w14:paraId="2271EB78" w14:textId="77777777" w:rsidR="00C51189" w:rsidRPr="00070479" w:rsidRDefault="00C51189" w:rsidP="00B93C9A">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AU"/>
              </w:rPr>
            </w:pPr>
            <w:r w:rsidRPr="00070479">
              <w:rPr>
                <w:rFonts w:eastAsia="Times New Roman" w:cs="Calibri"/>
                <w:color w:val="000000"/>
                <w:sz w:val="18"/>
                <w:szCs w:val="18"/>
                <w:lang w:eastAsia="en-AU"/>
              </w:rPr>
              <w:t>No</w:t>
            </w:r>
          </w:p>
        </w:tc>
      </w:tr>
    </w:tbl>
    <w:p w14:paraId="2A01A28C" w14:textId="77777777" w:rsidR="00C51189" w:rsidRPr="00C51189" w:rsidRDefault="00C51189" w:rsidP="00C51189"/>
    <w:p w14:paraId="124C6882" w14:textId="37F895CD" w:rsidR="0014502D" w:rsidRDefault="0014502D">
      <w:pPr>
        <w:spacing w:after="0"/>
        <w:rPr>
          <w:color w:val="48555E" w:themeColor="text2"/>
          <w:szCs w:val="20"/>
        </w:rPr>
      </w:pPr>
      <w:bookmarkStart w:id="18" w:name="_Ref140834556"/>
      <w:bookmarkStart w:id="19" w:name="_Toc140834640"/>
    </w:p>
    <w:p w14:paraId="2B46574A" w14:textId="3B0A07E8" w:rsidR="00DD3EE2" w:rsidRDefault="00DD3EE2" w:rsidP="0024394F">
      <w:pPr>
        <w:pStyle w:val="Caption"/>
        <w:keepNext/>
      </w:pPr>
      <w:bookmarkStart w:id="20" w:name="_Ref170207641"/>
      <w:bookmarkEnd w:id="18"/>
      <w:bookmarkEnd w:id="19"/>
      <w:r>
        <w:t xml:space="preserve">Table </w:t>
      </w:r>
      <w:r>
        <w:fldChar w:fldCharType="begin"/>
      </w:r>
      <w:r>
        <w:instrText xml:space="preserve"> SEQ Table \* ARABIC </w:instrText>
      </w:r>
      <w:r>
        <w:fldChar w:fldCharType="separate"/>
      </w:r>
      <w:r w:rsidR="00346F31">
        <w:rPr>
          <w:noProof/>
        </w:rPr>
        <w:t>2</w:t>
      </w:r>
      <w:r>
        <w:fldChar w:fldCharType="end"/>
      </w:r>
      <w:bookmarkEnd w:id="20"/>
      <w:r>
        <w:t xml:space="preserve">: </w:t>
      </w:r>
      <w:r w:rsidRPr="00583AF0">
        <w:t>2022 - 2023 Groundwater accounts from the Registers of Take</w:t>
      </w:r>
      <w:r w:rsidR="00983D9C">
        <w:t xml:space="preserve"> (G</w:t>
      </w:r>
      <w:r w:rsidR="00316FCD">
        <w:t>iga</w:t>
      </w:r>
      <w:r w:rsidR="002278BE">
        <w:t>litres</w:t>
      </w:r>
      <w:r w:rsidR="001351F1">
        <w:t xml:space="preserve"> per year)</w:t>
      </w:r>
    </w:p>
    <w:tbl>
      <w:tblPr>
        <w:tblStyle w:val="GridTable4"/>
        <w:tblW w:w="5000" w:type="pct"/>
        <w:tblLayout w:type="fixed"/>
        <w:tblLook w:val="04A0" w:firstRow="1" w:lastRow="0" w:firstColumn="1" w:lastColumn="0" w:noHBand="0" w:noVBand="1"/>
      </w:tblPr>
      <w:tblGrid>
        <w:gridCol w:w="705"/>
        <w:gridCol w:w="1134"/>
        <w:gridCol w:w="2133"/>
        <w:gridCol w:w="701"/>
        <w:gridCol w:w="1275"/>
        <w:gridCol w:w="1417"/>
        <w:gridCol w:w="1134"/>
        <w:gridCol w:w="851"/>
        <w:gridCol w:w="1278"/>
        <w:gridCol w:w="1275"/>
        <w:gridCol w:w="707"/>
        <w:gridCol w:w="1281"/>
        <w:gridCol w:w="837"/>
      </w:tblGrid>
      <w:tr w:rsidR="006B57CA" w:rsidRPr="009469B2" w14:paraId="6F9C8256" w14:textId="77777777" w:rsidTr="005A21D5">
        <w:trPr>
          <w:cnfStyle w:val="100000000000" w:firstRow="1" w:lastRow="0" w:firstColumn="0" w:lastColumn="0" w:oddVBand="0" w:evenVBand="0" w:oddHBand="0" w:evenHBand="0" w:firstRowFirstColumn="0" w:firstRowLastColumn="0" w:lastRowFirstColumn="0" w:lastRowLastColumn="0"/>
          <w:trHeight w:val="1160"/>
          <w:tblHeader/>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6009AA4" w14:textId="77777777" w:rsidR="0049442F" w:rsidRPr="0049442F" w:rsidRDefault="0049442F" w:rsidP="00015FF4">
            <w:pPr>
              <w:spacing w:after="0"/>
              <w:jc w:val="center"/>
              <w:rPr>
                <w:rFonts w:eastAsia="Times New Roman" w:cs="Calibri"/>
                <w:color w:val="FFFFFF"/>
                <w:sz w:val="16"/>
                <w:szCs w:val="16"/>
                <w:lang w:eastAsia="en-AU"/>
              </w:rPr>
            </w:pPr>
            <w:r w:rsidRPr="0049442F">
              <w:rPr>
                <w:rFonts w:eastAsia="Times New Roman" w:cs="Calibri"/>
                <w:color w:val="FFFFFF"/>
                <w:sz w:val="16"/>
                <w:szCs w:val="16"/>
                <w:lang w:eastAsia="en-AU"/>
              </w:rPr>
              <w:t>State</w:t>
            </w:r>
          </w:p>
        </w:tc>
        <w:tc>
          <w:tcPr>
            <w:tcW w:w="385" w:type="pct"/>
            <w:vAlign w:val="center"/>
            <w:hideMark/>
          </w:tcPr>
          <w:p w14:paraId="203953F5"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SDL resource unit code</w:t>
            </w:r>
          </w:p>
        </w:tc>
        <w:tc>
          <w:tcPr>
            <w:tcW w:w="724" w:type="pct"/>
            <w:vAlign w:val="center"/>
            <w:hideMark/>
          </w:tcPr>
          <w:p w14:paraId="52569154" w14:textId="77777777" w:rsidR="0049442F" w:rsidRPr="0049442F" w:rsidRDefault="0049442F" w:rsidP="00AA295A">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SDL resource unit</w:t>
            </w:r>
          </w:p>
        </w:tc>
        <w:tc>
          <w:tcPr>
            <w:tcW w:w="238" w:type="pct"/>
            <w:vAlign w:val="center"/>
            <w:hideMark/>
          </w:tcPr>
          <w:p w14:paraId="5E122D9D" w14:textId="3C0488A5"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SDL</w:t>
            </w:r>
            <w:r w:rsidR="00834F74">
              <w:rPr>
                <w:rFonts w:eastAsia="Times New Roman" w:cs="Calibri"/>
                <w:color w:val="FFFFFF"/>
                <w:sz w:val="16"/>
                <w:szCs w:val="16"/>
                <w:lang w:eastAsia="en-AU"/>
              </w:rPr>
              <w:t xml:space="preserve"> (GL/</w:t>
            </w:r>
            <w:proofErr w:type="spellStart"/>
            <w:r w:rsidR="00834F74">
              <w:rPr>
                <w:rFonts w:eastAsia="Times New Roman" w:cs="Calibri"/>
                <w:color w:val="FFFFFF"/>
                <w:sz w:val="16"/>
                <w:szCs w:val="16"/>
                <w:lang w:eastAsia="en-AU"/>
              </w:rPr>
              <w:t>yr</w:t>
            </w:r>
            <w:proofErr w:type="spellEnd"/>
            <w:r w:rsidR="00834F74">
              <w:rPr>
                <w:rFonts w:eastAsia="Times New Roman" w:cs="Calibri"/>
                <w:color w:val="FFFFFF"/>
                <w:sz w:val="16"/>
                <w:szCs w:val="16"/>
                <w:lang w:eastAsia="en-AU"/>
              </w:rPr>
              <w:t>)</w:t>
            </w:r>
          </w:p>
        </w:tc>
        <w:tc>
          <w:tcPr>
            <w:tcW w:w="433" w:type="pct"/>
            <w:vAlign w:val="center"/>
            <w:hideMark/>
          </w:tcPr>
          <w:p w14:paraId="7A6CC1AA"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Cumulative Permitted Take at end of 2021-2022</w:t>
            </w:r>
          </w:p>
        </w:tc>
        <w:tc>
          <w:tcPr>
            <w:tcW w:w="481" w:type="pct"/>
            <w:vAlign w:val="center"/>
            <w:hideMark/>
          </w:tcPr>
          <w:p w14:paraId="394E8A99"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Cumulative Actual Take at end of 2021-2022</w:t>
            </w:r>
          </w:p>
        </w:tc>
        <w:tc>
          <w:tcPr>
            <w:tcW w:w="385" w:type="pct"/>
            <w:vAlign w:val="center"/>
            <w:hideMark/>
          </w:tcPr>
          <w:p w14:paraId="1527E288"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Annual Permitted Take</w:t>
            </w:r>
          </w:p>
        </w:tc>
        <w:tc>
          <w:tcPr>
            <w:tcW w:w="289" w:type="pct"/>
            <w:vAlign w:val="center"/>
            <w:hideMark/>
          </w:tcPr>
          <w:p w14:paraId="362A31CE"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Annual Actual Take</w:t>
            </w:r>
          </w:p>
        </w:tc>
        <w:tc>
          <w:tcPr>
            <w:tcW w:w="434" w:type="pct"/>
            <w:vAlign w:val="center"/>
            <w:hideMark/>
          </w:tcPr>
          <w:p w14:paraId="0BC580BC"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Cumulative Permitted Take end of 2022-2023</w:t>
            </w:r>
          </w:p>
        </w:tc>
        <w:tc>
          <w:tcPr>
            <w:tcW w:w="433" w:type="pct"/>
            <w:vAlign w:val="center"/>
            <w:hideMark/>
          </w:tcPr>
          <w:p w14:paraId="32E8580E"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Cumulative Actual Take end of 2022-2023</w:t>
            </w:r>
          </w:p>
        </w:tc>
        <w:tc>
          <w:tcPr>
            <w:tcW w:w="240" w:type="pct"/>
            <w:vAlign w:val="center"/>
            <w:hideMark/>
          </w:tcPr>
          <w:p w14:paraId="1686EDED"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20% of SDL</w:t>
            </w:r>
          </w:p>
        </w:tc>
        <w:tc>
          <w:tcPr>
            <w:tcW w:w="435" w:type="pct"/>
            <w:vAlign w:val="center"/>
            <w:hideMark/>
          </w:tcPr>
          <w:p w14:paraId="51625299"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SDL Compliance Threshold</w:t>
            </w:r>
          </w:p>
        </w:tc>
        <w:tc>
          <w:tcPr>
            <w:tcW w:w="284" w:type="pct"/>
            <w:vAlign w:val="center"/>
            <w:hideMark/>
          </w:tcPr>
          <w:p w14:paraId="44078595" w14:textId="77777777" w:rsidR="0049442F" w:rsidRPr="0049442F" w:rsidRDefault="0049442F" w:rsidP="00015FF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6"/>
                <w:szCs w:val="16"/>
                <w:lang w:eastAsia="en-AU"/>
              </w:rPr>
            </w:pPr>
            <w:r w:rsidRPr="0049442F">
              <w:rPr>
                <w:rFonts w:eastAsia="Times New Roman" w:cs="Calibri"/>
                <w:color w:val="FFFFFF"/>
                <w:sz w:val="16"/>
                <w:szCs w:val="16"/>
                <w:lang w:eastAsia="en-AU"/>
              </w:rPr>
              <w:t>SDL Excess (Yes/No)</w:t>
            </w:r>
          </w:p>
        </w:tc>
      </w:tr>
      <w:tr w:rsidR="001863DF" w:rsidRPr="009469B2" w14:paraId="36ED57BE"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62411BF2"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76D9F2B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GS54</w:t>
            </w:r>
          </w:p>
        </w:tc>
        <w:tc>
          <w:tcPr>
            <w:tcW w:w="724" w:type="pct"/>
            <w:noWrap/>
            <w:vAlign w:val="center"/>
            <w:hideMark/>
          </w:tcPr>
          <w:p w14:paraId="22426F71"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Queensland Border Rivers Alluvium</w:t>
            </w:r>
          </w:p>
        </w:tc>
        <w:tc>
          <w:tcPr>
            <w:tcW w:w="238" w:type="pct"/>
            <w:noWrap/>
            <w:vAlign w:val="center"/>
            <w:hideMark/>
          </w:tcPr>
          <w:p w14:paraId="69BA04CF" w14:textId="603DE06C"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w:t>
            </w:r>
            <w:r w:rsidR="00AA295A">
              <w:rPr>
                <w:rFonts w:eastAsia="Times New Roman" w:cs="Calibri"/>
                <w:color w:val="000000"/>
                <w:sz w:val="16"/>
                <w:szCs w:val="16"/>
                <w:lang w:eastAsia="en-AU"/>
              </w:rPr>
              <w:t>.0</w:t>
            </w:r>
          </w:p>
        </w:tc>
        <w:tc>
          <w:tcPr>
            <w:tcW w:w="433" w:type="pct"/>
            <w:noWrap/>
            <w:vAlign w:val="center"/>
            <w:hideMark/>
          </w:tcPr>
          <w:p w14:paraId="2057735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42</w:t>
            </w:r>
          </w:p>
        </w:tc>
        <w:tc>
          <w:tcPr>
            <w:tcW w:w="481" w:type="pct"/>
            <w:noWrap/>
            <w:vAlign w:val="center"/>
            <w:hideMark/>
          </w:tcPr>
          <w:p w14:paraId="55F0609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33.6</w:t>
            </w:r>
          </w:p>
        </w:tc>
        <w:tc>
          <w:tcPr>
            <w:tcW w:w="385" w:type="pct"/>
            <w:noWrap/>
            <w:vAlign w:val="center"/>
            <w:hideMark/>
          </w:tcPr>
          <w:p w14:paraId="01B5689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w:t>
            </w:r>
          </w:p>
        </w:tc>
        <w:tc>
          <w:tcPr>
            <w:tcW w:w="289" w:type="pct"/>
            <w:noWrap/>
            <w:vAlign w:val="center"/>
            <w:hideMark/>
          </w:tcPr>
          <w:p w14:paraId="277AB23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9.61</w:t>
            </w:r>
          </w:p>
        </w:tc>
        <w:tc>
          <w:tcPr>
            <w:tcW w:w="434" w:type="pct"/>
            <w:noWrap/>
            <w:vAlign w:val="center"/>
            <w:hideMark/>
          </w:tcPr>
          <w:p w14:paraId="2912B7E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56</w:t>
            </w:r>
          </w:p>
        </w:tc>
        <w:tc>
          <w:tcPr>
            <w:tcW w:w="433" w:type="pct"/>
            <w:noWrap/>
            <w:vAlign w:val="center"/>
            <w:hideMark/>
          </w:tcPr>
          <w:p w14:paraId="4E25E8F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43.2</w:t>
            </w:r>
          </w:p>
        </w:tc>
        <w:tc>
          <w:tcPr>
            <w:tcW w:w="240" w:type="pct"/>
            <w:noWrap/>
            <w:vAlign w:val="center"/>
            <w:hideMark/>
          </w:tcPr>
          <w:p w14:paraId="1F663F1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2.8</w:t>
            </w:r>
          </w:p>
        </w:tc>
        <w:tc>
          <w:tcPr>
            <w:tcW w:w="435" w:type="pct"/>
            <w:noWrap/>
            <w:vAlign w:val="center"/>
            <w:hideMark/>
          </w:tcPr>
          <w:p w14:paraId="308F318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58.8</w:t>
            </w:r>
          </w:p>
        </w:tc>
        <w:tc>
          <w:tcPr>
            <w:tcW w:w="284" w:type="pct"/>
            <w:noWrap/>
            <w:vAlign w:val="center"/>
            <w:hideMark/>
          </w:tcPr>
          <w:p w14:paraId="006B7ED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2FCFDF2E"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4A4BEDDD"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5DF1146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GS55</w:t>
            </w:r>
          </w:p>
        </w:tc>
        <w:tc>
          <w:tcPr>
            <w:tcW w:w="724" w:type="pct"/>
            <w:noWrap/>
            <w:vAlign w:val="center"/>
            <w:hideMark/>
          </w:tcPr>
          <w:p w14:paraId="04A9449C"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Queensland Border Rivers Fractured Rock</w:t>
            </w:r>
          </w:p>
        </w:tc>
        <w:tc>
          <w:tcPr>
            <w:tcW w:w="238" w:type="pct"/>
            <w:noWrap/>
            <w:vAlign w:val="center"/>
            <w:hideMark/>
          </w:tcPr>
          <w:p w14:paraId="6CB9D23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10.5</w:t>
            </w:r>
          </w:p>
        </w:tc>
        <w:tc>
          <w:tcPr>
            <w:tcW w:w="433" w:type="pct"/>
            <w:noWrap/>
            <w:vAlign w:val="center"/>
            <w:hideMark/>
          </w:tcPr>
          <w:p w14:paraId="2FC15A2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31.5</w:t>
            </w:r>
          </w:p>
        </w:tc>
        <w:tc>
          <w:tcPr>
            <w:tcW w:w="481" w:type="pct"/>
            <w:noWrap/>
            <w:vAlign w:val="center"/>
            <w:hideMark/>
          </w:tcPr>
          <w:p w14:paraId="27AC2E0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26.6</w:t>
            </w:r>
          </w:p>
        </w:tc>
        <w:tc>
          <w:tcPr>
            <w:tcW w:w="385" w:type="pct"/>
            <w:noWrap/>
            <w:vAlign w:val="center"/>
            <w:hideMark/>
          </w:tcPr>
          <w:p w14:paraId="136FCF8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10.5</w:t>
            </w:r>
          </w:p>
        </w:tc>
        <w:tc>
          <w:tcPr>
            <w:tcW w:w="289" w:type="pct"/>
            <w:noWrap/>
            <w:vAlign w:val="center"/>
            <w:hideMark/>
          </w:tcPr>
          <w:p w14:paraId="4378BB2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9.5</w:t>
            </w:r>
          </w:p>
        </w:tc>
        <w:tc>
          <w:tcPr>
            <w:tcW w:w="434" w:type="pct"/>
            <w:noWrap/>
            <w:vAlign w:val="center"/>
            <w:hideMark/>
          </w:tcPr>
          <w:p w14:paraId="09B12DA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42</w:t>
            </w:r>
          </w:p>
        </w:tc>
        <w:tc>
          <w:tcPr>
            <w:tcW w:w="433" w:type="pct"/>
            <w:noWrap/>
            <w:vAlign w:val="center"/>
            <w:hideMark/>
          </w:tcPr>
          <w:p w14:paraId="6D3108A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36.1</w:t>
            </w:r>
          </w:p>
        </w:tc>
        <w:tc>
          <w:tcPr>
            <w:tcW w:w="240" w:type="pct"/>
            <w:noWrap/>
            <w:vAlign w:val="center"/>
            <w:hideMark/>
          </w:tcPr>
          <w:p w14:paraId="0D25D63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2.1</w:t>
            </w:r>
          </w:p>
        </w:tc>
        <w:tc>
          <w:tcPr>
            <w:tcW w:w="435" w:type="pct"/>
            <w:noWrap/>
            <w:vAlign w:val="center"/>
            <w:hideMark/>
          </w:tcPr>
          <w:p w14:paraId="7F97FD6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44.1</w:t>
            </w:r>
          </w:p>
        </w:tc>
        <w:tc>
          <w:tcPr>
            <w:tcW w:w="284" w:type="pct"/>
            <w:noWrap/>
            <w:vAlign w:val="center"/>
            <w:hideMark/>
          </w:tcPr>
          <w:p w14:paraId="04E066A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0E965DEF"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4B1A381"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3DDA63C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GS57</w:t>
            </w:r>
          </w:p>
        </w:tc>
        <w:tc>
          <w:tcPr>
            <w:tcW w:w="724" w:type="pct"/>
            <w:noWrap/>
            <w:vAlign w:val="center"/>
            <w:hideMark/>
          </w:tcPr>
          <w:p w14:paraId="7E31BF6C"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Sediments above the Great Artesian Basin: Border Rivers-Moonie</w:t>
            </w:r>
          </w:p>
        </w:tc>
        <w:tc>
          <w:tcPr>
            <w:tcW w:w="238" w:type="pct"/>
            <w:noWrap/>
            <w:vAlign w:val="center"/>
            <w:hideMark/>
          </w:tcPr>
          <w:p w14:paraId="55898A0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46.9</w:t>
            </w:r>
          </w:p>
        </w:tc>
        <w:tc>
          <w:tcPr>
            <w:tcW w:w="433" w:type="pct"/>
            <w:noWrap/>
            <w:vAlign w:val="center"/>
            <w:hideMark/>
          </w:tcPr>
          <w:p w14:paraId="1881B2E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140.7</w:t>
            </w:r>
          </w:p>
        </w:tc>
        <w:tc>
          <w:tcPr>
            <w:tcW w:w="481" w:type="pct"/>
            <w:noWrap/>
            <w:vAlign w:val="center"/>
            <w:hideMark/>
          </w:tcPr>
          <w:p w14:paraId="42B9C2E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1.54</w:t>
            </w:r>
          </w:p>
        </w:tc>
        <w:tc>
          <w:tcPr>
            <w:tcW w:w="385" w:type="pct"/>
            <w:noWrap/>
            <w:vAlign w:val="center"/>
            <w:hideMark/>
          </w:tcPr>
          <w:p w14:paraId="6B77EAF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46.9</w:t>
            </w:r>
          </w:p>
        </w:tc>
        <w:tc>
          <w:tcPr>
            <w:tcW w:w="289" w:type="pct"/>
            <w:noWrap/>
            <w:vAlign w:val="center"/>
            <w:hideMark/>
          </w:tcPr>
          <w:p w14:paraId="727E030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0.52</w:t>
            </w:r>
          </w:p>
        </w:tc>
        <w:tc>
          <w:tcPr>
            <w:tcW w:w="434" w:type="pct"/>
            <w:noWrap/>
            <w:vAlign w:val="center"/>
            <w:hideMark/>
          </w:tcPr>
          <w:p w14:paraId="6746588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187.6</w:t>
            </w:r>
          </w:p>
        </w:tc>
        <w:tc>
          <w:tcPr>
            <w:tcW w:w="433" w:type="pct"/>
            <w:noWrap/>
            <w:vAlign w:val="center"/>
            <w:hideMark/>
          </w:tcPr>
          <w:p w14:paraId="10BF86D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2.06</w:t>
            </w:r>
          </w:p>
        </w:tc>
        <w:tc>
          <w:tcPr>
            <w:tcW w:w="240" w:type="pct"/>
            <w:noWrap/>
            <w:vAlign w:val="center"/>
            <w:hideMark/>
          </w:tcPr>
          <w:p w14:paraId="1EA5B93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9.38</w:t>
            </w:r>
          </w:p>
        </w:tc>
        <w:tc>
          <w:tcPr>
            <w:tcW w:w="435" w:type="pct"/>
            <w:noWrap/>
            <w:vAlign w:val="center"/>
            <w:hideMark/>
          </w:tcPr>
          <w:p w14:paraId="56BFEA5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197</w:t>
            </w:r>
          </w:p>
        </w:tc>
        <w:tc>
          <w:tcPr>
            <w:tcW w:w="284" w:type="pct"/>
            <w:noWrap/>
            <w:vAlign w:val="center"/>
            <w:hideMark/>
          </w:tcPr>
          <w:p w14:paraId="1B8D161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358D3217"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399E55EB"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0A52E5C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GS62</w:t>
            </w:r>
          </w:p>
        </w:tc>
        <w:tc>
          <w:tcPr>
            <w:tcW w:w="724" w:type="pct"/>
            <w:noWrap/>
            <w:vAlign w:val="center"/>
            <w:hideMark/>
          </w:tcPr>
          <w:p w14:paraId="2945A8C2"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St George Alluvium: Moonie</w:t>
            </w:r>
          </w:p>
        </w:tc>
        <w:tc>
          <w:tcPr>
            <w:tcW w:w="238" w:type="pct"/>
            <w:noWrap/>
            <w:vAlign w:val="center"/>
            <w:hideMark/>
          </w:tcPr>
          <w:p w14:paraId="7067ED6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0.69</w:t>
            </w:r>
          </w:p>
        </w:tc>
        <w:tc>
          <w:tcPr>
            <w:tcW w:w="433" w:type="pct"/>
            <w:noWrap/>
            <w:vAlign w:val="center"/>
            <w:hideMark/>
          </w:tcPr>
          <w:p w14:paraId="5E0C24F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2.07</w:t>
            </w:r>
          </w:p>
        </w:tc>
        <w:tc>
          <w:tcPr>
            <w:tcW w:w="481" w:type="pct"/>
            <w:noWrap/>
            <w:vAlign w:val="center"/>
            <w:hideMark/>
          </w:tcPr>
          <w:p w14:paraId="12F41FA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0.06</w:t>
            </w:r>
          </w:p>
        </w:tc>
        <w:tc>
          <w:tcPr>
            <w:tcW w:w="385" w:type="pct"/>
            <w:noWrap/>
            <w:vAlign w:val="center"/>
            <w:hideMark/>
          </w:tcPr>
          <w:p w14:paraId="3A70364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0.69</w:t>
            </w:r>
          </w:p>
        </w:tc>
        <w:tc>
          <w:tcPr>
            <w:tcW w:w="289" w:type="pct"/>
            <w:noWrap/>
            <w:vAlign w:val="center"/>
            <w:hideMark/>
          </w:tcPr>
          <w:p w14:paraId="7DDEC9A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0.02</w:t>
            </w:r>
          </w:p>
        </w:tc>
        <w:tc>
          <w:tcPr>
            <w:tcW w:w="434" w:type="pct"/>
            <w:noWrap/>
            <w:vAlign w:val="center"/>
            <w:hideMark/>
          </w:tcPr>
          <w:p w14:paraId="66EB350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2.76</w:t>
            </w:r>
          </w:p>
        </w:tc>
        <w:tc>
          <w:tcPr>
            <w:tcW w:w="433" w:type="pct"/>
            <w:noWrap/>
            <w:vAlign w:val="center"/>
            <w:hideMark/>
          </w:tcPr>
          <w:p w14:paraId="685D54A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0.08</w:t>
            </w:r>
          </w:p>
        </w:tc>
        <w:tc>
          <w:tcPr>
            <w:tcW w:w="240" w:type="pct"/>
            <w:noWrap/>
            <w:vAlign w:val="center"/>
            <w:hideMark/>
          </w:tcPr>
          <w:p w14:paraId="5F8697F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0.14</w:t>
            </w:r>
          </w:p>
        </w:tc>
        <w:tc>
          <w:tcPr>
            <w:tcW w:w="435" w:type="pct"/>
            <w:noWrap/>
            <w:vAlign w:val="center"/>
            <w:hideMark/>
          </w:tcPr>
          <w:p w14:paraId="497FAE4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2.9</w:t>
            </w:r>
          </w:p>
        </w:tc>
        <w:tc>
          <w:tcPr>
            <w:tcW w:w="284" w:type="pct"/>
            <w:noWrap/>
            <w:vAlign w:val="center"/>
            <w:hideMark/>
          </w:tcPr>
          <w:p w14:paraId="424D965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62239CDC"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04C775D3"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72FFCE7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GS53</w:t>
            </w:r>
          </w:p>
        </w:tc>
        <w:tc>
          <w:tcPr>
            <w:tcW w:w="724" w:type="pct"/>
            <w:noWrap/>
            <w:vAlign w:val="center"/>
            <w:hideMark/>
          </w:tcPr>
          <w:p w14:paraId="5AA132AD"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Condamine Fractured Rock</w:t>
            </w:r>
          </w:p>
        </w:tc>
        <w:tc>
          <w:tcPr>
            <w:tcW w:w="238" w:type="pct"/>
            <w:noWrap/>
            <w:vAlign w:val="center"/>
            <w:hideMark/>
          </w:tcPr>
          <w:p w14:paraId="7522098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1.48</w:t>
            </w:r>
          </w:p>
        </w:tc>
        <w:tc>
          <w:tcPr>
            <w:tcW w:w="433" w:type="pct"/>
            <w:noWrap/>
            <w:vAlign w:val="center"/>
            <w:hideMark/>
          </w:tcPr>
          <w:p w14:paraId="35D5B6A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4.44</w:t>
            </w:r>
          </w:p>
        </w:tc>
        <w:tc>
          <w:tcPr>
            <w:tcW w:w="481" w:type="pct"/>
            <w:noWrap/>
            <w:vAlign w:val="center"/>
            <w:hideMark/>
          </w:tcPr>
          <w:p w14:paraId="62CDCAE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1.96</w:t>
            </w:r>
          </w:p>
        </w:tc>
        <w:tc>
          <w:tcPr>
            <w:tcW w:w="385" w:type="pct"/>
            <w:noWrap/>
            <w:vAlign w:val="center"/>
            <w:hideMark/>
          </w:tcPr>
          <w:p w14:paraId="0BEE321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1.48</w:t>
            </w:r>
          </w:p>
        </w:tc>
        <w:tc>
          <w:tcPr>
            <w:tcW w:w="289" w:type="pct"/>
            <w:noWrap/>
            <w:vAlign w:val="center"/>
            <w:hideMark/>
          </w:tcPr>
          <w:p w14:paraId="4C04C0A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0.76</w:t>
            </w:r>
          </w:p>
        </w:tc>
        <w:tc>
          <w:tcPr>
            <w:tcW w:w="434" w:type="pct"/>
            <w:noWrap/>
            <w:vAlign w:val="center"/>
            <w:hideMark/>
          </w:tcPr>
          <w:p w14:paraId="6D606D4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5.92</w:t>
            </w:r>
          </w:p>
        </w:tc>
        <w:tc>
          <w:tcPr>
            <w:tcW w:w="433" w:type="pct"/>
            <w:noWrap/>
            <w:vAlign w:val="center"/>
            <w:hideMark/>
          </w:tcPr>
          <w:p w14:paraId="274D6B7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2.72</w:t>
            </w:r>
          </w:p>
        </w:tc>
        <w:tc>
          <w:tcPr>
            <w:tcW w:w="240" w:type="pct"/>
            <w:noWrap/>
            <w:vAlign w:val="center"/>
            <w:hideMark/>
          </w:tcPr>
          <w:p w14:paraId="6020043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0.3</w:t>
            </w:r>
          </w:p>
        </w:tc>
        <w:tc>
          <w:tcPr>
            <w:tcW w:w="435" w:type="pct"/>
            <w:noWrap/>
            <w:vAlign w:val="center"/>
            <w:hideMark/>
          </w:tcPr>
          <w:p w14:paraId="474E082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6.22</w:t>
            </w:r>
          </w:p>
        </w:tc>
        <w:tc>
          <w:tcPr>
            <w:tcW w:w="284" w:type="pct"/>
            <w:noWrap/>
            <w:vAlign w:val="center"/>
            <w:hideMark/>
          </w:tcPr>
          <w:p w14:paraId="179C4C3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333996E2"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0B459272"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070FCFD2"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GS56</w:t>
            </w:r>
          </w:p>
        </w:tc>
        <w:tc>
          <w:tcPr>
            <w:tcW w:w="724" w:type="pct"/>
            <w:noWrap/>
            <w:vAlign w:val="center"/>
            <w:hideMark/>
          </w:tcPr>
          <w:p w14:paraId="04A46BCE"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Queensland MDB: deep</w:t>
            </w:r>
          </w:p>
        </w:tc>
        <w:tc>
          <w:tcPr>
            <w:tcW w:w="238" w:type="pct"/>
            <w:noWrap/>
            <w:vAlign w:val="center"/>
            <w:hideMark/>
          </w:tcPr>
          <w:p w14:paraId="32C88060" w14:textId="2550D3C5"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100</w:t>
            </w:r>
            <w:r w:rsidR="00AA295A">
              <w:rPr>
                <w:rFonts w:eastAsia="Times New Roman" w:cs="Calibri"/>
                <w:color w:val="000000"/>
                <w:sz w:val="16"/>
                <w:szCs w:val="16"/>
                <w:lang w:eastAsia="en-AU"/>
              </w:rPr>
              <w:t>.0</w:t>
            </w:r>
          </w:p>
        </w:tc>
        <w:tc>
          <w:tcPr>
            <w:tcW w:w="433" w:type="pct"/>
            <w:noWrap/>
            <w:vAlign w:val="center"/>
            <w:hideMark/>
          </w:tcPr>
          <w:p w14:paraId="50F1A1B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300</w:t>
            </w:r>
          </w:p>
        </w:tc>
        <w:tc>
          <w:tcPr>
            <w:tcW w:w="481" w:type="pct"/>
            <w:noWrap/>
            <w:vAlign w:val="center"/>
            <w:hideMark/>
          </w:tcPr>
          <w:p w14:paraId="60D6B8B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385" w:type="pct"/>
            <w:noWrap/>
            <w:vAlign w:val="center"/>
            <w:hideMark/>
          </w:tcPr>
          <w:p w14:paraId="2878EAE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100</w:t>
            </w:r>
          </w:p>
        </w:tc>
        <w:tc>
          <w:tcPr>
            <w:tcW w:w="289" w:type="pct"/>
            <w:noWrap/>
            <w:vAlign w:val="center"/>
            <w:hideMark/>
          </w:tcPr>
          <w:p w14:paraId="41D91A2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434" w:type="pct"/>
            <w:noWrap/>
            <w:vAlign w:val="center"/>
            <w:hideMark/>
          </w:tcPr>
          <w:p w14:paraId="40CE244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400</w:t>
            </w:r>
          </w:p>
        </w:tc>
        <w:tc>
          <w:tcPr>
            <w:tcW w:w="433" w:type="pct"/>
            <w:noWrap/>
            <w:vAlign w:val="center"/>
            <w:hideMark/>
          </w:tcPr>
          <w:p w14:paraId="3F51F81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240" w:type="pct"/>
            <w:noWrap/>
            <w:vAlign w:val="center"/>
            <w:hideMark/>
          </w:tcPr>
          <w:p w14:paraId="46A7EE8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w:t>
            </w:r>
          </w:p>
        </w:tc>
        <w:tc>
          <w:tcPr>
            <w:tcW w:w="435" w:type="pct"/>
            <w:noWrap/>
            <w:vAlign w:val="center"/>
            <w:hideMark/>
          </w:tcPr>
          <w:p w14:paraId="3375F51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420</w:t>
            </w:r>
          </w:p>
        </w:tc>
        <w:tc>
          <w:tcPr>
            <w:tcW w:w="284" w:type="pct"/>
            <w:noWrap/>
            <w:vAlign w:val="center"/>
            <w:hideMark/>
          </w:tcPr>
          <w:p w14:paraId="4F48B44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41104645"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435E3CAF"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114AE49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GS58</w:t>
            </w:r>
          </w:p>
        </w:tc>
        <w:tc>
          <w:tcPr>
            <w:tcW w:w="724" w:type="pct"/>
            <w:noWrap/>
            <w:vAlign w:val="center"/>
            <w:hideMark/>
          </w:tcPr>
          <w:p w14:paraId="01300E43"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Sediments above the Great Artesian Basin: Condamine–Balonne</w:t>
            </w:r>
          </w:p>
        </w:tc>
        <w:tc>
          <w:tcPr>
            <w:tcW w:w="238" w:type="pct"/>
            <w:noWrap/>
            <w:vAlign w:val="center"/>
            <w:hideMark/>
          </w:tcPr>
          <w:p w14:paraId="2B9FC38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18.1</w:t>
            </w:r>
          </w:p>
        </w:tc>
        <w:tc>
          <w:tcPr>
            <w:tcW w:w="433" w:type="pct"/>
            <w:noWrap/>
            <w:vAlign w:val="center"/>
            <w:hideMark/>
          </w:tcPr>
          <w:p w14:paraId="2B1E06A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54.3</w:t>
            </w:r>
          </w:p>
        </w:tc>
        <w:tc>
          <w:tcPr>
            <w:tcW w:w="481" w:type="pct"/>
            <w:noWrap/>
            <w:vAlign w:val="center"/>
            <w:hideMark/>
          </w:tcPr>
          <w:p w14:paraId="39F2723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1.33</w:t>
            </w:r>
          </w:p>
        </w:tc>
        <w:tc>
          <w:tcPr>
            <w:tcW w:w="385" w:type="pct"/>
            <w:noWrap/>
            <w:vAlign w:val="center"/>
            <w:hideMark/>
          </w:tcPr>
          <w:p w14:paraId="2513E6D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18.1</w:t>
            </w:r>
          </w:p>
        </w:tc>
        <w:tc>
          <w:tcPr>
            <w:tcW w:w="289" w:type="pct"/>
            <w:noWrap/>
            <w:vAlign w:val="center"/>
            <w:hideMark/>
          </w:tcPr>
          <w:p w14:paraId="078B428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0.49</w:t>
            </w:r>
          </w:p>
        </w:tc>
        <w:tc>
          <w:tcPr>
            <w:tcW w:w="434" w:type="pct"/>
            <w:noWrap/>
            <w:vAlign w:val="center"/>
            <w:hideMark/>
          </w:tcPr>
          <w:p w14:paraId="048359D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72.4</w:t>
            </w:r>
          </w:p>
        </w:tc>
        <w:tc>
          <w:tcPr>
            <w:tcW w:w="433" w:type="pct"/>
            <w:noWrap/>
            <w:vAlign w:val="center"/>
            <w:hideMark/>
          </w:tcPr>
          <w:p w14:paraId="3E1AFE3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1.82</w:t>
            </w:r>
          </w:p>
        </w:tc>
        <w:tc>
          <w:tcPr>
            <w:tcW w:w="240" w:type="pct"/>
            <w:noWrap/>
            <w:vAlign w:val="center"/>
            <w:hideMark/>
          </w:tcPr>
          <w:p w14:paraId="2C97BE7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3.62</w:t>
            </w:r>
          </w:p>
        </w:tc>
        <w:tc>
          <w:tcPr>
            <w:tcW w:w="435" w:type="pct"/>
            <w:noWrap/>
            <w:vAlign w:val="center"/>
            <w:hideMark/>
          </w:tcPr>
          <w:p w14:paraId="54732C2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76</w:t>
            </w:r>
          </w:p>
        </w:tc>
        <w:tc>
          <w:tcPr>
            <w:tcW w:w="284" w:type="pct"/>
            <w:noWrap/>
            <w:vAlign w:val="center"/>
            <w:hideMark/>
          </w:tcPr>
          <w:p w14:paraId="6170D7B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474F5808"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2864A726"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386D2DB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GS61a</w:t>
            </w:r>
          </w:p>
        </w:tc>
        <w:tc>
          <w:tcPr>
            <w:tcW w:w="724" w:type="pct"/>
            <w:noWrap/>
            <w:vAlign w:val="center"/>
            <w:hideMark/>
          </w:tcPr>
          <w:p w14:paraId="4F801901"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St George Alluvium: Condamine–Balonne (shallow)</w:t>
            </w:r>
          </w:p>
        </w:tc>
        <w:tc>
          <w:tcPr>
            <w:tcW w:w="238" w:type="pct"/>
            <w:noWrap/>
            <w:vAlign w:val="center"/>
            <w:hideMark/>
          </w:tcPr>
          <w:p w14:paraId="004C0C7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27.7</w:t>
            </w:r>
          </w:p>
        </w:tc>
        <w:tc>
          <w:tcPr>
            <w:tcW w:w="433" w:type="pct"/>
            <w:noWrap/>
            <w:vAlign w:val="center"/>
            <w:hideMark/>
          </w:tcPr>
          <w:p w14:paraId="0085ECB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83.1</w:t>
            </w:r>
          </w:p>
        </w:tc>
        <w:tc>
          <w:tcPr>
            <w:tcW w:w="481" w:type="pct"/>
            <w:noWrap/>
            <w:vAlign w:val="center"/>
            <w:hideMark/>
          </w:tcPr>
          <w:p w14:paraId="2CD6317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1.22</w:t>
            </w:r>
          </w:p>
        </w:tc>
        <w:tc>
          <w:tcPr>
            <w:tcW w:w="385" w:type="pct"/>
            <w:noWrap/>
            <w:vAlign w:val="center"/>
            <w:hideMark/>
          </w:tcPr>
          <w:p w14:paraId="3035AC4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27.7</w:t>
            </w:r>
          </w:p>
        </w:tc>
        <w:tc>
          <w:tcPr>
            <w:tcW w:w="289" w:type="pct"/>
            <w:noWrap/>
            <w:vAlign w:val="center"/>
            <w:hideMark/>
          </w:tcPr>
          <w:p w14:paraId="161E84A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0.34</w:t>
            </w:r>
          </w:p>
        </w:tc>
        <w:tc>
          <w:tcPr>
            <w:tcW w:w="434" w:type="pct"/>
            <w:noWrap/>
            <w:vAlign w:val="center"/>
            <w:hideMark/>
          </w:tcPr>
          <w:p w14:paraId="2BD4776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110.8</w:t>
            </w:r>
          </w:p>
        </w:tc>
        <w:tc>
          <w:tcPr>
            <w:tcW w:w="433" w:type="pct"/>
            <w:noWrap/>
            <w:vAlign w:val="center"/>
            <w:hideMark/>
          </w:tcPr>
          <w:p w14:paraId="10F577B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1.56</w:t>
            </w:r>
          </w:p>
        </w:tc>
        <w:tc>
          <w:tcPr>
            <w:tcW w:w="240" w:type="pct"/>
            <w:noWrap/>
            <w:vAlign w:val="center"/>
            <w:hideMark/>
          </w:tcPr>
          <w:p w14:paraId="33FF9F3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5.54</w:t>
            </w:r>
          </w:p>
        </w:tc>
        <w:tc>
          <w:tcPr>
            <w:tcW w:w="435" w:type="pct"/>
            <w:noWrap/>
            <w:vAlign w:val="center"/>
            <w:hideMark/>
          </w:tcPr>
          <w:p w14:paraId="708D0AF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116.3</w:t>
            </w:r>
          </w:p>
        </w:tc>
        <w:tc>
          <w:tcPr>
            <w:tcW w:w="284" w:type="pct"/>
            <w:noWrap/>
            <w:vAlign w:val="center"/>
            <w:hideMark/>
          </w:tcPr>
          <w:p w14:paraId="6DEA0F0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55E891BB"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49F118AD"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414C82A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GS61b</w:t>
            </w:r>
          </w:p>
        </w:tc>
        <w:tc>
          <w:tcPr>
            <w:tcW w:w="724" w:type="pct"/>
            <w:noWrap/>
            <w:vAlign w:val="center"/>
            <w:hideMark/>
          </w:tcPr>
          <w:p w14:paraId="2F3D50C2"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St George Alluvium: Condamine–Balonne (deep)</w:t>
            </w:r>
          </w:p>
        </w:tc>
        <w:tc>
          <w:tcPr>
            <w:tcW w:w="238" w:type="pct"/>
            <w:noWrap/>
            <w:vAlign w:val="center"/>
            <w:hideMark/>
          </w:tcPr>
          <w:p w14:paraId="5E4FE14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12.6</w:t>
            </w:r>
          </w:p>
        </w:tc>
        <w:tc>
          <w:tcPr>
            <w:tcW w:w="433" w:type="pct"/>
            <w:noWrap/>
            <w:vAlign w:val="center"/>
            <w:hideMark/>
          </w:tcPr>
          <w:p w14:paraId="3981CFC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37.8</w:t>
            </w:r>
          </w:p>
        </w:tc>
        <w:tc>
          <w:tcPr>
            <w:tcW w:w="481" w:type="pct"/>
            <w:noWrap/>
            <w:vAlign w:val="center"/>
            <w:hideMark/>
          </w:tcPr>
          <w:p w14:paraId="440D22F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34.9</w:t>
            </w:r>
          </w:p>
        </w:tc>
        <w:tc>
          <w:tcPr>
            <w:tcW w:w="385" w:type="pct"/>
            <w:noWrap/>
            <w:vAlign w:val="center"/>
            <w:hideMark/>
          </w:tcPr>
          <w:p w14:paraId="470257F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12.6</w:t>
            </w:r>
          </w:p>
        </w:tc>
        <w:tc>
          <w:tcPr>
            <w:tcW w:w="289" w:type="pct"/>
            <w:noWrap/>
            <w:vAlign w:val="center"/>
            <w:hideMark/>
          </w:tcPr>
          <w:p w14:paraId="3FF62F9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11.7</w:t>
            </w:r>
          </w:p>
        </w:tc>
        <w:tc>
          <w:tcPr>
            <w:tcW w:w="434" w:type="pct"/>
            <w:noWrap/>
            <w:vAlign w:val="center"/>
            <w:hideMark/>
          </w:tcPr>
          <w:p w14:paraId="628DAEC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50.4</w:t>
            </w:r>
          </w:p>
        </w:tc>
        <w:tc>
          <w:tcPr>
            <w:tcW w:w="433" w:type="pct"/>
            <w:noWrap/>
            <w:vAlign w:val="center"/>
            <w:hideMark/>
          </w:tcPr>
          <w:p w14:paraId="7076846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46.6</w:t>
            </w:r>
          </w:p>
        </w:tc>
        <w:tc>
          <w:tcPr>
            <w:tcW w:w="240" w:type="pct"/>
            <w:noWrap/>
            <w:vAlign w:val="center"/>
            <w:hideMark/>
          </w:tcPr>
          <w:p w14:paraId="0DC205D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2.52</w:t>
            </w:r>
          </w:p>
        </w:tc>
        <w:tc>
          <w:tcPr>
            <w:tcW w:w="435" w:type="pct"/>
            <w:noWrap/>
            <w:vAlign w:val="center"/>
            <w:hideMark/>
          </w:tcPr>
          <w:p w14:paraId="6765BE6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52.9</w:t>
            </w:r>
          </w:p>
        </w:tc>
        <w:tc>
          <w:tcPr>
            <w:tcW w:w="284" w:type="pct"/>
            <w:noWrap/>
            <w:vAlign w:val="center"/>
            <w:hideMark/>
          </w:tcPr>
          <w:p w14:paraId="4547287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561D5C12"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62BA2BA"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630E93B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GS64a</w:t>
            </w:r>
          </w:p>
        </w:tc>
        <w:tc>
          <w:tcPr>
            <w:tcW w:w="724" w:type="pct"/>
            <w:noWrap/>
            <w:vAlign w:val="center"/>
            <w:hideMark/>
          </w:tcPr>
          <w:p w14:paraId="4145744D"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Upper Condamine Alluvium (Central Condamine Alluvium)</w:t>
            </w:r>
          </w:p>
        </w:tc>
        <w:tc>
          <w:tcPr>
            <w:tcW w:w="238" w:type="pct"/>
            <w:noWrap/>
            <w:vAlign w:val="center"/>
            <w:hideMark/>
          </w:tcPr>
          <w:p w14:paraId="208B76E1" w14:textId="28397C91"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46</w:t>
            </w:r>
            <w:r w:rsidR="00AA295A">
              <w:rPr>
                <w:rFonts w:eastAsia="Times New Roman" w:cs="Calibri"/>
                <w:color w:val="000000"/>
                <w:sz w:val="16"/>
                <w:szCs w:val="16"/>
                <w:lang w:eastAsia="en-AU"/>
              </w:rPr>
              <w:t>.0</w:t>
            </w:r>
          </w:p>
        </w:tc>
        <w:tc>
          <w:tcPr>
            <w:tcW w:w="433" w:type="pct"/>
            <w:noWrap/>
            <w:vAlign w:val="center"/>
            <w:hideMark/>
          </w:tcPr>
          <w:p w14:paraId="215C657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138</w:t>
            </w:r>
          </w:p>
        </w:tc>
        <w:tc>
          <w:tcPr>
            <w:tcW w:w="481" w:type="pct"/>
            <w:noWrap/>
            <w:vAlign w:val="center"/>
            <w:hideMark/>
          </w:tcPr>
          <w:p w14:paraId="70AD43E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111.6</w:t>
            </w:r>
          </w:p>
        </w:tc>
        <w:tc>
          <w:tcPr>
            <w:tcW w:w="385" w:type="pct"/>
            <w:noWrap/>
            <w:vAlign w:val="center"/>
            <w:hideMark/>
          </w:tcPr>
          <w:p w14:paraId="421294D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46</w:t>
            </w:r>
          </w:p>
        </w:tc>
        <w:tc>
          <w:tcPr>
            <w:tcW w:w="289" w:type="pct"/>
            <w:noWrap/>
            <w:vAlign w:val="center"/>
            <w:hideMark/>
          </w:tcPr>
          <w:p w14:paraId="5DE4BE4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33.9</w:t>
            </w:r>
          </w:p>
        </w:tc>
        <w:tc>
          <w:tcPr>
            <w:tcW w:w="434" w:type="pct"/>
            <w:noWrap/>
            <w:vAlign w:val="center"/>
            <w:hideMark/>
          </w:tcPr>
          <w:p w14:paraId="2B641F7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184</w:t>
            </w:r>
          </w:p>
        </w:tc>
        <w:tc>
          <w:tcPr>
            <w:tcW w:w="433" w:type="pct"/>
            <w:noWrap/>
            <w:vAlign w:val="center"/>
            <w:hideMark/>
          </w:tcPr>
          <w:p w14:paraId="3B177C6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145.5</w:t>
            </w:r>
          </w:p>
        </w:tc>
        <w:tc>
          <w:tcPr>
            <w:tcW w:w="240" w:type="pct"/>
            <w:noWrap/>
            <w:vAlign w:val="center"/>
            <w:hideMark/>
          </w:tcPr>
          <w:p w14:paraId="0F0D794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9.2</w:t>
            </w:r>
          </w:p>
        </w:tc>
        <w:tc>
          <w:tcPr>
            <w:tcW w:w="435" w:type="pct"/>
            <w:noWrap/>
            <w:vAlign w:val="center"/>
            <w:hideMark/>
          </w:tcPr>
          <w:p w14:paraId="12F17EA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194.4</w:t>
            </w:r>
          </w:p>
        </w:tc>
        <w:tc>
          <w:tcPr>
            <w:tcW w:w="284" w:type="pct"/>
            <w:noWrap/>
            <w:vAlign w:val="center"/>
            <w:hideMark/>
          </w:tcPr>
          <w:p w14:paraId="5595279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2DE12332"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3F61F48F"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2BEFD98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GS64b</w:t>
            </w:r>
          </w:p>
        </w:tc>
        <w:tc>
          <w:tcPr>
            <w:tcW w:w="724" w:type="pct"/>
            <w:noWrap/>
            <w:vAlign w:val="center"/>
            <w:hideMark/>
          </w:tcPr>
          <w:p w14:paraId="2B78159D"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Upper Condamine Alluvium (Tributaries)</w:t>
            </w:r>
          </w:p>
        </w:tc>
        <w:tc>
          <w:tcPr>
            <w:tcW w:w="238" w:type="pct"/>
            <w:noWrap/>
            <w:vAlign w:val="center"/>
            <w:hideMark/>
          </w:tcPr>
          <w:p w14:paraId="38E1E32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40.5</w:t>
            </w:r>
          </w:p>
        </w:tc>
        <w:tc>
          <w:tcPr>
            <w:tcW w:w="433" w:type="pct"/>
            <w:noWrap/>
            <w:vAlign w:val="center"/>
            <w:hideMark/>
          </w:tcPr>
          <w:p w14:paraId="4CD4351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121.5</w:t>
            </w:r>
          </w:p>
        </w:tc>
        <w:tc>
          <w:tcPr>
            <w:tcW w:w="481" w:type="pct"/>
            <w:noWrap/>
            <w:vAlign w:val="center"/>
            <w:hideMark/>
          </w:tcPr>
          <w:p w14:paraId="0404CE9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80.4</w:t>
            </w:r>
          </w:p>
        </w:tc>
        <w:tc>
          <w:tcPr>
            <w:tcW w:w="385" w:type="pct"/>
            <w:noWrap/>
            <w:vAlign w:val="center"/>
            <w:hideMark/>
          </w:tcPr>
          <w:p w14:paraId="4775D1D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40.5</w:t>
            </w:r>
          </w:p>
        </w:tc>
        <w:tc>
          <w:tcPr>
            <w:tcW w:w="289" w:type="pct"/>
            <w:noWrap/>
            <w:vAlign w:val="center"/>
            <w:hideMark/>
          </w:tcPr>
          <w:p w14:paraId="0E00094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29.9</w:t>
            </w:r>
          </w:p>
        </w:tc>
        <w:tc>
          <w:tcPr>
            <w:tcW w:w="434" w:type="pct"/>
            <w:noWrap/>
            <w:vAlign w:val="center"/>
            <w:hideMark/>
          </w:tcPr>
          <w:p w14:paraId="327109B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162</w:t>
            </w:r>
          </w:p>
        </w:tc>
        <w:tc>
          <w:tcPr>
            <w:tcW w:w="433" w:type="pct"/>
            <w:noWrap/>
            <w:vAlign w:val="center"/>
            <w:hideMark/>
          </w:tcPr>
          <w:p w14:paraId="358F77C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110.4</w:t>
            </w:r>
          </w:p>
        </w:tc>
        <w:tc>
          <w:tcPr>
            <w:tcW w:w="240" w:type="pct"/>
            <w:noWrap/>
            <w:vAlign w:val="center"/>
            <w:hideMark/>
          </w:tcPr>
          <w:p w14:paraId="5BF3824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8.1</w:t>
            </w:r>
          </w:p>
        </w:tc>
        <w:tc>
          <w:tcPr>
            <w:tcW w:w="435" w:type="pct"/>
            <w:noWrap/>
            <w:vAlign w:val="center"/>
            <w:hideMark/>
          </w:tcPr>
          <w:p w14:paraId="27DAE93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179</w:t>
            </w:r>
          </w:p>
        </w:tc>
        <w:tc>
          <w:tcPr>
            <w:tcW w:w="284" w:type="pct"/>
            <w:noWrap/>
            <w:vAlign w:val="center"/>
            <w:hideMark/>
          </w:tcPr>
          <w:p w14:paraId="1430C42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316B3E75"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310FFCA6"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4D5C2AB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GS65</w:t>
            </w:r>
          </w:p>
        </w:tc>
        <w:tc>
          <w:tcPr>
            <w:tcW w:w="724" w:type="pct"/>
            <w:noWrap/>
            <w:vAlign w:val="center"/>
            <w:hideMark/>
          </w:tcPr>
          <w:p w14:paraId="63DFBA72"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Upper Condamine Basalts</w:t>
            </w:r>
          </w:p>
        </w:tc>
        <w:tc>
          <w:tcPr>
            <w:tcW w:w="238" w:type="pct"/>
            <w:noWrap/>
            <w:vAlign w:val="center"/>
            <w:hideMark/>
          </w:tcPr>
          <w:p w14:paraId="19008CF2" w14:textId="21BE607B"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79</w:t>
            </w:r>
            <w:r w:rsidR="00AA295A">
              <w:rPr>
                <w:rFonts w:eastAsia="Times New Roman" w:cs="Calibri"/>
                <w:color w:val="000000"/>
                <w:sz w:val="16"/>
                <w:szCs w:val="16"/>
                <w:lang w:eastAsia="en-AU"/>
              </w:rPr>
              <w:t>.0</w:t>
            </w:r>
          </w:p>
        </w:tc>
        <w:tc>
          <w:tcPr>
            <w:tcW w:w="433" w:type="pct"/>
            <w:noWrap/>
            <w:vAlign w:val="center"/>
            <w:hideMark/>
          </w:tcPr>
          <w:p w14:paraId="452BD81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237</w:t>
            </w:r>
          </w:p>
        </w:tc>
        <w:tc>
          <w:tcPr>
            <w:tcW w:w="481" w:type="pct"/>
            <w:noWrap/>
            <w:vAlign w:val="center"/>
            <w:hideMark/>
          </w:tcPr>
          <w:p w14:paraId="3E0E8CD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146.5</w:t>
            </w:r>
          </w:p>
        </w:tc>
        <w:tc>
          <w:tcPr>
            <w:tcW w:w="385" w:type="pct"/>
            <w:noWrap/>
            <w:vAlign w:val="center"/>
            <w:hideMark/>
          </w:tcPr>
          <w:p w14:paraId="4F3E698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79</w:t>
            </w:r>
          </w:p>
        </w:tc>
        <w:tc>
          <w:tcPr>
            <w:tcW w:w="289" w:type="pct"/>
            <w:noWrap/>
            <w:vAlign w:val="center"/>
            <w:hideMark/>
          </w:tcPr>
          <w:p w14:paraId="2862395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67</w:t>
            </w:r>
          </w:p>
        </w:tc>
        <w:tc>
          <w:tcPr>
            <w:tcW w:w="434" w:type="pct"/>
            <w:noWrap/>
            <w:vAlign w:val="center"/>
            <w:hideMark/>
          </w:tcPr>
          <w:p w14:paraId="5B3E1F9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316</w:t>
            </w:r>
          </w:p>
        </w:tc>
        <w:tc>
          <w:tcPr>
            <w:tcW w:w="433" w:type="pct"/>
            <w:noWrap/>
            <w:vAlign w:val="center"/>
            <w:hideMark/>
          </w:tcPr>
          <w:p w14:paraId="794E8FA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213.5</w:t>
            </w:r>
          </w:p>
        </w:tc>
        <w:tc>
          <w:tcPr>
            <w:tcW w:w="240" w:type="pct"/>
            <w:noWrap/>
            <w:vAlign w:val="center"/>
            <w:hideMark/>
          </w:tcPr>
          <w:p w14:paraId="55EB36B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15.8</w:t>
            </w:r>
          </w:p>
        </w:tc>
        <w:tc>
          <w:tcPr>
            <w:tcW w:w="435" w:type="pct"/>
            <w:noWrap/>
            <w:vAlign w:val="center"/>
            <w:hideMark/>
          </w:tcPr>
          <w:p w14:paraId="3B9FEEC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331.8</w:t>
            </w:r>
          </w:p>
        </w:tc>
        <w:tc>
          <w:tcPr>
            <w:tcW w:w="284" w:type="pct"/>
            <w:noWrap/>
            <w:vAlign w:val="center"/>
            <w:hideMark/>
          </w:tcPr>
          <w:p w14:paraId="0197A39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5B0D19C9"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7A47D23D"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30595B4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GS60</w:t>
            </w:r>
          </w:p>
        </w:tc>
        <w:tc>
          <w:tcPr>
            <w:tcW w:w="724" w:type="pct"/>
            <w:noWrap/>
            <w:vAlign w:val="center"/>
            <w:hideMark/>
          </w:tcPr>
          <w:p w14:paraId="6F10287B"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Sediments above the Great Artesian Basin: Warrego–Paroo–</w:t>
            </w:r>
            <w:proofErr w:type="spellStart"/>
            <w:r w:rsidRPr="0049442F">
              <w:rPr>
                <w:rFonts w:eastAsia="Times New Roman" w:cs="Calibri"/>
                <w:color w:val="000000"/>
                <w:sz w:val="16"/>
                <w:szCs w:val="16"/>
                <w:lang w:eastAsia="en-AU"/>
              </w:rPr>
              <w:t>Nebine</w:t>
            </w:r>
            <w:proofErr w:type="spellEnd"/>
          </w:p>
        </w:tc>
        <w:tc>
          <w:tcPr>
            <w:tcW w:w="238" w:type="pct"/>
            <w:noWrap/>
            <w:vAlign w:val="center"/>
            <w:hideMark/>
          </w:tcPr>
          <w:p w14:paraId="59EDE78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99.2</w:t>
            </w:r>
          </w:p>
        </w:tc>
        <w:tc>
          <w:tcPr>
            <w:tcW w:w="433" w:type="pct"/>
            <w:noWrap/>
            <w:vAlign w:val="center"/>
            <w:hideMark/>
          </w:tcPr>
          <w:p w14:paraId="16D7EEC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2.21</w:t>
            </w:r>
          </w:p>
        </w:tc>
        <w:tc>
          <w:tcPr>
            <w:tcW w:w="481" w:type="pct"/>
            <w:noWrap/>
            <w:vAlign w:val="center"/>
            <w:hideMark/>
          </w:tcPr>
          <w:p w14:paraId="74F0F04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2.21</w:t>
            </w:r>
          </w:p>
        </w:tc>
        <w:tc>
          <w:tcPr>
            <w:tcW w:w="385" w:type="pct"/>
            <w:noWrap/>
            <w:vAlign w:val="center"/>
            <w:hideMark/>
          </w:tcPr>
          <w:p w14:paraId="5A3E003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0.74</w:t>
            </w:r>
          </w:p>
        </w:tc>
        <w:tc>
          <w:tcPr>
            <w:tcW w:w="289" w:type="pct"/>
            <w:noWrap/>
            <w:vAlign w:val="center"/>
            <w:hideMark/>
          </w:tcPr>
          <w:p w14:paraId="179C5CD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0.74</w:t>
            </w:r>
          </w:p>
        </w:tc>
        <w:tc>
          <w:tcPr>
            <w:tcW w:w="434" w:type="pct"/>
            <w:noWrap/>
            <w:vAlign w:val="center"/>
            <w:hideMark/>
          </w:tcPr>
          <w:p w14:paraId="64A333F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2.94</w:t>
            </w:r>
          </w:p>
        </w:tc>
        <w:tc>
          <w:tcPr>
            <w:tcW w:w="433" w:type="pct"/>
            <w:noWrap/>
            <w:vAlign w:val="center"/>
            <w:hideMark/>
          </w:tcPr>
          <w:p w14:paraId="640CA47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2.94</w:t>
            </w:r>
          </w:p>
        </w:tc>
        <w:tc>
          <w:tcPr>
            <w:tcW w:w="240" w:type="pct"/>
            <w:noWrap/>
            <w:vAlign w:val="center"/>
            <w:hideMark/>
          </w:tcPr>
          <w:p w14:paraId="540DD24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19.8</w:t>
            </w:r>
          </w:p>
        </w:tc>
        <w:tc>
          <w:tcPr>
            <w:tcW w:w="435" w:type="pct"/>
            <w:noWrap/>
            <w:vAlign w:val="center"/>
            <w:hideMark/>
          </w:tcPr>
          <w:p w14:paraId="3149BDD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22.8</w:t>
            </w:r>
          </w:p>
        </w:tc>
        <w:tc>
          <w:tcPr>
            <w:tcW w:w="284" w:type="pct"/>
            <w:noWrap/>
            <w:vAlign w:val="center"/>
            <w:hideMark/>
          </w:tcPr>
          <w:p w14:paraId="7504FA8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4D5431EF"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20A32C22"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lastRenderedPageBreak/>
              <w:t>QLD</w:t>
            </w:r>
          </w:p>
        </w:tc>
        <w:tc>
          <w:tcPr>
            <w:tcW w:w="385" w:type="pct"/>
            <w:noWrap/>
            <w:vAlign w:val="center"/>
            <w:hideMark/>
          </w:tcPr>
          <w:p w14:paraId="2EE0CE5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GS63</w:t>
            </w:r>
          </w:p>
        </w:tc>
        <w:tc>
          <w:tcPr>
            <w:tcW w:w="724" w:type="pct"/>
            <w:noWrap/>
            <w:vAlign w:val="center"/>
            <w:hideMark/>
          </w:tcPr>
          <w:p w14:paraId="0158F671"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St George Alluvium: Warrego–Paroo–</w:t>
            </w:r>
            <w:proofErr w:type="spellStart"/>
            <w:r w:rsidRPr="0049442F">
              <w:rPr>
                <w:rFonts w:eastAsia="Times New Roman" w:cs="Calibri"/>
                <w:color w:val="000000"/>
                <w:sz w:val="16"/>
                <w:szCs w:val="16"/>
                <w:lang w:eastAsia="en-AU"/>
              </w:rPr>
              <w:t>Nebine</w:t>
            </w:r>
            <w:proofErr w:type="spellEnd"/>
          </w:p>
        </w:tc>
        <w:tc>
          <w:tcPr>
            <w:tcW w:w="238" w:type="pct"/>
            <w:noWrap/>
            <w:vAlign w:val="center"/>
            <w:hideMark/>
          </w:tcPr>
          <w:p w14:paraId="4CF2F2D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24.6</w:t>
            </w:r>
          </w:p>
        </w:tc>
        <w:tc>
          <w:tcPr>
            <w:tcW w:w="433" w:type="pct"/>
            <w:noWrap/>
            <w:vAlign w:val="center"/>
            <w:hideMark/>
          </w:tcPr>
          <w:p w14:paraId="1F5A046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0.25</w:t>
            </w:r>
          </w:p>
        </w:tc>
        <w:tc>
          <w:tcPr>
            <w:tcW w:w="481" w:type="pct"/>
            <w:noWrap/>
            <w:vAlign w:val="center"/>
            <w:hideMark/>
          </w:tcPr>
          <w:p w14:paraId="5B66FB5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0.25</w:t>
            </w:r>
          </w:p>
        </w:tc>
        <w:tc>
          <w:tcPr>
            <w:tcW w:w="385" w:type="pct"/>
            <w:noWrap/>
            <w:vAlign w:val="center"/>
            <w:hideMark/>
          </w:tcPr>
          <w:p w14:paraId="18C52D5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0.08</w:t>
            </w:r>
          </w:p>
        </w:tc>
        <w:tc>
          <w:tcPr>
            <w:tcW w:w="289" w:type="pct"/>
            <w:noWrap/>
            <w:vAlign w:val="center"/>
            <w:hideMark/>
          </w:tcPr>
          <w:p w14:paraId="5F6962A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0.08</w:t>
            </w:r>
          </w:p>
        </w:tc>
        <w:tc>
          <w:tcPr>
            <w:tcW w:w="434" w:type="pct"/>
            <w:noWrap/>
            <w:vAlign w:val="center"/>
            <w:hideMark/>
          </w:tcPr>
          <w:p w14:paraId="68FAB12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0.33</w:t>
            </w:r>
          </w:p>
        </w:tc>
        <w:tc>
          <w:tcPr>
            <w:tcW w:w="433" w:type="pct"/>
            <w:noWrap/>
            <w:vAlign w:val="center"/>
            <w:hideMark/>
          </w:tcPr>
          <w:p w14:paraId="746A209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0.33</w:t>
            </w:r>
          </w:p>
        </w:tc>
        <w:tc>
          <w:tcPr>
            <w:tcW w:w="240" w:type="pct"/>
            <w:noWrap/>
            <w:vAlign w:val="center"/>
            <w:hideMark/>
          </w:tcPr>
          <w:p w14:paraId="2672413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4.92</w:t>
            </w:r>
          </w:p>
        </w:tc>
        <w:tc>
          <w:tcPr>
            <w:tcW w:w="435" w:type="pct"/>
            <w:noWrap/>
            <w:vAlign w:val="center"/>
            <w:hideMark/>
          </w:tcPr>
          <w:p w14:paraId="083D941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5.25</w:t>
            </w:r>
          </w:p>
        </w:tc>
        <w:tc>
          <w:tcPr>
            <w:tcW w:w="284" w:type="pct"/>
            <w:noWrap/>
            <w:vAlign w:val="center"/>
            <w:hideMark/>
          </w:tcPr>
          <w:p w14:paraId="3D67AC92"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3971BFBE"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320C6FF2"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QLD</w:t>
            </w:r>
          </w:p>
        </w:tc>
        <w:tc>
          <w:tcPr>
            <w:tcW w:w="385" w:type="pct"/>
            <w:noWrap/>
            <w:vAlign w:val="center"/>
            <w:hideMark/>
          </w:tcPr>
          <w:p w14:paraId="222F73C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GS66</w:t>
            </w:r>
          </w:p>
        </w:tc>
        <w:tc>
          <w:tcPr>
            <w:tcW w:w="724" w:type="pct"/>
            <w:noWrap/>
            <w:vAlign w:val="center"/>
            <w:hideMark/>
          </w:tcPr>
          <w:p w14:paraId="1178689E"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Warrego Alluvium</w:t>
            </w:r>
          </w:p>
        </w:tc>
        <w:tc>
          <w:tcPr>
            <w:tcW w:w="238" w:type="pct"/>
            <w:noWrap/>
            <w:vAlign w:val="center"/>
            <w:hideMark/>
          </w:tcPr>
          <w:p w14:paraId="53521D0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10.2</w:t>
            </w:r>
          </w:p>
        </w:tc>
        <w:tc>
          <w:tcPr>
            <w:tcW w:w="433" w:type="pct"/>
            <w:noWrap/>
            <w:vAlign w:val="center"/>
            <w:hideMark/>
          </w:tcPr>
          <w:p w14:paraId="1030BF7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2.3</w:t>
            </w:r>
          </w:p>
        </w:tc>
        <w:tc>
          <w:tcPr>
            <w:tcW w:w="481" w:type="pct"/>
            <w:noWrap/>
            <w:vAlign w:val="center"/>
            <w:hideMark/>
          </w:tcPr>
          <w:p w14:paraId="392EAA0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2.3</w:t>
            </w:r>
          </w:p>
        </w:tc>
        <w:tc>
          <w:tcPr>
            <w:tcW w:w="385" w:type="pct"/>
            <w:noWrap/>
            <w:vAlign w:val="center"/>
            <w:hideMark/>
          </w:tcPr>
          <w:p w14:paraId="4E3D87F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0.77</w:t>
            </w:r>
          </w:p>
        </w:tc>
        <w:tc>
          <w:tcPr>
            <w:tcW w:w="289" w:type="pct"/>
            <w:noWrap/>
            <w:vAlign w:val="center"/>
            <w:hideMark/>
          </w:tcPr>
          <w:p w14:paraId="2994E14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0.77</w:t>
            </w:r>
          </w:p>
        </w:tc>
        <w:tc>
          <w:tcPr>
            <w:tcW w:w="434" w:type="pct"/>
            <w:noWrap/>
            <w:vAlign w:val="center"/>
            <w:hideMark/>
          </w:tcPr>
          <w:p w14:paraId="4F93012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3.07</w:t>
            </w:r>
          </w:p>
        </w:tc>
        <w:tc>
          <w:tcPr>
            <w:tcW w:w="433" w:type="pct"/>
            <w:noWrap/>
            <w:vAlign w:val="center"/>
            <w:hideMark/>
          </w:tcPr>
          <w:p w14:paraId="55A06DB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3.07</w:t>
            </w:r>
          </w:p>
        </w:tc>
        <w:tc>
          <w:tcPr>
            <w:tcW w:w="240" w:type="pct"/>
            <w:noWrap/>
            <w:vAlign w:val="center"/>
            <w:hideMark/>
          </w:tcPr>
          <w:p w14:paraId="069DEDE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2.04</w:t>
            </w:r>
          </w:p>
        </w:tc>
        <w:tc>
          <w:tcPr>
            <w:tcW w:w="435" w:type="pct"/>
            <w:noWrap/>
            <w:vAlign w:val="center"/>
            <w:hideMark/>
          </w:tcPr>
          <w:p w14:paraId="73BDA53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5.11</w:t>
            </w:r>
          </w:p>
        </w:tc>
        <w:tc>
          <w:tcPr>
            <w:tcW w:w="284" w:type="pct"/>
            <w:noWrap/>
            <w:vAlign w:val="center"/>
            <w:hideMark/>
          </w:tcPr>
          <w:p w14:paraId="4D7916E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58D6B8FF"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BD5AB99"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ACT</w:t>
            </w:r>
          </w:p>
        </w:tc>
        <w:tc>
          <w:tcPr>
            <w:tcW w:w="385" w:type="pct"/>
            <w:noWrap/>
            <w:vAlign w:val="center"/>
            <w:hideMark/>
          </w:tcPr>
          <w:p w14:paraId="2F24E2A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GS52</w:t>
            </w:r>
          </w:p>
        </w:tc>
        <w:tc>
          <w:tcPr>
            <w:tcW w:w="724" w:type="pct"/>
            <w:noWrap/>
            <w:vAlign w:val="center"/>
            <w:hideMark/>
          </w:tcPr>
          <w:p w14:paraId="3518D560"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Australian Capital Territory (groundwater)</w:t>
            </w:r>
          </w:p>
        </w:tc>
        <w:tc>
          <w:tcPr>
            <w:tcW w:w="238" w:type="pct"/>
            <w:noWrap/>
            <w:vAlign w:val="center"/>
            <w:hideMark/>
          </w:tcPr>
          <w:p w14:paraId="14BE852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3.16</w:t>
            </w:r>
          </w:p>
        </w:tc>
        <w:tc>
          <w:tcPr>
            <w:tcW w:w="433" w:type="pct"/>
            <w:noWrap/>
            <w:vAlign w:val="center"/>
            <w:hideMark/>
          </w:tcPr>
          <w:p w14:paraId="6C067192"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9.48</w:t>
            </w:r>
          </w:p>
        </w:tc>
        <w:tc>
          <w:tcPr>
            <w:tcW w:w="481" w:type="pct"/>
            <w:noWrap/>
            <w:vAlign w:val="center"/>
            <w:hideMark/>
          </w:tcPr>
          <w:p w14:paraId="4E3FD06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1.28</w:t>
            </w:r>
          </w:p>
        </w:tc>
        <w:tc>
          <w:tcPr>
            <w:tcW w:w="385" w:type="pct"/>
            <w:noWrap/>
            <w:vAlign w:val="center"/>
            <w:hideMark/>
          </w:tcPr>
          <w:p w14:paraId="012B85B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3.16</w:t>
            </w:r>
          </w:p>
        </w:tc>
        <w:tc>
          <w:tcPr>
            <w:tcW w:w="289" w:type="pct"/>
            <w:noWrap/>
            <w:vAlign w:val="center"/>
            <w:hideMark/>
          </w:tcPr>
          <w:p w14:paraId="7DB6A0F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0.46</w:t>
            </w:r>
          </w:p>
        </w:tc>
        <w:tc>
          <w:tcPr>
            <w:tcW w:w="434" w:type="pct"/>
            <w:noWrap/>
            <w:vAlign w:val="center"/>
            <w:hideMark/>
          </w:tcPr>
          <w:p w14:paraId="62490C0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12.6</w:t>
            </w:r>
          </w:p>
        </w:tc>
        <w:tc>
          <w:tcPr>
            <w:tcW w:w="433" w:type="pct"/>
            <w:noWrap/>
            <w:vAlign w:val="center"/>
            <w:hideMark/>
          </w:tcPr>
          <w:p w14:paraId="275E484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1.74</w:t>
            </w:r>
          </w:p>
        </w:tc>
        <w:tc>
          <w:tcPr>
            <w:tcW w:w="240" w:type="pct"/>
            <w:noWrap/>
            <w:vAlign w:val="center"/>
            <w:hideMark/>
          </w:tcPr>
          <w:p w14:paraId="67076AF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0.63</w:t>
            </w:r>
          </w:p>
        </w:tc>
        <w:tc>
          <w:tcPr>
            <w:tcW w:w="435" w:type="pct"/>
            <w:noWrap/>
            <w:vAlign w:val="center"/>
            <w:hideMark/>
          </w:tcPr>
          <w:p w14:paraId="229F4EC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13.3</w:t>
            </w:r>
          </w:p>
        </w:tc>
        <w:tc>
          <w:tcPr>
            <w:tcW w:w="284" w:type="pct"/>
            <w:noWrap/>
            <w:vAlign w:val="center"/>
            <w:hideMark/>
          </w:tcPr>
          <w:p w14:paraId="549E52A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5B6DF86B"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4083FC08"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2268A03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GS8a</w:t>
            </w:r>
          </w:p>
        </w:tc>
        <w:tc>
          <w:tcPr>
            <w:tcW w:w="724" w:type="pct"/>
            <w:noWrap/>
            <w:vAlign w:val="center"/>
            <w:hideMark/>
          </w:tcPr>
          <w:p w14:paraId="22D81C21"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Goulburn-Murray: Shepparton Irrigation Region</w:t>
            </w:r>
          </w:p>
        </w:tc>
        <w:tc>
          <w:tcPr>
            <w:tcW w:w="238" w:type="pct"/>
            <w:noWrap/>
            <w:vAlign w:val="center"/>
            <w:hideMark/>
          </w:tcPr>
          <w:p w14:paraId="57BBDAE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244.1</w:t>
            </w:r>
          </w:p>
        </w:tc>
        <w:tc>
          <w:tcPr>
            <w:tcW w:w="433" w:type="pct"/>
            <w:noWrap/>
            <w:vAlign w:val="center"/>
            <w:hideMark/>
          </w:tcPr>
          <w:p w14:paraId="5CC9C39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732.3</w:t>
            </w:r>
          </w:p>
        </w:tc>
        <w:tc>
          <w:tcPr>
            <w:tcW w:w="481" w:type="pct"/>
            <w:noWrap/>
            <w:vAlign w:val="center"/>
            <w:hideMark/>
          </w:tcPr>
          <w:p w14:paraId="4361FC8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244.7</w:t>
            </w:r>
          </w:p>
        </w:tc>
        <w:tc>
          <w:tcPr>
            <w:tcW w:w="385" w:type="pct"/>
            <w:noWrap/>
            <w:vAlign w:val="center"/>
            <w:hideMark/>
          </w:tcPr>
          <w:p w14:paraId="2121C47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244.1</w:t>
            </w:r>
          </w:p>
        </w:tc>
        <w:tc>
          <w:tcPr>
            <w:tcW w:w="289" w:type="pct"/>
            <w:noWrap/>
            <w:vAlign w:val="center"/>
            <w:hideMark/>
          </w:tcPr>
          <w:p w14:paraId="277B3258" w14:textId="3B48F17A" w:rsidR="0049442F" w:rsidRPr="0049442F" w:rsidRDefault="00416141"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8D0665">
              <w:rPr>
                <w:rFonts w:eastAsia="Times New Roman" w:cs="Calibri"/>
                <w:color w:val="000000"/>
                <w:sz w:val="16"/>
                <w:szCs w:val="16"/>
                <w:lang w:eastAsia="en-AU"/>
              </w:rPr>
              <w:t>13.32</w:t>
            </w:r>
          </w:p>
        </w:tc>
        <w:tc>
          <w:tcPr>
            <w:tcW w:w="434" w:type="pct"/>
            <w:noWrap/>
            <w:vAlign w:val="center"/>
            <w:hideMark/>
          </w:tcPr>
          <w:p w14:paraId="3C47326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976.4</w:t>
            </w:r>
          </w:p>
        </w:tc>
        <w:tc>
          <w:tcPr>
            <w:tcW w:w="433" w:type="pct"/>
            <w:noWrap/>
            <w:vAlign w:val="center"/>
            <w:hideMark/>
          </w:tcPr>
          <w:p w14:paraId="1264C05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247.5</w:t>
            </w:r>
          </w:p>
        </w:tc>
        <w:tc>
          <w:tcPr>
            <w:tcW w:w="240" w:type="pct"/>
            <w:noWrap/>
            <w:vAlign w:val="center"/>
            <w:hideMark/>
          </w:tcPr>
          <w:p w14:paraId="3E33317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48.8</w:t>
            </w:r>
          </w:p>
        </w:tc>
        <w:tc>
          <w:tcPr>
            <w:tcW w:w="435" w:type="pct"/>
            <w:noWrap/>
            <w:vAlign w:val="center"/>
            <w:hideMark/>
          </w:tcPr>
          <w:p w14:paraId="4CFE02C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1025.2</w:t>
            </w:r>
          </w:p>
        </w:tc>
        <w:tc>
          <w:tcPr>
            <w:tcW w:w="284" w:type="pct"/>
            <w:noWrap/>
            <w:vAlign w:val="center"/>
            <w:hideMark/>
          </w:tcPr>
          <w:p w14:paraId="47BDE7A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6F34C27D"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24E00487"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411A78D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GS8b</w:t>
            </w:r>
          </w:p>
        </w:tc>
        <w:tc>
          <w:tcPr>
            <w:tcW w:w="724" w:type="pct"/>
            <w:noWrap/>
            <w:vAlign w:val="center"/>
            <w:hideMark/>
          </w:tcPr>
          <w:p w14:paraId="2F9AF373"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Goulburn-Murray: Highlands</w:t>
            </w:r>
          </w:p>
        </w:tc>
        <w:tc>
          <w:tcPr>
            <w:tcW w:w="238" w:type="pct"/>
            <w:noWrap/>
            <w:vAlign w:val="center"/>
            <w:hideMark/>
          </w:tcPr>
          <w:p w14:paraId="667A5BB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68.7</w:t>
            </w:r>
          </w:p>
        </w:tc>
        <w:tc>
          <w:tcPr>
            <w:tcW w:w="433" w:type="pct"/>
            <w:noWrap/>
            <w:vAlign w:val="center"/>
            <w:hideMark/>
          </w:tcPr>
          <w:p w14:paraId="7F1D6C9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206.1</w:t>
            </w:r>
          </w:p>
        </w:tc>
        <w:tc>
          <w:tcPr>
            <w:tcW w:w="481" w:type="pct"/>
            <w:noWrap/>
            <w:vAlign w:val="center"/>
            <w:hideMark/>
          </w:tcPr>
          <w:p w14:paraId="26DCF43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42.7</w:t>
            </w:r>
          </w:p>
        </w:tc>
        <w:tc>
          <w:tcPr>
            <w:tcW w:w="385" w:type="pct"/>
            <w:noWrap/>
            <w:vAlign w:val="center"/>
            <w:hideMark/>
          </w:tcPr>
          <w:p w14:paraId="0592B85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68.7</w:t>
            </w:r>
          </w:p>
        </w:tc>
        <w:tc>
          <w:tcPr>
            <w:tcW w:w="289" w:type="pct"/>
            <w:noWrap/>
            <w:vAlign w:val="center"/>
            <w:hideMark/>
          </w:tcPr>
          <w:p w14:paraId="68B6452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12.9</w:t>
            </w:r>
          </w:p>
        </w:tc>
        <w:tc>
          <w:tcPr>
            <w:tcW w:w="434" w:type="pct"/>
            <w:noWrap/>
            <w:vAlign w:val="center"/>
            <w:hideMark/>
          </w:tcPr>
          <w:p w14:paraId="3387024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274.8</w:t>
            </w:r>
          </w:p>
        </w:tc>
        <w:tc>
          <w:tcPr>
            <w:tcW w:w="433" w:type="pct"/>
            <w:noWrap/>
            <w:vAlign w:val="center"/>
            <w:hideMark/>
          </w:tcPr>
          <w:p w14:paraId="5D6FC20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55.6</w:t>
            </w:r>
          </w:p>
        </w:tc>
        <w:tc>
          <w:tcPr>
            <w:tcW w:w="240" w:type="pct"/>
            <w:noWrap/>
            <w:vAlign w:val="center"/>
            <w:hideMark/>
          </w:tcPr>
          <w:p w14:paraId="237344A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13.7</w:t>
            </w:r>
          </w:p>
        </w:tc>
        <w:tc>
          <w:tcPr>
            <w:tcW w:w="435" w:type="pct"/>
            <w:noWrap/>
            <w:vAlign w:val="center"/>
            <w:hideMark/>
          </w:tcPr>
          <w:p w14:paraId="181DD12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288.5</w:t>
            </w:r>
          </w:p>
        </w:tc>
        <w:tc>
          <w:tcPr>
            <w:tcW w:w="284" w:type="pct"/>
            <w:noWrap/>
            <w:vAlign w:val="center"/>
            <w:hideMark/>
          </w:tcPr>
          <w:p w14:paraId="4AEC884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1B1869CB"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616262D"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2AC3746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GS8c</w:t>
            </w:r>
          </w:p>
        </w:tc>
        <w:tc>
          <w:tcPr>
            <w:tcW w:w="724" w:type="pct"/>
            <w:noWrap/>
            <w:vAlign w:val="center"/>
            <w:hideMark/>
          </w:tcPr>
          <w:p w14:paraId="2756388A"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Goulburn-Murray: Sedimentary Plain</w:t>
            </w:r>
          </w:p>
        </w:tc>
        <w:tc>
          <w:tcPr>
            <w:tcW w:w="238" w:type="pct"/>
            <w:noWrap/>
            <w:vAlign w:val="center"/>
            <w:hideMark/>
          </w:tcPr>
          <w:p w14:paraId="31C3CFC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223</w:t>
            </w:r>
          </w:p>
        </w:tc>
        <w:tc>
          <w:tcPr>
            <w:tcW w:w="433" w:type="pct"/>
            <w:noWrap/>
            <w:vAlign w:val="center"/>
            <w:hideMark/>
          </w:tcPr>
          <w:p w14:paraId="4007411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669</w:t>
            </w:r>
          </w:p>
        </w:tc>
        <w:tc>
          <w:tcPr>
            <w:tcW w:w="481" w:type="pct"/>
            <w:noWrap/>
            <w:vAlign w:val="center"/>
            <w:hideMark/>
          </w:tcPr>
          <w:p w14:paraId="7157E3F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303.8</w:t>
            </w:r>
          </w:p>
        </w:tc>
        <w:tc>
          <w:tcPr>
            <w:tcW w:w="385" w:type="pct"/>
            <w:noWrap/>
            <w:vAlign w:val="center"/>
            <w:hideMark/>
          </w:tcPr>
          <w:p w14:paraId="53D277A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223</w:t>
            </w:r>
          </w:p>
        </w:tc>
        <w:tc>
          <w:tcPr>
            <w:tcW w:w="289" w:type="pct"/>
            <w:noWrap/>
            <w:vAlign w:val="center"/>
            <w:hideMark/>
          </w:tcPr>
          <w:p w14:paraId="4C45A04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50.7</w:t>
            </w:r>
          </w:p>
        </w:tc>
        <w:tc>
          <w:tcPr>
            <w:tcW w:w="434" w:type="pct"/>
            <w:noWrap/>
            <w:vAlign w:val="center"/>
            <w:hideMark/>
          </w:tcPr>
          <w:p w14:paraId="2622B6B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892</w:t>
            </w:r>
          </w:p>
        </w:tc>
        <w:tc>
          <w:tcPr>
            <w:tcW w:w="433" w:type="pct"/>
            <w:noWrap/>
            <w:vAlign w:val="center"/>
            <w:hideMark/>
          </w:tcPr>
          <w:p w14:paraId="1CC9163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354.5</w:t>
            </w:r>
          </w:p>
        </w:tc>
        <w:tc>
          <w:tcPr>
            <w:tcW w:w="240" w:type="pct"/>
            <w:noWrap/>
            <w:vAlign w:val="center"/>
            <w:hideMark/>
          </w:tcPr>
          <w:p w14:paraId="69657C7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44.6</w:t>
            </w:r>
          </w:p>
        </w:tc>
        <w:tc>
          <w:tcPr>
            <w:tcW w:w="435" w:type="pct"/>
            <w:noWrap/>
            <w:vAlign w:val="center"/>
            <w:hideMark/>
          </w:tcPr>
          <w:p w14:paraId="7563D3B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936.6</w:t>
            </w:r>
          </w:p>
        </w:tc>
        <w:tc>
          <w:tcPr>
            <w:tcW w:w="284" w:type="pct"/>
            <w:noWrap/>
            <w:vAlign w:val="center"/>
            <w:hideMark/>
          </w:tcPr>
          <w:p w14:paraId="11BD029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38C55F60"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129F408E"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027C36B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GS8d</w:t>
            </w:r>
          </w:p>
        </w:tc>
        <w:tc>
          <w:tcPr>
            <w:tcW w:w="724" w:type="pct"/>
            <w:noWrap/>
            <w:vAlign w:val="center"/>
            <w:hideMark/>
          </w:tcPr>
          <w:p w14:paraId="724BEDFC"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Goulburn-Murray: deep</w:t>
            </w:r>
          </w:p>
        </w:tc>
        <w:tc>
          <w:tcPr>
            <w:tcW w:w="238" w:type="pct"/>
            <w:noWrap/>
            <w:vAlign w:val="center"/>
            <w:hideMark/>
          </w:tcPr>
          <w:p w14:paraId="65F5BEC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w:t>
            </w:r>
          </w:p>
        </w:tc>
        <w:tc>
          <w:tcPr>
            <w:tcW w:w="433" w:type="pct"/>
            <w:noWrap/>
            <w:vAlign w:val="center"/>
            <w:hideMark/>
          </w:tcPr>
          <w:p w14:paraId="1FA4CE2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60</w:t>
            </w:r>
          </w:p>
        </w:tc>
        <w:tc>
          <w:tcPr>
            <w:tcW w:w="481" w:type="pct"/>
            <w:noWrap/>
            <w:vAlign w:val="center"/>
            <w:hideMark/>
          </w:tcPr>
          <w:p w14:paraId="1085A3A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3.39</w:t>
            </w:r>
          </w:p>
        </w:tc>
        <w:tc>
          <w:tcPr>
            <w:tcW w:w="385" w:type="pct"/>
            <w:noWrap/>
            <w:vAlign w:val="center"/>
            <w:hideMark/>
          </w:tcPr>
          <w:p w14:paraId="71E436A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w:t>
            </w:r>
          </w:p>
        </w:tc>
        <w:tc>
          <w:tcPr>
            <w:tcW w:w="289" w:type="pct"/>
            <w:noWrap/>
            <w:vAlign w:val="center"/>
            <w:hideMark/>
          </w:tcPr>
          <w:p w14:paraId="5B12721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1.31</w:t>
            </w:r>
          </w:p>
        </w:tc>
        <w:tc>
          <w:tcPr>
            <w:tcW w:w="434" w:type="pct"/>
            <w:noWrap/>
            <w:vAlign w:val="center"/>
            <w:hideMark/>
          </w:tcPr>
          <w:p w14:paraId="6DB00E9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80</w:t>
            </w:r>
          </w:p>
        </w:tc>
        <w:tc>
          <w:tcPr>
            <w:tcW w:w="433" w:type="pct"/>
            <w:noWrap/>
            <w:vAlign w:val="center"/>
            <w:hideMark/>
          </w:tcPr>
          <w:p w14:paraId="162D553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4.7</w:t>
            </w:r>
          </w:p>
        </w:tc>
        <w:tc>
          <w:tcPr>
            <w:tcW w:w="240" w:type="pct"/>
            <w:noWrap/>
            <w:vAlign w:val="center"/>
            <w:hideMark/>
          </w:tcPr>
          <w:p w14:paraId="642B9B4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w:t>
            </w:r>
          </w:p>
        </w:tc>
        <w:tc>
          <w:tcPr>
            <w:tcW w:w="435" w:type="pct"/>
            <w:noWrap/>
            <w:vAlign w:val="center"/>
            <w:hideMark/>
          </w:tcPr>
          <w:p w14:paraId="77F0499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84</w:t>
            </w:r>
          </w:p>
        </w:tc>
        <w:tc>
          <w:tcPr>
            <w:tcW w:w="284" w:type="pct"/>
            <w:noWrap/>
            <w:vAlign w:val="center"/>
            <w:hideMark/>
          </w:tcPr>
          <w:p w14:paraId="5843B6B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6130AB0E"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06E8B800"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28E78E7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GS9a</w:t>
            </w:r>
          </w:p>
        </w:tc>
        <w:tc>
          <w:tcPr>
            <w:tcW w:w="724" w:type="pct"/>
            <w:noWrap/>
            <w:vAlign w:val="center"/>
            <w:hideMark/>
          </w:tcPr>
          <w:p w14:paraId="565193D1"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Wimmera-Mallee: Highlands</w:t>
            </w:r>
          </w:p>
        </w:tc>
        <w:tc>
          <w:tcPr>
            <w:tcW w:w="238" w:type="pct"/>
            <w:noWrap/>
            <w:vAlign w:val="center"/>
            <w:hideMark/>
          </w:tcPr>
          <w:p w14:paraId="12A0AD4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2.75</w:t>
            </w:r>
          </w:p>
        </w:tc>
        <w:tc>
          <w:tcPr>
            <w:tcW w:w="433" w:type="pct"/>
            <w:noWrap/>
            <w:vAlign w:val="center"/>
            <w:hideMark/>
          </w:tcPr>
          <w:p w14:paraId="3924CD1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8.25</w:t>
            </w:r>
          </w:p>
        </w:tc>
        <w:tc>
          <w:tcPr>
            <w:tcW w:w="481" w:type="pct"/>
            <w:noWrap/>
            <w:vAlign w:val="center"/>
            <w:hideMark/>
          </w:tcPr>
          <w:p w14:paraId="53DCEA0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3.03</w:t>
            </w:r>
          </w:p>
        </w:tc>
        <w:tc>
          <w:tcPr>
            <w:tcW w:w="385" w:type="pct"/>
            <w:noWrap/>
            <w:vAlign w:val="center"/>
            <w:hideMark/>
          </w:tcPr>
          <w:p w14:paraId="5D0C213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2.76</w:t>
            </w:r>
          </w:p>
        </w:tc>
        <w:tc>
          <w:tcPr>
            <w:tcW w:w="289" w:type="pct"/>
            <w:noWrap/>
            <w:vAlign w:val="center"/>
            <w:hideMark/>
          </w:tcPr>
          <w:p w14:paraId="3562CD5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0.8</w:t>
            </w:r>
          </w:p>
        </w:tc>
        <w:tc>
          <w:tcPr>
            <w:tcW w:w="434" w:type="pct"/>
            <w:noWrap/>
            <w:vAlign w:val="center"/>
            <w:hideMark/>
          </w:tcPr>
          <w:p w14:paraId="2A6C495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w:t>
            </w:r>
          </w:p>
        </w:tc>
        <w:tc>
          <w:tcPr>
            <w:tcW w:w="433" w:type="pct"/>
            <w:noWrap/>
            <w:vAlign w:val="center"/>
            <w:hideMark/>
          </w:tcPr>
          <w:p w14:paraId="1746541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3.83</w:t>
            </w:r>
          </w:p>
        </w:tc>
        <w:tc>
          <w:tcPr>
            <w:tcW w:w="240" w:type="pct"/>
            <w:noWrap/>
            <w:vAlign w:val="center"/>
            <w:hideMark/>
          </w:tcPr>
          <w:p w14:paraId="0013D24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0.55</w:t>
            </w:r>
          </w:p>
        </w:tc>
        <w:tc>
          <w:tcPr>
            <w:tcW w:w="435" w:type="pct"/>
            <w:noWrap/>
            <w:vAlign w:val="center"/>
            <w:hideMark/>
          </w:tcPr>
          <w:p w14:paraId="1376362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11.6</w:t>
            </w:r>
          </w:p>
        </w:tc>
        <w:tc>
          <w:tcPr>
            <w:tcW w:w="284" w:type="pct"/>
            <w:noWrap/>
            <w:vAlign w:val="center"/>
            <w:hideMark/>
          </w:tcPr>
          <w:p w14:paraId="39071EA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36C1448F"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231F2868"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7D5DDBF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GS9b</w:t>
            </w:r>
          </w:p>
        </w:tc>
        <w:tc>
          <w:tcPr>
            <w:tcW w:w="724" w:type="pct"/>
            <w:noWrap/>
            <w:vAlign w:val="center"/>
            <w:hideMark/>
          </w:tcPr>
          <w:p w14:paraId="14CCB028"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Wimmera-Mallee: Sedimentary Plain</w:t>
            </w:r>
          </w:p>
        </w:tc>
        <w:tc>
          <w:tcPr>
            <w:tcW w:w="238" w:type="pct"/>
            <w:noWrap/>
            <w:vAlign w:val="center"/>
            <w:hideMark/>
          </w:tcPr>
          <w:p w14:paraId="0B8EBA2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186.9</w:t>
            </w:r>
          </w:p>
        </w:tc>
        <w:tc>
          <w:tcPr>
            <w:tcW w:w="433" w:type="pct"/>
            <w:noWrap/>
            <w:vAlign w:val="center"/>
            <w:hideMark/>
          </w:tcPr>
          <w:p w14:paraId="7D878EC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560.7</w:t>
            </w:r>
          </w:p>
        </w:tc>
        <w:tc>
          <w:tcPr>
            <w:tcW w:w="481" w:type="pct"/>
            <w:noWrap/>
            <w:vAlign w:val="center"/>
            <w:hideMark/>
          </w:tcPr>
          <w:p w14:paraId="547C6B3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22.2</w:t>
            </w:r>
          </w:p>
        </w:tc>
        <w:tc>
          <w:tcPr>
            <w:tcW w:w="385" w:type="pct"/>
            <w:noWrap/>
            <w:vAlign w:val="center"/>
            <w:hideMark/>
          </w:tcPr>
          <w:p w14:paraId="442AD70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186.9</w:t>
            </w:r>
          </w:p>
        </w:tc>
        <w:tc>
          <w:tcPr>
            <w:tcW w:w="289" w:type="pct"/>
            <w:noWrap/>
            <w:vAlign w:val="center"/>
            <w:hideMark/>
          </w:tcPr>
          <w:p w14:paraId="3A87250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6.46</w:t>
            </w:r>
          </w:p>
        </w:tc>
        <w:tc>
          <w:tcPr>
            <w:tcW w:w="434" w:type="pct"/>
            <w:noWrap/>
            <w:vAlign w:val="center"/>
            <w:hideMark/>
          </w:tcPr>
          <w:p w14:paraId="6DA3FA9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747.6</w:t>
            </w:r>
          </w:p>
        </w:tc>
        <w:tc>
          <w:tcPr>
            <w:tcW w:w="433" w:type="pct"/>
            <w:noWrap/>
            <w:vAlign w:val="center"/>
            <w:hideMark/>
          </w:tcPr>
          <w:p w14:paraId="46D27C6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28.7</w:t>
            </w:r>
          </w:p>
        </w:tc>
        <w:tc>
          <w:tcPr>
            <w:tcW w:w="240" w:type="pct"/>
            <w:noWrap/>
            <w:vAlign w:val="center"/>
            <w:hideMark/>
          </w:tcPr>
          <w:p w14:paraId="13FA6E2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37.4</w:t>
            </w:r>
          </w:p>
        </w:tc>
        <w:tc>
          <w:tcPr>
            <w:tcW w:w="435" w:type="pct"/>
            <w:noWrap/>
            <w:vAlign w:val="center"/>
            <w:hideMark/>
          </w:tcPr>
          <w:p w14:paraId="0961A57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785</w:t>
            </w:r>
          </w:p>
        </w:tc>
        <w:tc>
          <w:tcPr>
            <w:tcW w:w="284" w:type="pct"/>
            <w:noWrap/>
            <w:vAlign w:val="center"/>
            <w:hideMark/>
          </w:tcPr>
          <w:p w14:paraId="021690E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5049E87D"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2F6FF19A"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VIC</w:t>
            </w:r>
          </w:p>
        </w:tc>
        <w:tc>
          <w:tcPr>
            <w:tcW w:w="385" w:type="pct"/>
            <w:noWrap/>
            <w:vAlign w:val="center"/>
            <w:hideMark/>
          </w:tcPr>
          <w:p w14:paraId="74946EA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GS9c</w:t>
            </w:r>
          </w:p>
        </w:tc>
        <w:tc>
          <w:tcPr>
            <w:tcW w:w="724" w:type="pct"/>
            <w:noWrap/>
            <w:vAlign w:val="center"/>
            <w:hideMark/>
          </w:tcPr>
          <w:p w14:paraId="7D6597A4"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Wimmera-Mallee: deep</w:t>
            </w:r>
          </w:p>
        </w:tc>
        <w:tc>
          <w:tcPr>
            <w:tcW w:w="238" w:type="pct"/>
            <w:noWrap/>
            <w:vAlign w:val="center"/>
            <w:hideMark/>
          </w:tcPr>
          <w:p w14:paraId="3D77576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w:t>
            </w:r>
          </w:p>
        </w:tc>
        <w:tc>
          <w:tcPr>
            <w:tcW w:w="433" w:type="pct"/>
            <w:noWrap/>
            <w:vAlign w:val="center"/>
            <w:hideMark/>
          </w:tcPr>
          <w:p w14:paraId="2660E8C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60</w:t>
            </w:r>
          </w:p>
        </w:tc>
        <w:tc>
          <w:tcPr>
            <w:tcW w:w="481" w:type="pct"/>
            <w:noWrap/>
            <w:vAlign w:val="center"/>
            <w:hideMark/>
          </w:tcPr>
          <w:p w14:paraId="6ECE01E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0.83</w:t>
            </w:r>
          </w:p>
        </w:tc>
        <w:tc>
          <w:tcPr>
            <w:tcW w:w="385" w:type="pct"/>
            <w:noWrap/>
            <w:vAlign w:val="center"/>
            <w:hideMark/>
          </w:tcPr>
          <w:p w14:paraId="702B502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w:t>
            </w:r>
          </w:p>
        </w:tc>
        <w:tc>
          <w:tcPr>
            <w:tcW w:w="289" w:type="pct"/>
            <w:noWrap/>
            <w:vAlign w:val="center"/>
            <w:hideMark/>
          </w:tcPr>
          <w:p w14:paraId="48AE0D2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0.28</w:t>
            </w:r>
          </w:p>
        </w:tc>
        <w:tc>
          <w:tcPr>
            <w:tcW w:w="434" w:type="pct"/>
            <w:noWrap/>
            <w:vAlign w:val="center"/>
            <w:hideMark/>
          </w:tcPr>
          <w:p w14:paraId="583A90A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80</w:t>
            </w:r>
          </w:p>
        </w:tc>
        <w:tc>
          <w:tcPr>
            <w:tcW w:w="433" w:type="pct"/>
            <w:noWrap/>
            <w:vAlign w:val="center"/>
            <w:hideMark/>
          </w:tcPr>
          <w:p w14:paraId="59CCB64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1.11</w:t>
            </w:r>
          </w:p>
        </w:tc>
        <w:tc>
          <w:tcPr>
            <w:tcW w:w="240" w:type="pct"/>
            <w:noWrap/>
            <w:vAlign w:val="center"/>
            <w:hideMark/>
          </w:tcPr>
          <w:p w14:paraId="1D78B60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w:t>
            </w:r>
          </w:p>
        </w:tc>
        <w:tc>
          <w:tcPr>
            <w:tcW w:w="435" w:type="pct"/>
            <w:noWrap/>
            <w:vAlign w:val="center"/>
            <w:hideMark/>
          </w:tcPr>
          <w:p w14:paraId="3AECF3C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84</w:t>
            </w:r>
          </w:p>
        </w:tc>
        <w:tc>
          <w:tcPr>
            <w:tcW w:w="284" w:type="pct"/>
            <w:noWrap/>
            <w:vAlign w:val="center"/>
            <w:hideMark/>
          </w:tcPr>
          <w:p w14:paraId="2F50F81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50C9F9E7"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3E68D95A"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576738A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GS3a</w:t>
            </w:r>
          </w:p>
        </w:tc>
        <w:tc>
          <w:tcPr>
            <w:tcW w:w="724" w:type="pct"/>
            <w:noWrap/>
            <w:vAlign w:val="center"/>
            <w:hideMark/>
          </w:tcPr>
          <w:p w14:paraId="2DF501D0"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Mallee (Pliocene Sands)</w:t>
            </w:r>
          </w:p>
        </w:tc>
        <w:tc>
          <w:tcPr>
            <w:tcW w:w="238" w:type="pct"/>
            <w:noWrap/>
            <w:vAlign w:val="center"/>
            <w:hideMark/>
          </w:tcPr>
          <w:p w14:paraId="2B53434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41.4</w:t>
            </w:r>
          </w:p>
        </w:tc>
        <w:tc>
          <w:tcPr>
            <w:tcW w:w="433" w:type="pct"/>
            <w:noWrap/>
            <w:vAlign w:val="center"/>
            <w:hideMark/>
          </w:tcPr>
          <w:p w14:paraId="3449F0C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124.2</w:t>
            </w:r>
          </w:p>
        </w:tc>
        <w:tc>
          <w:tcPr>
            <w:tcW w:w="481" w:type="pct"/>
            <w:noWrap/>
            <w:vAlign w:val="center"/>
            <w:hideMark/>
          </w:tcPr>
          <w:p w14:paraId="13A6321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385" w:type="pct"/>
            <w:noWrap/>
            <w:vAlign w:val="center"/>
            <w:hideMark/>
          </w:tcPr>
          <w:p w14:paraId="69DD9B7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41.4</w:t>
            </w:r>
          </w:p>
        </w:tc>
        <w:tc>
          <w:tcPr>
            <w:tcW w:w="289" w:type="pct"/>
            <w:noWrap/>
            <w:vAlign w:val="center"/>
            <w:hideMark/>
          </w:tcPr>
          <w:p w14:paraId="75A1F3A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434" w:type="pct"/>
            <w:noWrap/>
            <w:vAlign w:val="center"/>
            <w:hideMark/>
          </w:tcPr>
          <w:p w14:paraId="610D3C2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165.6</w:t>
            </w:r>
          </w:p>
        </w:tc>
        <w:tc>
          <w:tcPr>
            <w:tcW w:w="433" w:type="pct"/>
            <w:noWrap/>
            <w:vAlign w:val="center"/>
            <w:hideMark/>
          </w:tcPr>
          <w:p w14:paraId="53CAD44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240" w:type="pct"/>
            <w:noWrap/>
            <w:vAlign w:val="center"/>
            <w:hideMark/>
          </w:tcPr>
          <w:p w14:paraId="273E95A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8.28</w:t>
            </w:r>
          </w:p>
        </w:tc>
        <w:tc>
          <w:tcPr>
            <w:tcW w:w="435" w:type="pct"/>
            <w:noWrap/>
            <w:vAlign w:val="center"/>
            <w:hideMark/>
          </w:tcPr>
          <w:p w14:paraId="26FF72F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173.9</w:t>
            </w:r>
          </w:p>
        </w:tc>
        <w:tc>
          <w:tcPr>
            <w:tcW w:w="284" w:type="pct"/>
            <w:noWrap/>
            <w:vAlign w:val="center"/>
            <w:hideMark/>
          </w:tcPr>
          <w:p w14:paraId="30EB5FE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25966300"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6F84F17A"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5A30B80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GS3b</w:t>
            </w:r>
          </w:p>
        </w:tc>
        <w:tc>
          <w:tcPr>
            <w:tcW w:w="724" w:type="pct"/>
            <w:noWrap/>
            <w:vAlign w:val="center"/>
            <w:hideMark/>
          </w:tcPr>
          <w:p w14:paraId="1A0FBA62"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Mallee (Murray Group Limestone)</w:t>
            </w:r>
          </w:p>
        </w:tc>
        <w:tc>
          <w:tcPr>
            <w:tcW w:w="238" w:type="pct"/>
            <w:noWrap/>
            <w:vAlign w:val="center"/>
            <w:hideMark/>
          </w:tcPr>
          <w:p w14:paraId="686E080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63.6</w:t>
            </w:r>
          </w:p>
        </w:tc>
        <w:tc>
          <w:tcPr>
            <w:tcW w:w="433" w:type="pct"/>
            <w:noWrap/>
            <w:vAlign w:val="center"/>
            <w:hideMark/>
          </w:tcPr>
          <w:p w14:paraId="6037113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190.8</w:t>
            </w:r>
          </w:p>
        </w:tc>
        <w:tc>
          <w:tcPr>
            <w:tcW w:w="481" w:type="pct"/>
            <w:noWrap/>
            <w:vAlign w:val="center"/>
            <w:hideMark/>
          </w:tcPr>
          <w:p w14:paraId="3B9C63E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106.9</w:t>
            </w:r>
          </w:p>
        </w:tc>
        <w:tc>
          <w:tcPr>
            <w:tcW w:w="385" w:type="pct"/>
            <w:noWrap/>
            <w:vAlign w:val="center"/>
            <w:hideMark/>
          </w:tcPr>
          <w:p w14:paraId="79B1E84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63.6</w:t>
            </w:r>
          </w:p>
        </w:tc>
        <w:tc>
          <w:tcPr>
            <w:tcW w:w="289" w:type="pct"/>
            <w:noWrap/>
            <w:vAlign w:val="center"/>
            <w:hideMark/>
          </w:tcPr>
          <w:p w14:paraId="3929486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29.7</w:t>
            </w:r>
          </w:p>
        </w:tc>
        <w:tc>
          <w:tcPr>
            <w:tcW w:w="434" w:type="pct"/>
            <w:noWrap/>
            <w:vAlign w:val="center"/>
            <w:hideMark/>
          </w:tcPr>
          <w:p w14:paraId="7FCAA7D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254.4</w:t>
            </w:r>
          </w:p>
        </w:tc>
        <w:tc>
          <w:tcPr>
            <w:tcW w:w="433" w:type="pct"/>
            <w:noWrap/>
            <w:vAlign w:val="center"/>
            <w:hideMark/>
          </w:tcPr>
          <w:p w14:paraId="1C961E4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136.5</w:t>
            </w:r>
          </w:p>
        </w:tc>
        <w:tc>
          <w:tcPr>
            <w:tcW w:w="240" w:type="pct"/>
            <w:noWrap/>
            <w:vAlign w:val="center"/>
            <w:hideMark/>
          </w:tcPr>
          <w:p w14:paraId="461459B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12.7</w:t>
            </w:r>
          </w:p>
        </w:tc>
        <w:tc>
          <w:tcPr>
            <w:tcW w:w="435" w:type="pct"/>
            <w:noWrap/>
            <w:vAlign w:val="center"/>
            <w:hideMark/>
          </w:tcPr>
          <w:p w14:paraId="15C3A09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267.1</w:t>
            </w:r>
          </w:p>
        </w:tc>
        <w:tc>
          <w:tcPr>
            <w:tcW w:w="284" w:type="pct"/>
            <w:noWrap/>
            <w:vAlign w:val="center"/>
            <w:hideMark/>
          </w:tcPr>
          <w:p w14:paraId="0CF4C78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336BA33B"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1560C740"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3CC8AA5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GS3c</w:t>
            </w:r>
          </w:p>
        </w:tc>
        <w:tc>
          <w:tcPr>
            <w:tcW w:w="724" w:type="pct"/>
            <w:noWrap/>
            <w:vAlign w:val="center"/>
            <w:hideMark/>
          </w:tcPr>
          <w:p w14:paraId="793B4EAD"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Mallee (Renmark Group)</w:t>
            </w:r>
          </w:p>
        </w:tc>
        <w:tc>
          <w:tcPr>
            <w:tcW w:w="238" w:type="pct"/>
            <w:noWrap/>
            <w:vAlign w:val="center"/>
            <w:hideMark/>
          </w:tcPr>
          <w:p w14:paraId="73462DD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w:t>
            </w:r>
          </w:p>
        </w:tc>
        <w:tc>
          <w:tcPr>
            <w:tcW w:w="433" w:type="pct"/>
            <w:noWrap/>
            <w:vAlign w:val="center"/>
            <w:hideMark/>
          </w:tcPr>
          <w:p w14:paraId="66599FF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w:t>
            </w:r>
          </w:p>
        </w:tc>
        <w:tc>
          <w:tcPr>
            <w:tcW w:w="481" w:type="pct"/>
            <w:noWrap/>
            <w:vAlign w:val="center"/>
            <w:hideMark/>
          </w:tcPr>
          <w:p w14:paraId="175BBC1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385" w:type="pct"/>
            <w:noWrap/>
            <w:vAlign w:val="center"/>
            <w:hideMark/>
          </w:tcPr>
          <w:p w14:paraId="354BE95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w:t>
            </w:r>
          </w:p>
        </w:tc>
        <w:tc>
          <w:tcPr>
            <w:tcW w:w="289" w:type="pct"/>
            <w:noWrap/>
            <w:vAlign w:val="center"/>
            <w:hideMark/>
          </w:tcPr>
          <w:p w14:paraId="3C439BC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434" w:type="pct"/>
            <w:noWrap/>
            <w:vAlign w:val="center"/>
            <w:hideMark/>
          </w:tcPr>
          <w:p w14:paraId="08BBEDB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w:t>
            </w:r>
          </w:p>
        </w:tc>
        <w:tc>
          <w:tcPr>
            <w:tcW w:w="433" w:type="pct"/>
            <w:noWrap/>
            <w:vAlign w:val="center"/>
            <w:hideMark/>
          </w:tcPr>
          <w:p w14:paraId="2C9B902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240" w:type="pct"/>
            <w:noWrap/>
            <w:vAlign w:val="center"/>
            <w:hideMark/>
          </w:tcPr>
          <w:p w14:paraId="66F6CA2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0.4</w:t>
            </w:r>
          </w:p>
        </w:tc>
        <w:tc>
          <w:tcPr>
            <w:tcW w:w="435" w:type="pct"/>
            <w:noWrap/>
            <w:vAlign w:val="center"/>
            <w:hideMark/>
          </w:tcPr>
          <w:p w14:paraId="24B59EF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8.4</w:t>
            </w:r>
          </w:p>
        </w:tc>
        <w:tc>
          <w:tcPr>
            <w:tcW w:w="284" w:type="pct"/>
            <w:noWrap/>
            <w:vAlign w:val="center"/>
            <w:hideMark/>
          </w:tcPr>
          <w:p w14:paraId="66A06C6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1CA6A915"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4361D2EB"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1AE55BF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GS5a</w:t>
            </w:r>
          </w:p>
        </w:tc>
        <w:tc>
          <w:tcPr>
            <w:tcW w:w="724" w:type="pct"/>
            <w:noWrap/>
            <w:vAlign w:val="center"/>
            <w:hideMark/>
          </w:tcPr>
          <w:p w14:paraId="6C05B6FE"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Peake–Roby–Sherlock (unconfined)</w:t>
            </w:r>
          </w:p>
        </w:tc>
        <w:tc>
          <w:tcPr>
            <w:tcW w:w="238" w:type="pct"/>
            <w:noWrap/>
            <w:vAlign w:val="center"/>
            <w:hideMark/>
          </w:tcPr>
          <w:p w14:paraId="324A2B2E"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3.41</w:t>
            </w:r>
          </w:p>
        </w:tc>
        <w:tc>
          <w:tcPr>
            <w:tcW w:w="433" w:type="pct"/>
            <w:noWrap/>
            <w:vAlign w:val="center"/>
            <w:hideMark/>
          </w:tcPr>
          <w:p w14:paraId="626755C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10.2</w:t>
            </w:r>
          </w:p>
        </w:tc>
        <w:tc>
          <w:tcPr>
            <w:tcW w:w="481" w:type="pct"/>
            <w:noWrap/>
            <w:vAlign w:val="center"/>
            <w:hideMark/>
          </w:tcPr>
          <w:p w14:paraId="3151C95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0.57</w:t>
            </w:r>
          </w:p>
        </w:tc>
        <w:tc>
          <w:tcPr>
            <w:tcW w:w="385" w:type="pct"/>
            <w:noWrap/>
            <w:vAlign w:val="center"/>
            <w:hideMark/>
          </w:tcPr>
          <w:p w14:paraId="29A614F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3.41</w:t>
            </w:r>
          </w:p>
        </w:tc>
        <w:tc>
          <w:tcPr>
            <w:tcW w:w="289" w:type="pct"/>
            <w:noWrap/>
            <w:vAlign w:val="center"/>
            <w:hideMark/>
          </w:tcPr>
          <w:p w14:paraId="637EA24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0.19</w:t>
            </w:r>
          </w:p>
        </w:tc>
        <w:tc>
          <w:tcPr>
            <w:tcW w:w="434" w:type="pct"/>
            <w:noWrap/>
            <w:vAlign w:val="center"/>
            <w:hideMark/>
          </w:tcPr>
          <w:p w14:paraId="0C23EB7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13.6</w:t>
            </w:r>
          </w:p>
        </w:tc>
        <w:tc>
          <w:tcPr>
            <w:tcW w:w="433" w:type="pct"/>
            <w:noWrap/>
            <w:vAlign w:val="center"/>
            <w:hideMark/>
          </w:tcPr>
          <w:p w14:paraId="590BEE4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0.76</w:t>
            </w:r>
          </w:p>
        </w:tc>
        <w:tc>
          <w:tcPr>
            <w:tcW w:w="240" w:type="pct"/>
            <w:noWrap/>
            <w:vAlign w:val="center"/>
            <w:hideMark/>
          </w:tcPr>
          <w:p w14:paraId="39C0AAF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0.68</w:t>
            </w:r>
          </w:p>
        </w:tc>
        <w:tc>
          <w:tcPr>
            <w:tcW w:w="435" w:type="pct"/>
            <w:noWrap/>
            <w:vAlign w:val="center"/>
            <w:hideMark/>
          </w:tcPr>
          <w:p w14:paraId="2F6B1CF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14.3</w:t>
            </w:r>
          </w:p>
        </w:tc>
        <w:tc>
          <w:tcPr>
            <w:tcW w:w="284" w:type="pct"/>
            <w:noWrap/>
            <w:vAlign w:val="center"/>
            <w:hideMark/>
          </w:tcPr>
          <w:p w14:paraId="3B43372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7D20A0D2"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40B15808"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6E8AF6B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GS5b</w:t>
            </w:r>
          </w:p>
        </w:tc>
        <w:tc>
          <w:tcPr>
            <w:tcW w:w="724" w:type="pct"/>
            <w:noWrap/>
            <w:vAlign w:val="center"/>
            <w:hideMark/>
          </w:tcPr>
          <w:p w14:paraId="64285D3E"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Peake–Roby–Sherlock (confined)</w:t>
            </w:r>
          </w:p>
        </w:tc>
        <w:tc>
          <w:tcPr>
            <w:tcW w:w="238" w:type="pct"/>
            <w:noWrap/>
            <w:vAlign w:val="center"/>
            <w:hideMark/>
          </w:tcPr>
          <w:p w14:paraId="7B8DF05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2.58</w:t>
            </w:r>
          </w:p>
        </w:tc>
        <w:tc>
          <w:tcPr>
            <w:tcW w:w="433" w:type="pct"/>
            <w:noWrap/>
            <w:vAlign w:val="center"/>
            <w:hideMark/>
          </w:tcPr>
          <w:p w14:paraId="0F4AD54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7.74</w:t>
            </w:r>
          </w:p>
        </w:tc>
        <w:tc>
          <w:tcPr>
            <w:tcW w:w="481" w:type="pct"/>
            <w:noWrap/>
            <w:vAlign w:val="center"/>
            <w:hideMark/>
          </w:tcPr>
          <w:p w14:paraId="44E51FA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2.91</w:t>
            </w:r>
          </w:p>
        </w:tc>
        <w:tc>
          <w:tcPr>
            <w:tcW w:w="385" w:type="pct"/>
            <w:noWrap/>
            <w:vAlign w:val="center"/>
            <w:hideMark/>
          </w:tcPr>
          <w:p w14:paraId="24FCCE4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2.58</w:t>
            </w:r>
          </w:p>
        </w:tc>
        <w:tc>
          <w:tcPr>
            <w:tcW w:w="289" w:type="pct"/>
            <w:noWrap/>
            <w:vAlign w:val="center"/>
            <w:hideMark/>
          </w:tcPr>
          <w:p w14:paraId="1181FD2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0.75</w:t>
            </w:r>
          </w:p>
        </w:tc>
        <w:tc>
          <w:tcPr>
            <w:tcW w:w="434" w:type="pct"/>
            <w:noWrap/>
            <w:vAlign w:val="center"/>
            <w:hideMark/>
          </w:tcPr>
          <w:p w14:paraId="42DA14C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10.3</w:t>
            </w:r>
          </w:p>
        </w:tc>
        <w:tc>
          <w:tcPr>
            <w:tcW w:w="433" w:type="pct"/>
            <w:noWrap/>
            <w:vAlign w:val="center"/>
            <w:hideMark/>
          </w:tcPr>
          <w:p w14:paraId="435B7B3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3.66</w:t>
            </w:r>
          </w:p>
        </w:tc>
        <w:tc>
          <w:tcPr>
            <w:tcW w:w="240" w:type="pct"/>
            <w:noWrap/>
            <w:vAlign w:val="center"/>
            <w:hideMark/>
          </w:tcPr>
          <w:p w14:paraId="2793E3C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0.52</w:t>
            </w:r>
          </w:p>
        </w:tc>
        <w:tc>
          <w:tcPr>
            <w:tcW w:w="435" w:type="pct"/>
            <w:noWrap/>
            <w:vAlign w:val="center"/>
            <w:hideMark/>
          </w:tcPr>
          <w:p w14:paraId="6F95EC22"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10.8</w:t>
            </w:r>
          </w:p>
        </w:tc>
        <w:tc>
          <w:tcPr>
            <w:tcW w:w="284" w:type="pct"/>
            <w:noWrap/>
            <w:vAlign w:val="center"/>
            <w:hideMark/>
          </w:tcPr>
          <w:p w14:paraId="6590BFF2"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05652F82"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67C6866E"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46202AC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GS6</w:t>
            </w:r>
          </w:p>
        </w:tc>
        <w:tc>
          <w:tcPr>
            <w:tcW w:w="724" w:type="pct"/>
            <w:noWrap/>
            <w:vAlign w:val="center"/>
            <w:hideMark/>
          </w:tcPr>
          <w:p w14:paraId="5B155DE5"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SA Murray</w:t>
            </w:r>
          </w:p>
        </w:tc>
        <w:tc>
          <w:tcPr>
            <w:tcW w:w="238" w:type="pct"/>
            <w:noWrap/>
            <w:vAlign w:val="center"/>
            <w:hideMark/>
          </w:tcPr>
          <w:p w14:paraId="5DBFF8F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64.8</w:t>
            </w:r>
          </w:p>
        </w:tc>
        <w:tc>
          <w:tcPr>
            <w:tcW w:w="433" w:type="pct"/>
            <w:noWrap/>
            <w:vAlign w:val="center"/>
            <w:hideMark/>
          </w:tcPr>
          <w:p w14:paraId="28BF600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194.4</w:t>
            </w:r>
          </w:p>
        </w:tc>
        <w:tc>
          <w:tcPr>
            <w:tcW w:w="481" w:type="pct"/>
            <w:noWrap/>
            <w:vAlign w:val="center"/>
            <w:hideMark/>
          </w:tcPr>
          <w:p w14:paraId="50D45BF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5.4</w:t>
            </w:r>
          </w:p>
        </w:tc>
        <w:tc>
          <w:tcPr>
            <w:tcW w:w="385" w:type="pct"/>
            <w:noWrap/>
            <w:vAlign w:val="center"/>
            <w:hideMark/>
          </w:tcPr>
          <w:p w14:paraId="7DD7ED2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64.8</w:t>
            </w:r>
          </w:p>
        </w:tc>
        <w:tc>
          <w:tcPr>
            <w:tcW w:w="289" w:type="pct"/>
            <w:noWrap/>
            <w:vAlign w:val="center"/>
            <w:hideMark/>
          </w:tcPr>
          <w:p w14:paraId="5FB14795"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w:t>
            </w:r>
          </w:p>
        </w:tc>
        <w:tc>
          <w:tcPr>
            <w:tcW w:w="434" w:type="pct"/>
            <w:noWrap/>
            <w:vAlign w:val="center"/>
            <w:hideMark/>
          </w:tcPr>
          <w:p w14:paraId="2F14005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259.2</w:t>
            </w:r>
          </w:p>
        </w:tc>
        <w:tc>
          <w:tcPr>
            <w:tcW w:w="433" w:type="pct"/>
            <w:noWrap/>
            <w:vAlign w:val="center"/>
            <w:hideMark/>
          </w:tcPr>
          <w:p w14:paraId="2D5CC71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7.2</w:t>
            </w:r>
          </w:p>
        </w:tc>
        <w:tc>
          <w:tcPr>
            <w:tcW w:w="240" w:type="pct"/>
            <w:noWrap/>
            <w:vAlign w:val="center"/>
            <w:hideMark/>
          </w:tcPr>
          <w:p w14:paraId="5B4EA8E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w:t>
            </w:r>
          </w:p>
        </w:tc>
        <w:tc>
          <w:tcPr>
            <w:tcW w:w="435" w:type="pct"/>
            <w:noWrap/>
            <w:vAlign w:val="center"/>
            <w:hideMark/>
          </w:tcPr>
          <w:p w14:paraId="73B18C50"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272.2</w:t>
            </w:r>
          </w:p>
        </w:tc>
        <w:tc>
          <w:tcPr>
            <w:tcW w:w="284" w:type="pct"/>
            <w:noWrap/>
            <w:vAlign w:val="center"/>
            <w:hideMark/>
          </w:tcPr>
          <w:p w14:paraId="7D60CB5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67382245"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15DC478D"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3EB19DF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GS7</w:t>
            </w:r>
          </w:p>
        </w:tc>
        <w:tc>
          <w:tcPr>
            <w:tcW w:w="724" w:type="pct"/>
            <w:noWrap/>
            <w:vAlign w:val="center"/>
            <w:hideMark/>
          </w:tcPr>
          <w:p w14:paraId="3F064AAD"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SA Murray Salt Interception Schemes</w:t>
            </w:r>
          </w:p>
        </w:tc>
        <w:tc>
          <w:tcPr>
            <w:tcW w:w="238" w:type="pct"/>
            <w:noWrap/>
            <w:vAlign w:val="center"/>
            <w:hideMark/>
          </w:tcPr>
          <w:p w14:paraId="6F6B93E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28.6</w:t>
            </w:r>
          </w:p>
        </w:tc>
        <w:tc>
          <w:tcPr>
            <w:tcW w:w="433" w:type="pct"/>
            <w:noWrap/>
            <w:vAlign w:val="center"/>
            <w:hideMark/>
          </w:tcPr>
          <w:p w14:paraId="0D16FD7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85.8</w:t>
            </w:r>
          </w:p>
        </w:tc>
        <w:tc>
          <w:tcPr>
            <w:tcW w:w="481" w:type="pct"/>
            <w:noWrap/>
            <w:vAlign w:val="center"/>
            <w:hideMark/>
          </w:tcPr>
          <w:p w14:paraId="46055B6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40.6</w:t>
            </w:r>
          </w:p>
        </w:tc>
        <w:tc>
          <w:tcPr>
            <w:tcW w:w="385" w:type="pct"/>
            <w:noWrap/>
            <w:vAlign w:val="center"/>
            <w:hideMark/>
          </w:tcPr>
          <w:p w14:paraId="56911EB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28.6</w:t>
            </w:r>
          </w:p>
        </w:tc>
        <w:tc>
          <w:tcPr>
            <w:tcW w:w="289" w:type="pct"/>
            <w:noWrap/>
            <w:vAlign w:val="center"/>
            <w:hideMark/>
          </w:tcPr>
          <w:p w14:paraId="1855371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10.6</w:t>
            </w:r>
          </w:p>
        </w:tc>
        <w:tc>
          <w:tcPr>
            <w:tcW w:w="434" w:type="pct"/>
            <w:noWrap/>
            <w:vAlign w:val="center"/>
            <w:hideMark/>
          </w:tcPr>
          <w:p w14:paraId="182E4B1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114.4</w:t>
            </w:r>
          </w:p>
        </w:tc>
        <w:tc>
          <w:tcPr>
            <w:tcW w:w="433" w:type="pct"/>
            <w:noWrap/>
            <w:vAlign w:val="center"/>
            <w:hideMark/>
          </w:tcPr>
          <w:p w14:paraId="43026E0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51.3</w:t>
            </w:r>
          </w:p>
        </w:tc>
        <w:tc>
          <w:tcPr>
            <w:tcW w:w="240" w:type="pct"/>
            <w:noWrap/>
            <w:vAlign w:val="center"/>
            <w:hideMark/>
          </w:tcPr>
          <w:p w14:paraId="4F437B0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5.72</w:t>
            </w:r>
          </w:p>
        </w:tc>
        <w:tc>
          <w:tcPr>
            <w:tcW w:w="435" w:type="pct"/>
            <w:noWrap/>
            <w:vAlign w:val="center"/>
            <w:hideMark/>
          </w:tcPr>
          <w:p w14:paraId="6AD4754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120.1</w:t>
            </w:r>
          </w:p>
        </w:tc>
        <w:tc>
          <w:tcPr>
            <w:tcW w:w="284" w:type="pct"/>
            <w:noWrap/>
            <w:vAlign w:val="center"/>
            <w:hideMark/>
          </w:tcPr>
          <w:p w14:paraId="73A39FD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7981CBED"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6F879432"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lastRenderedPageBreak/>
              <w:t>SA</w:t>
            </w:r>
          </w:p>
        </w:tc>
        <w:tc>
          <w:tcPr>
            <w:tcW w:w="385" w:type="pct"/>
            <w:noWrap/>
            <w:vAlign w:val="center"/>
            <w:hideMark/>
          </w:tcPr>
          <w:p w14:paraId="3F4D27E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GS1a</w:t>
            </w:r>
          </w:p>
        </w:tc>
        <w:tc>
          <w:tcPr>
            <w:tcW w:w="724" w:type="pct"/>
            <w:noWrap/>
            <w:vAlign w:val="center"/>
            <w:hideMark/>
          </w:tcPr>
          <w:p w14:paraId="0E012FA0"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Angas Bremer (Quaternary Sediments)</w:t>
            </w:r>
          </w:p>
        </w:tc>
        <w:tc>
          <w:tcPr>
            <w:tcW w:w="238" w:type="pct"/>
            <w:noWrap/>
            <w:vAlign w:val="center"/>
            <w:hideMark/>
          </w:tcPr>
          <w:p w14:paraId="5E8CCB0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1.09</w:t>
            </w:r>
          </w:p>
        </w:tc>
        <w:tc>
          <w:tcPr>
            <w:tcW w:w="433" w:type="pct"/>
            <w:noWrap/>
            <w:vAlign w:val="center"/>
            <w:hideMark/>
          </w:tcPr>
          <w:p w14:paraId="5A5533A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0.75</w:t>
            </w:r>
          </w:p>
        </w:tc>
        <w:tc>
          <w:tcPr>
            <w:tcW w:w="481" w:type="pct"/>
            <w:noWrap/>
            <w:vAlign w:val="center"/>
            <w:hideMark/>
          </w:tcPr>
          <w:p w14:paraId="11AAF698"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385" w:type="pct"/>
            <w:noWrap/>
            <w:vAlign w:val="center"/>
            <w:hideMark/>
          </w:tcPr>
          <w:p w14:paraId="66C2DAC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0.25</w:t>
            </w:r>
          </w:p>
        </w:tc>
        <w:tc>
          <w:tcPr>
            <w:tcW w:w="289" w:type="pct"/>
            <w:noWrap/>
            <w:vAlign w:val="center"/>
            <w:hideMark/>
          </w:tcPr>
          <w:p w14:paraId="5C5072B7"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434" w:type="pct"/>
            <w:noWrap/>
            <w:vAlign w:val="center"/>
            <w:hideMark/>
          </w:tcPr>
          <w:p w14:paraId="154DAF9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w:t>
            </w:r>
          </w:p>
        </w:tc>
        <w:tc>
          <w:tcPr>
            <w:tcW w:w="433" w:type="pct"/>
            <w:noWrap/>
            <w:vAlign w:val="center"/>
            <w:hideMark/>
          </w:tcPr>
          <w:p w14:paraId="60554CC1"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240" w:type="pct"/>
            <w:noWrap/>
            <w:vAlign w:val="center"/>
            <w:hideMark/>
          </w:tcPr>
          <w:p w14:paraId="436E645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0.22</w:t>
            </w:r>
          </w:p>
        </w:tc>
        <w:tc>
          <w:tcPr>
            <w:tcW w:w="435" w:type="pct"/>
            <w:noWrap/>
            <w:vAlign w:val="center"/>
            <w:hideMark/>
          </w:tcPr>
          <w:p w14:paraId="7D0C9B2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1.22</w:t>
            </w:r>
          </w:p>
        </w:tc>
        <w:tc>
          <w:tcPr>
            <w:tcW w:w="284" w:type="pct"/>
            <w:noWrap/>
            <w:vAlign w:val="center"/>
            <w:hideMark/>
          </w:tcPr>
          <w:p w14:paraId="67A9D5F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4EA2A95F"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03793E95"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5D629AC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GS1b</w:t>
            </w:r>
          </w:p>
        </w:tc>
        <w:tc>
          <w:tcPr>
            <w:tcW w:w="724" w:type="pct"/>
            <w:noWrap/>
            <w:vAlign w:val="center"/>
            <w:hideMark/>
          </w:tcPr>
          <w:p w14:paraId="2AD92E38"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Angas Bremer (Murray Group Limestone)</w:t>
            </w:r>
          </w:p>
        </w:tc>
        <w:tc>
          <w:tcPr>
            <w:tcW w:w="238" w:type="pct"/>
            <w:noWrap/>
            <w:vAlign w:val="center"/>
            <w:hideMark/>
          </w:tcPr>
          <w:p w14:paraId="68CEF75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6.57</w:t>
            </w:r>
          </w:p>
        </w:tc>
        <w:tc>
          <w:tcPr>
            <w:tcW w:w="433" w:type="pct"/>
            <w:noWrap/>
            <w:vAlign w:val="center"/>
            <w:hideMark/>
          </w:tcPr>
          <w:p w14:paraId="66F33B5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19.7</w:t>
            </w:r>
          </w:p>
        </w:tc>
        <w:tc>
          <w:tcPr>
            <w:tcW w:w="481" w:type="pct"/>
            <w:noWrap/>
            <w:vAlign w:val="center"/>
            <w:hideMark/>
          </w:tcPr>
          <w:p w14:paraId="1C37583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3.52</w:t>
            </w:r>
          </w:p>
        </w:tc>
        <w:tc>
          <w:tcPr>
            <w:tcW w:w="385" w:type="pct"/>
            <w:noWrap/>
            <w:vAlign w:val="center"/>
            <w:hideMark/>
          </w:tcPr>
          <w:p w14:paraId="123EE10A"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6.57</w:t>
            </w:r>
          </w:p>
        </w:tc>
        <w:tc>
          <w:tcPr>
            <w:tcW w:w="289" w:type="pct"/>
            <w:noWrap/>
            <w:vAlign w:val="center"/>
            <w:hideMark/>
          </w:tcPr>
          <w:p w14:paraId="114BE792"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0.74</w:t>
            </w:r>
          </w:p>
        </w:tc>
        <w:tc>
          <w:tcPr>
            <w:tcW w:w="434" w:type="pct"/>
            <w:noWrap/>
            <w:vAlign w:val="center"/>
            <w:hideMark/>
          </w:tcPr>
          <w:p w14:paraId="27FF8297"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26.3</w:t>
            </w:r>
          </w:p>
        </w:tc>
        <w:tc>
          <w:tcPr>
            <w:tcW w:w="433" w:type="pct"/>
            <w:noWrap/>
            <w:vAlign w:val="center"/>
            <w:hideMark/>
          </w:tcPr>
          <w:p w14:paraId="1041975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4.26</w:t>
            </w:r>
          </w:p>
        </w:tc>
        <w:tc>
          <w:tcPr>
            <w:tcW w:w="240" w:type="pct"/>
            <w:noWrap/>
            <w:vAlign w:val="center"/>
            <w:hideMark/>
          </w:tcPr>
          <w:p w14:paraId="3F57150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1.31</w:t>
            </w:r>
          </w:p>
        </w:tc>
        <w:tc>
          <w:tcPr>
            <w:tcW w:w="435" w:type="pct"/>
            <w:noWrap/>
            <w:vAlign w:val="center"/>
            <w:hideMark/>
          </w:tcPr>
          <w:p w14:paraId="0ACEB17F"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27.6</w:t>
            </w:r>
          </w:p>
        </w:tc>
        <w:tc>
          <w:tcPr>
            <w:tcW w:w="284" w:type="pct"/>
            <w:noWrap/>
            <w:vAlign w:val="center"/>
            <w:hideMark/>
          </w:tcPr>
          <w:p w14:paraId="367C039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09F8E963"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51488278"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65C2111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GS2</w:t>
            </w:r>
          </w:p>
        </w:tc>
        <w:tc>
          <w:tcPr>
            <w:tcW w:w="724" w:type="pct"/>
            <w:noWrap/>
            <w:vAlign w:val="center"/>
            <w:hideMark/>
          </w:tcPr>
          <w:p w14:paraId="61162426"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Eastern Mount Lofty Ranges</w:t>
            </w:r>
          </w:p>
        </w:tc>
        <w:tc>
          <w:tcPr>
            <w:tcW w:w="238" w:type="pct"/>
            <w:noWrap/>
            <w:vAlign w:val="center"/>
            <w:hideMark/>
          </w:tcPr>
          <w:p w14:paraId="2975B79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38.5</w:t>
            </w:r>
          </w:p>
        </w:tc>
        <w:tc>
          <w:tcPr>
            <w:tcW w:w="433" w:type="pct"/>
            <w:noWrap/>
            <w:vAlign w:val="center"/>
            <w:hideMark/>
          </w:tcPr>
          <w:p w14:paraId="2412253B"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115.5</w:t>
            </w:r>
          </w:p>
        </w:tc>
        <w:tc>
          <w:tcPr>
            <w:tcW w:w="481" w:type="pct"/>
            <w:noWrap/>
            <w:vAlign w:val="center"/>
            <w:hideMark/>
          </w:tcPr>
          <w:p w14:paraId="672B136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31.6</w:t>
            </w:r>
          </w:p>
        </w:tc>
        <w:tc>
          <w:tcPr>
            <w:tcW w:w="385" w:type="pct"/>
            <w:noWrap/>
            <w:vAlign w:val="center"/>
            <w:hideMark/>
          </w:tcPr>
          <w:p w14:paraId="7A9582B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38.5</w:t>
            </w:r>
          </w:p>
        </w:tc>
        <w:tc>
          <w:tcPr>
            <w:tcW w:w="289" w:type="pct"/>
            <w:noWrap/>
            <w:vAlign w:val="center"/>
            <w:hideMark/>
          </w:tcPr>
          <w:p w14:paraId="54C43D7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8.29</w:t>
            </w:r>
          </w:p>
        </w:tc>
        <w:tc>
          <w:tcPr>
            <w:tcW w:w="434" w:type="pct"/>
            <w:noWrap/>
            <w:vAlign w:val="center"/>
            <w:hideMark/>
          </w:tcPr>
          <w:p w14:paraId="07778EE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154</w:t>
            </w:r>
          </w:p>
        </w:tc>
        <w:tc>
          <w:tcPr>
            <w:tcW w:w="433" w:type="pct"/>
            <w:noWrap/>
            <w:vAlign w:val="center"/>
            <w:hideMark/>
          </w:tcPr>
          <w:p w14:paraId="10B1C0A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39.9</w:t>
            </w:r>
          </w:p>
        </w:tc>
        <w:tc>
          <w:tcPr>
            <w:tcW w:w="240" w:type="pct"/>
            <w:noWrap/>
            <w:vAlign w:val="center"/>
            <w:hideMark/>
          </w:tcPr>
          <w:p w14:paraId="0E38C23A"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7.7</w:t>
            </w:r>
          </w:p>
        </w:tc>
        <w:tc>
          <w:tcPr>
            <w:tcW w:w="435" w:type="pct"/>
            <w:noWrap/>
            <w:vAlign w:val="center"/>
            <w:hideMark/>
          </w:tcPr>
          <w:p w14:paraId="327FF2B4"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161.7</w:t>
            </w:r>
          </w:p>
        </w:tc>
        <w:tc>
          <w:tcPr>
            <w:tcW w:w="284" w:type="pct"/>
            <w:noWrap/>
            <w:vAlign w:val="center"/>
            <w:hideMark/>
          </w:tcPr>
          <w:p w14:paraId="718EAFB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549B574D"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2D1E3B08"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7BCB60F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GS4a</w:t>
            </w:r>
          </w:p>
        </w:tc>
        <w:tc>
          <w:tcPr>
            <w:tcW w:w="724" w:type="pct"/>
            <w:noWrap/>
            <w:vAlign w:val="center"/>
            <w:hideMark/>
          </w:tcPr>
          <w:p w14:paraId="4454EE3A"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Marne Saunders (Fractured Rock)</w:t>
            </w:r>
          </w:p>
        </w:tc>
        <w:tc>
          <w:tcPr>
            <w:tcW w:w="238" w:type="pct"/>
            <w:noWrap/>
            <w:vAlign w:val="center"/>
            <w:hideMark/>
          </w:tcPr>
          <w:p w14:paraId="09440DF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2.09</w:t>
            </w:r>
          </w:p>
        </w:tc>
        <w:tc>
          <w:tcPr>
            <w:tcW w:w="433" w:type="pct"/>
            <w:noWrap/>
            <w:vAlign w:val="center"/>
            <w:hideMark/>
          </w:tcPr>
          <w:p w14:paraId="12D7E5D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6.27</w:t>
            </w:r>
          </w:p>
        </w:tc>
        <w:tc>
          <w:tcPr>
            <w:tcW w:w="481" w:type="pct"/>
            <w:noWrap/>
            <w:vAlign w:val="center"/>
            <w:hideMark/>
          </w:tcPr>
          <w:p w14:paraId="7F9841C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1.53</w:t>
            </w:r>
          </w:p>
        </w:tc>
        <w:tc>
          <w:tcPr>
            <w:tcW w:w="385" w:type="pct"/>
            <w:noWrap/>
            <w:vAlign w:val="center"/>
            <w:hideMark/>
          </w:tcPr>
          <w:p w14:paraId="0F20CB7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2.09</w:t>
            </w:r>
          </w:p>
        </w:tc>
        <w:tc>
          <w:tcPr>
            <w:tcW w:w="289" w:type="pct"/>
            <w:noWrap/>
            <w:vAlign w:val="center"/>
            <w:hideMark/>
          </w:tcPr>
          <w:p w14:paraId="78292E46"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0.32</w:t>
            </w:r>
          </w:p>
        </w:tc>
        <w:tc>
          <w:tcPr>
            <w:tcW w:w="434" w:type="pct"/>
            <w:noWrap/>
            <w:vAlign w:val="center"/>
            <w:hideMark/>
          </w:tcPr>
          <w:p w14:paraId="5EE1222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8.36</w:t>
            </w:r>
          </w:p>
        </w:tc>
        <w:tc>
          <w:tcPr>
            <w:tcW w:w="433" w:type="pct"/>
            <w:noWrap/>
            <w:vAlign w:val="center"/>
            <w:hideMark/>
          </w:tcPr>
          <w:p w14:paraId="7DE8DDCD"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1.84</w:t>
            </w:r>
          </w:p>
        </w:tc>
        <w:tc>
          <w:tcPr>
            <w:tcW w:w="240" w:type="pct"/>
            <w:noWrap/>
            <w:vAlign w:val="center"/>
            <w:hideMark/>
          </w:tcPr>
          <w:p w14:paraId="69921049"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0.42</w:t>
            </w:r>
          </w:p>
        </w:tc>
        <w:tc>
          <w:tcPr>
            <w:tcW w:w="435" w:type="pct"/>
            <w:noWrap/>
            <w:vAlign w:val="center"/>
            <w:hideMark/>
          </w:tcPr>
          <w:p w14:paraId="2387A274"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8.78</w:t>
            </w:r>
          </w:p>
        </w:tc>
        <w:tc>
          <w:tcPr>
            <w:tcW w:w="284" w:type="pct"/>
            <w:noWrap/>
            <w:vAlign w:val="center"/>
            <w:hideMark/>
          </w:tcPr>
          <w:p w14:paraId="256FFF2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1863DF" w:rsidRPr="009469B2" w14:paraId="5D164B0F" w14:textId="77777777" w:rsidTr="0077420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6670F54B"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167F33A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GS4b</w:t>
            </w:r>
          </w:p>
        </w:tc>
        <w:tc>
          <w:tcPr>
            <w:tcW w:w="724" w:type="pct"/>
            <w:noWrap/>
            <w:vAlign w:val="center"/>
            <w:hideMark/>
          </w:tcPr>
          <w:p w14:paraId="28EDA613" w14:textId="77777777" w:rsidR="0049442F" w:rsidRPr="0049442F" w:rsidRDefault="0049442F" w:rsidP="00AA295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Marne Saunders (Murray Group Limestone)</w:t>
            </w:r>
          </w:p>
        </w:tc>
        <w:tc>
          <w:tcPr>
            <w:tcW w:w="238" w:type="pct"/>
            <w:noWrap/>
            <w:vAlign w:val="center"/>
            <w:hideMark/>
          </w:tcPr>
          <w:p w14:paraId="4008EBE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2.38</w:t>
            </w:r>
          </w:p>
        </w:tc>
        <w:tc>
          <w:tcPr>
            <w:tcW w:w="433" w:type="pct"/>
            <w:noWrap/>
            <w:vAlign w:val="center"/>
            <w:hideMark/>
          </w:tcPr>
          <w:p w14:paraId="314F2EA6"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7.02</w:t>
            </w:r>
          </w:p>
        </w:tc>
        <w:tc>
          <w:tcPr>
            <w:tcW w:w="481" w:type="pct"/>
            <w:noWrap/>
            <w:vAlign w:val="center"/>
            <w:hideMark/>
          </w:tcPr>
          <w:p w14:paraId="45BD6A73"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3.69</w:t>
            </w:r>
          </w:p>
        </w:tc>
        <w:tc>
          <w:tcPr>
            <w:tcW w:w="385" w:type="pct"/>
            <w:noWrap/>
            <w:vAlign w:val="center"/>
            <w:hideMark/>
          </w:tcPr>
          <w:p w14:paraId="0EA996F2"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2.34</w:t>
            </w:r>
          </w:p>
        </w:tc>
        <w:tc>
          <w:tcPr>
            <w:tcW w:w="289" w:type="pct"/>
            <w:noWrap/>
            <w:vAlign w:val="center"/>
            <w:hideMark/>
          </w:tcPr>
          <w:p w14:paraId="1B107B3D"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1.15</w:t>
            </w:r>
          </w:p>
        </w:tc>
        <w:tc>
          <w:tcPr>
            <w:tcW w:w="434" w:type="pct"/>
            <w:noWrap/>
            <w:vAlign w:val="center"/>
            <w:hideMark/>
          </w:tcPr>
          <w:p w14:paraId="625484E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9.36</w:t>
            </w:r>
          </w:p>
        </w:tc>
        <w:tc>
          <w:tcPr>
            <w:tcW w:w="433" w:type="pct"/>
            <w:noWrap/>
            <w:vAlign w:val="center"/>
            <w:hideMark/>
          </w:tcPr>
          <w:p w14:paraId="5F7BCFDC"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4.85</w:t>
            </w:r>
          </w:p>
        </w:tc>
        <w:tc>
          <w:tcPr>
            <w:tcW w:w="240" w:type="pct"/>
            <w:noWrap/>
            <w:vAlign w:val="center"/>
            <w:hideMark/>
          </w:tcPr>
          <w:p w14:paraId="2BE2165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0.48</w:t>
            </w:r>
          </w:p>
        </w:tc>
        <w:tc>
          <w:tcPr>
            <w:tcW w:w="435" w:type="pct"/>
            <w:noWrap/>
            <w:vAlign w:val="center"/>
            <w:hideMark/>
          </w:tcPr>
          <w:p w14:paraId="1B81001F"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9.84</w:t>
            </w:r>
          </w:p>
        </w:tc>
        <w:tc>
          <w:tcPr>
            <w:tcW w:w="284" w:type="pct"/>
            <w:noWrap/>
            <w:vAlign w:val="center"/>
            <w:hideMark/>
          </w:tcPr>
          <w:p w14:paraId="3EEE7549" w14:textId="77777777" w:rsidR="0049442F" w:rsidRPr="0049442F" w:rsidRDefault="0049442F" w:rsidP="00015FF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r w:rsidR="006B57CA" w:rsidRPr="009469B2" w14:paraId="13015C2E" w14:textId="77777777" w:rsidTr="00774206">
        <w:trPr>
          <w:trHeight w:val="290"/>
        </w:trPr>
        <w:tc>
          <w:tcPr>
            <w:cnfStyle w:val="001000000000" w:firstRow="0" w:lastRow="0" w:firstColumn="1" w:lastColumn="0" w:oddVBand="0" w:evenVBand="0" w:oddHBand="0" w:evenHBand="0" w:firstRowFirstColumn="0" w:firstRowLastColumn="0" w:lastRowFirstColumn="0" w:lastRowLastColumn="0"/>
            <w:tcW w:w="239" w:type="pct"/>
            <w:noWrap/>
            <w:vAlign w:val="center"/>
            <w:hideMark/>
          </w:tcPr>
          <w:p w14:paraId="3B4A5A9D" w14:textId="77777777" w:rsidR="0049442F" w:rsidRPr="0049442F" w:rsidRDefault="0049442F" w:rsidP="00015FF4">
            <w:pPr>
              <w:spacing w:after="0"/>
              <w:jc w:val="center"/>
              <w:rPr>
                <w:rFonts w:eastAsia="Times New Roman" w:cs="Calibri"/>
                <w:color w:val="000000"/>
                <w:sz w:val="16"/>
                <w:szCs w:val="16"/>
                <w:lang w:eastAsia="en-AU"/>
              </w:rPr>
            </w:pPr>
            <w:r w:rsidRPr="0049442F">
              <w:rPr>
                <w:rFonts w:eastAsia="Times New Roman" w:cs="Calibri"/>
                <w:color w:val="000000"/>
                <w:sz w:val="16"/>
                <w:szCs w:val="16"/>
                <w:lang w:eastAsia="en-AU"/>
              </w:rPr>
              <w:t>SA</w:t>
            </w:r>
          </w:p>
        </w:tc>
        <w:tc>
          <w:tcPr>
            <w:tcW w:w="385" w:type="pct"/>
            <w:noWrap/>
            <w:vAlign w:val="center"/>
            <w:hideMark/>
          </w:tcPr>
          <w:p w14:paraId="2E82FC8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GS4c</w:t>
            </w:r>
          </w:p>
        </w:tc>
        <w:tc>
          <w:tcPr>
            <w:tcW w:w="724" w:type="pct"/>
            <w:noWrap/>
            <w:vAlign w:val="center"/>
            <w:hideMark/>
          </w:tcPr>
          <w:p w14:paraId="721F5395" w14:textId="77777777" w:rsidR="0049442F" w:rsidRPr="0049442F" w:rsidRDefault="0049442F" w:rsidP="00AA295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Marne Saunders (Renmark Group)</w:t>
            </w:r>
          </w:p>
        </w:tc>
        <w:tc>
          <w:tcPr>
            <w:tcW w:w="238" w:type="pct"/>
            <w:noWrap/>
            <w:vAlign w:val="center"/>
            <w:hideMark/>
          </w:tcPr>
          <w:p w14:paraId="36D67B55"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0.5</w:t>
            </w:r>
          </w:p>
        </w:tc>
        <w:tc>
          <w:tcPr>
            <w:tcW w:w="433" w:type="pct"/>
            <w:noWrap/>
            <w:vAlign w:val="center"/>
            <w:hideMark/>
          </w:tcPr>
          <w:p w14:paraId="5D463DA0"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1.5</w:t>
            </w:r>
          </w:p>
        </w:tc>
        <w:tc>
          <w:tcPr>
            <w:tcW w:w="481" w:type="pct"/>
            <w:noWrap/>
            <w:vAlign w:val="center"/>
            <w:hideMark/>
          </w:tcPr>
          <w:p w14:paraId="6AB7037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385" w:type="pct"/>
            <w:noWrap/>
            <w:vAlign w:val="center"/>
            <w:hideMark/>
          </w:tcPr>
          <w:p w14:paraId="0A0D762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0.5</w:t>
            </w:r>
          </w:p>
        </w:tc>
        <w:tc>
          <w:tcPr>
            <w:tcW w:w="289" w:type="pct"/>
            <w:noWrap/>
            <w:vAlign w:val="center"/>
            <w:hideMark/>
          </w:tcPr>
          <w:p w14:paraId="417A824C"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434" w:type="pct"/>
            <w:noWrap/>
            <w:vAlign w:val="center"/>
            <w:hideMark/>
          </w:tcPr>
          <w:p w14:paraId="13E56611"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w:t>
            </w:r>
          </w:p>
        </w:tc>
        <w:tc>
          <w:tcPr>
            <w:tcW w:w="433" w:type="pct"/>
            <w:noWrap/>
            <w:vAlign w:val="center"/>
            <w:hideMark/>
          </w:tcPr>
          <w:p w14:paraId="62896673"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w:t>
            </w:r>
          </w:p>
        </w:tc>
        <w:tc>
          <w:tcPr>
            <w:tcW w:w="240" w:type="pct"/>
            <w:noWrap/>
            <w:vAlign w:val="center"/>
            <w:hideMark/>
          </w:tcPr>
          <w:p w14:paraId="4C2C4688"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0.1</w:t>
            </w:r>
          </w:p>
        </w:tc>
        <w:tc>
          <w:tcPr>
            <w:tcW w:w="435" w:type="pct"/>
            <w:noWrap/>
            <w:vAlign w:val="center"/>
            <w:hideMark/>
          </w:tcPr>
          <w:p w14:paraId="599AB9CE"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2.1</w:t>
            </w:r>
          </w:p>
        </w:tc>
        <w:tc>
          <w:tcPr>
            <w:tcW w:w="284" w:type="pct"/>
            <w:noWrap/>
            <w:vAlign w:val="center"/>
            <w:hideMark/>
          </w:tcPr>
          <w:p w14:paraId="1FD6EAFB" w14:textId="77777777" w:rsidR="0049442F" w:rsidRPr="0049442F" w:rsidRDefault="0049442F" w:rsidP="00015FF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49442F">
              <w:rPr>
                <w:rFonts w:eastAsia="Times New Roman" w:cs="Calibri"/>
                <w:color w:val="000000"/>
                <w:sz w:val="16"/>
                <w:szCs w:val="16"/>
                <w:lang w:eastAsia="en-AU"/>
              </w:rPr>
              <w:t>No</w:t>
            </w:r>
          </w:p>
        </w:tc>
      </w:tr>
    </w:tbl>
    <w:p w14:paraId="38345F72" w14:textId="77777777" w:rsidR="0014502D" w:rsidRDefault="0014502D" w:rsidP="0014502D"/>
    <w:p w14:paraId="64E4ED00" w14:textId="77777777" w:rsidR="006B57CA" w:rsidRDefault="006B57CA">
      <w:pPr>
        <w:spacing w:after="0"/>
        <w:sectPr w:rsidR="006B57CA" w:rsidSect="00BA43E4">
          <w:pgSz w:w="16838" w:h="11906" w:orient="landscape"/>
          <w:pgMar w:top="709" w:right="1284" w:bottom="709" w:left="816" w:header="425" w:footer="999" w:gutter="0"/>
          <w:cols w:space="708"/>
          <w:titlePg/>
          <w:docGrid w:linePitch="360"/>
        </w:sectPr>
      </w:pPr>
      <w:r>
        <w:br w:type="page"/>
      </w:r>
    </w:p>
    <w:p w14:paraId="2A80F4CC" w14:textId="0C38A335" w:rsidR="007935B6" w:rsidRDefault="00C54FFB" w:rsidP="006A193B">
      <w:pPr>
        <w:pStyle w:val="AppendicesHeading1"/>
      </w:pPr>
      <w:bookmarkStart w:id="21" w:name="_Toc172018839"/>
      <w:r>
        <w:lastRenderedPageBreak/>
        <w:t>Part B</w:t>
      </w:r>
      <w:r w:rsidR="006A193B">
        <w:t xml:space="preserve"> – </w:t>
      </w:r>
      <w:r w:rsidR="00FC4C77">
        <w:t xml:space="preserve">NSW Management of </w:t>
      </w:r>
      <w:r w:rsidR="009E25A0">
        <w:t>SDL</w:t>
      </w:r>
      <w:r w:rsidR="006A193B">
        <w:t>s</w:t>
      </w:r>
      <w:bookmarkEnd w:id="21"/>
    </w:p>
    <w:p w14:paraId="0F18BED5" w14:textId="5EE325A1" w:rsidR="00712993" w:rsidRDefault="00ED3473" w:rsidP="002950C4">
      <w:r>
        <w:t xml:space="preserve">The Inspector-General </w:t>
      </w:r>
      <w:r w:rsidR="00FA521E">
        <w:t xml:space="preserve">has not </w:t>
      </w:r>
      <w:r w:rsidR="0030006A">
        <w:t>assessed the 54 SDL resource units in New South Wales</w:t>
      </w:r>
      <w:r w:rsidR="00C81DA0">
        <w:t xml:space="preserve"> </w:t>
      </w:r>
      <w:r w:rsidR="0030006A">
        <w:t xml:space="preserve">for SDL </w:t>
      </w:r>
      <w:r w:rsidR="00FA521E">
        <w:t>compliance</w:t>
      </w:r>
      <w:r w:rsidR="00CB0B5B">
        <w:t>,</w:t>
      </w:r>
      <w:r w:rsidR="00FA521E">
        <w:t xml:space="preserve"> as</w:t>
      </w:r>
      <w:r w:rsidR="00D56242">
        <w:t xml:space="preserve"> there were no water resource plans operating for the full </w:t>
      </w:r>
      <w:r w:rsidR="00407303">
        <w:t xml:space="preserve">2022-2023 </w:t>
      </w:r>
      <w:r w:rsidR="00D56242">
        <w:t>water accounting year.</w:t>
      </w:r>
    </w:p>
    <w:p w14:paraId="2ACC8D6D" w14:textId="5C71F53E" w:rsidR="00D56242" w:rsidRDefault="00BF2453" w:rsidP="007935B6">
      <w:r>
        <w:t xml:space="preserve">There were </w:t>
      </w:r>
      <w:r w:rsidR="00C61F28">
        <w:t>five</w:t>
      </w:r>
      <w:r>
        <w:t xml:space="preserve"> groundwater </w:t>
      </w:r>
      <w:r w:rsidR="00011E96">
        <w:t xml:space="preserve">resource plans </w:t>
      </w:r>
      <w:r w:rsidR="00BE5A61">
        <w:t>(</w:t>
      </w:r>
      <w:r w:rsidR="00011E96">
        <w:t xml:space="preserve">including </w:t>
      </w:r>
      <w:r w:rsidR="00350987">
        <w:t>23</w:t>
      </w:r>
      <w:r w:rsidR="00BE5A61">
        <w:t xml:space="preserve"> SDL resource units)</w:t>
      </w:r>
      <w:r w:rsidR="002F2BE3">
        <w:t xml:space="preserve"> </w:t>
      </w:r>
      <w:r>
        <w:t xml:space="preserve">accredited during the 2022-2023 water year, which </w:t>
      </w:r>
      <w:r w:rsidR="00713424">
        <w:t>can</w:t>
      </w:r>
      <w:r w:rsidR="000B5A8E">
        <w:t xml:space="preserve"> be</w:t>
      </w:r>
      <w:r>
        <w:t xml:space="preserve"> assessed for SDL compliance </w:t>
      </w:r>
      <w:r w:rsidR="008E6C03">
        <w:t>for</w:t>
      </w:r>
      <w:r w:rsidR="00D03FE1">
        <w:t xml:space="preserve"> the 202</w:t>
      </w:r>
      <w:r w:rsidR="00040E32">
        <w:t>3</w:t>
      </w:r>
      <w:r w:rsidR="00D03FE1">
        <w:t>-202</w:t>
      </w:r>
      <w:r w:rsidR="00336EB0">
        <w:t>4</w:t>
      </w:r>
      <w:r w:rsidR="00D03FE1">
        <w:t xml:space="preserve"> water</w:t>
      </w:r>
      <w:r w:rsidR="002F2BE3">
        <w:t xml:space="preserve"> year. </w:t>
      </w:r>
      <w:r w:rsidR="00E97BF3">
        <w:t xml:space="preserve">Refer </w:t>
      </w:r>
      <w:r w:rsidR="00250DE4">
        <w:t xml:space="preserve">to </w:t>
      </w:r>
      <w:r w:rsidR="000C4F93">
        <w:fldChar w:fldCharType="begin"/>
      </w:r>
      <w:r w:rsidR="000C4F93">
        <w:instrText xml:space="preserve"> REF _Ref170287140 \h </w:instrText>
      </w:r>
      <w:r w:rsidR="000C4F93">
        <w:fldChar w:fldCharType="separate"/>
      </w:r>
      <w:r w:rsidR="00346F31">
        <w:t>Appendix 1 – Compliance year for NSW</w:t>
      </w:r>
      <w:r w:rsidR="000C4F93">
        <w:fldChar w:fldCharType="end"/>
      </w:r>
      <w:r w:rsidR="00250DE4">
        <w:t xml:space="preserve"> </w:t>
      </w:r>
      <w:r w:rsidR="006E444C">
        <w:t xml:space="preserve">for the list of accredited water resource plans and the year </w:t>
      </w:r>
      <w:r w:rsidR="005C497D">
        <w:t>SDL compliance</w:t>
      </w:r>
      <w:r w:rsidR="00F22951">
        <w:t xml:space="preserve"> </w:t>
      </w:r>
      <w:r w:rsidR="008E34EB">
        <w:t>will</w:t>
      </w:r>
      <w:r w:rsidR="005C497D">
        <w:t xml:space="preserve"> commence.</w:t>
      </w:r>
    </w:p>
    <w:p w14:paraId="2A5BBBE6" w14:textId="569B1893" w:rsidR="00A06646" w:rsidRDefault="0750A28C" w:rsidP="00A06646">
      <w:r>
        <w:t xml:space="preserve">Each year until </w:t>
      </w:r>
      <w:r w:rsidR="48AEF8AE">
        <w:t>the</w:t>
      </w:r>
      <w:r>
        <w:t xml:space="preserve"> </w:t>
      </w:r>
      <w:r w:rsidR="72C8072B">
        <w:t>water resource plan</w:t>
      </w:r>
      <w:r>
        <w:t xml:space="preserve"> is</w:t>
      </w:r>
      <w:r w:rsidR="72C8072B">
        <w:t xml:space="preserve"> accredited</w:t>
      </w:r>
      <w:r>
        <w:t>,</w:t>
      </w:r>
      <w:r w:rsidR="61F5F924">
        <w:t xml:space="preserve"> </w:t>
      </w:r>
      <w:r w:rsidR="10339FF2">
        <w:t xml:space="preserve">a new </w:t>
      </w:r>
      <w:r w:rsidR="61F5F924">
        <w:t xml:space="preserve">temporary </w:t>
      </w:r>
      <w:r w:rsidR="4D945698">
        <w:t xml:space="preserve">water accounting </w:t>
      </w:r>
      <w:r w:rsidR="72C8072B">
        <w:t>method</w:t>
      </w:r>
      <w:r w:rsidR="10339FF2">
        <w:t xml:space="preserve"> is</w:t>
      </w:r>
      <w:r w:rsidR="72C8072B">
        <w:t xml:space="preserve"> </w:t>
      </w:r>
      <w:r w:rsidR="0CABB559">
        <w:t>agreed upon by the New South Wales Basin State agency and the Authority</w:t>
      </w:r>
      <w:r w:rsidR="50F7FFEB">
        <w:t>. The bilateral methods in 2022-2023 are retrospectively applied to previous years from 1 July 2019. The total effect is presented as a one-off adjustment to the cumulative balance (debit or credit) for each SDL resource unit</w:t>
      </w:r>
      <w:r w:rsidR="2EBC04B4">
        <w:t>, on the interim Registers of Take</w:t>
      </w:r>
      <w:r w:rsidR="50F7FFEB">
        <w:t>.</w:t>
      </w:r>
    </w:p>
    <w:p w14:paraId="16C52FE8" w14:textId="0BF6B9A9" w:rsidR="00BA7EB1" w:rsidRDefault="0014130C" w:rsidP="0014130C">
      <w:r>
        <w:t xml:space="preserve">The </w:t>
      </w:r>
      <w:r w:rsidR="00F05CC6">
        <w:t>SDL accounting and compliance methods within the Basin Plan</w:t>
      </w:r>
      <w:r w:rsidR="00BC5C48">
        <w:t xml:space="preserve"> are </w:t>
      </w:r>
      <w:r w:rsidR="009441C2">
        <w:t>complex but</w:t>
      </w:r>
      <w:r w:rsidR="00BA7EB1">
        <w:t xml:space="preserve"> are </w:t>
      </w:r>
      <w:r w:rsidR="00BC5C48">
        <w:t>designed to consider long-term sustainable diversion limits</w:t>
      </w:r>
      <w:r w:rsidR="009441C2">
        <w:t xml:space="preserve"> w</w:t>
      </w:r>
      <w:r w:rsidR="004B7BA0">
        <w:t>hich</w:t>
      </w:r>
      <w:r w:rsidR="009441C2">
        <w:t xml:space="preserve"> allow for</w:t>
      </w:r>
      <w:r w:rsidR="00BC5C48">
        <w:t xml:space="preserve"> variations in climate, water availability and </w:t>
      </w:r>
      <w:r w:rsidR="00851F4B">
        <w:t xml:space="preserve">trends in consumptive use. </w:t>
      </w:r>
    </w:p>
    <w:p w14:paraId="54BF80E9" w14:textId="1ACD3DA4" w:rsidR="00077A28" w:rsidRDefault="00851F4B" w:rsidP="0014130C">
      <w:r>
        <w:t xml:space="preserve">The </w:t>
      </w:r>
      <w:r w:rsidR="0014130C">
        <w:t xml:space="preserve">bilateral methods </w:t>
      </w:r>
      <w:r>
        <w:t>add another depth of complex</w:t>
      </w:r>
      <w:r w:rsidR="00BA7EB1">
        <w:t>ity, as they are a</w:t>
      </w:r>
      <w:r w:rsidR="0014130C">
        <w:t xml:space="preserve"> blend of proposed water resource plans (even if withdrawn) and various modifications from the proposed water resource plan. The </w:t>
      </w:r>
      <w:r w:rsidR="0014130C" w:rsidRPr="00A0614E">
        <w:t xml:space="preserve">modifications </w:t>
      </w:r>
      <w:r w:rsidR="000562D2">
        <w:t>can include</w:t>
      </w:r>
      <w:r w:rsidR="0014130C" w:rsidRPr="00A0614E">
        <w:t xml:space="preserve"> changes to model inputs, baseline estimates, type of model, various scaling factors applied to permitted take, and </w:t>
      </w:r>
      <w:r w:rsidR="009F53E2">
        <w:t xml:space="preserve">other </w:t>
      </w:r>
      <w:r w:rsidR="0014130C" w:rsidRPr="00A0614E">
        <w:t xml:space="preserve">inclusions and exclusions for </w:t>
      </w:r>
      <w:r w:rsidR="009F53E2">
        <w:t xml:space="preserve">annual </w:t>
      </w:r>
      <w:r w:rsidR="0014130C" w:rsidRPr="00A0614E">
        <w:t>actual take</w:t>
      </w:r>
      <w:r w:rsidR="0014130C">
        <w:t>.</w:t>
      </w:r>
    </w:p>
    <w:p w14:paraId="235E0D8E" w14:textId="68A31D9F" w:rsidR="000E52DB" w:rsidRPr="00606BC7" w:rsidRDefault="00E94E55" w:rsidP="000E52DB">
      <w:r>
        <w:t xml:space="preserve">The </w:t>
      </w:r>
      <w:r w:rsidR="00B21A9E">
        <w:t>modifications</w:t>
      </w:r>
      <w:r>
        <w:t xml:space="preserve"> </w:t>
      </w:r>
      <w:r w:rsidR="00B21A9E">
        <w:t>have significantly affected</w:t>
      </w:r>
      <w:r w:rsidR="00953F22">
        <w:t xml:space="preserve"> the cumulative balance for the</w:t>
      </w:r>
      <w:r w:rsidR="00B21A9E">
        <w:t xml:space="preserve"> </w:t>
      </w:r>
      <w:r w:rsidR="745CF4DE">
        <w:t>water accounts for the Barwon-Darling watercourse and Gwydir SDL resource units from previous years to the 2022-2023 interim Registers of Take. There ha</w:t>
      </w:r>
      <w:r w:rsidR="4FB586D3">
        <w:t xml:space="preserve">ve </w:t>
      </w:r>
      <w:r w:rsidR="745CF4DE">
        <w:t xml:space="preserve">been </w:t>
      </w:r>
      <w:r w:rsidR="4FB586D3">
        <w:t>“</w:t>
      </w:r>
      <w:r w:rsidR="745CF4DE">
        <w:t>model refresh</w:t>
      </w:r>
      <w:r w:rsidR="4FB586D3">
        <w:t>es”</w:t>
      </w:r>
      <w:r w:rsidR="000C2A8D">
        <w:rPr>
          <w:rStyle w:val="FootnoteReference"/>
        </w:rPr>
        <w:footnoteReference w:id="7"/>
      </w:r>
      <w:r w:rsidR="745CF4DE">
        <w:t xml:space="preserve"> for the previous four years, creating a cumulative effect and a one-off adjustment</w:t>
      </w:r>
      <w:r w:rsidR="00BB6E38">
        <w:t>.</w:t>
      </w:r>
      <w:r w:rsidR="745CF4DE">
        <w:t xml:space="preserve"> </w:t>
      </w:r>
      <w:r w:rsidR="745CF4DE" w:rsidRPr="00857CCD">
        <w:t xml:space="preserve">Refer </w:t>
      </w:r>
      <w:r w:rsidR="00DB7924">
        <w:t>to</w:t>
      </w:r>
      <w:r w:rsidR="0071213E">
        <w:t xml:space="preserve"> </w:t>
      </w:r>
      <w:r w:rsidR="0071213E">
        <w:fldChar w:fldCharType="begin"/>
      </w:r>
      <w:r w:rsidR="0071213E">
        <w:instrText xml:space="preserve"> REF _Ref170285297 \h </w:instrText>
      </w:r>
      <w:r w:rsidR="0071213E">
        <w:fldChar w:fldCharType="separate"/>
      </w:r>
      <w:r w:rsidR="00346F31">
        <w:t>Appendix 2 – Barwon-Darling and Gwydir adjustments</w:t>
      </w:r>
      <w:r w:rsidR="0071213E">
        <w:fldChar w:fldCharType="end"/>
      </w:r>
      <w:r w:rsidR="33D03436">
        <w:t>.</w:t>
      </w:r>
    </w:p>
    <w:p w14:paraId="550A13F4" w14:textId="4F23823D" w:rsidR="00F5745A" w:rsidRDefault="00F5745A" w:rsidP="00F5745A">
      <w:pPr>
        <w:pStyle w:val="ListNumber"/>
        <w:numPr>
          <w:ilvl w:val="0"/>
          <w:numId w:val="0"/>
        </w:numPr>
      </w:pPr>
      <w:r w:rsidRPr="00F5745A">
        <w:t xml:space="preserve">The </w:t>
      </w:r>
      <w:r w:rsidR="00BC2FCB">
        <w:t xml:space="preserve">New South Wales </w:t>
      </w:r>
      <w:r w:rsidRPr="00F5745A">
        <w:t>bilateral methods change annually, unlike Q</w:t>
      </w:r>
      <w:r w:rsidR="00BC2FCB">
        <w:t>ueensland</w:t>
      </w:r>
      <w:r w:rsidRPr="00F5745A">
        <w:t>, Vic</w:t>
      </w:r>
      <w:r w:rsidR="00BC2FCB">
        <w:t>toria</w:t>
      </w:r>
      <w:r w:rsidRPr="00F5745A">
        <w:t>, S</w:t>
      </w:r>
      <w:r w:rsidR="00BC2FCB">
        <w:t xml:space="preserve">outh </w:t>
      </w:r>
      <w:r w:rsidRPr="00F5745A">
        <w:t>A</w:t>
      </w:r>
      <w:r w:rsidR="00BC2FCB">
        <w:t>ustralia</w:t>
      </w:r>
      <w:r w:rsidRPr="00F5745A">
        <w:t xml:space="preserve"> and </w:t>
      </w:r>
      <w:r w:rsidR="00BC2FCB">
        <w:t xml:space="preserve">the </w:t>
      </w:r>
      <w:r w:rsidRPr="00F5745A">
        <w:t>A</w:t>
      </w:r>
      <w:r w:rsidR="00BC2FCB">
        <w:t xml:space="preserve">ustralian </w:t>
      </w:r>
      <w:r w:rsidRPr="00F5745A">
        <w:t>C</w:t>
      </w:r>
      <w:r w:rsidR="00BC2FCB">
        <w:t xml:space="preserve">apital </w:t>
      </w:r>
      <w:r w:rsidRPr="00F5745A">
        <w:t>T</w:t>
      </w:r>
      <w:r w:rsidR="00BC2FCB">
        <w:t>erritory</w:t>
      </w:r>
      <w:r w:rsidRPr="00F5745A">
        <w:t xml:space="preserve"> which have applied the same methods from the 2019-2020 interim Registers of Take, through to the accredited water resource plans</w:t>
      </w:r>
      <w:r w:rsidR="00101E04">
        <w:t>.</w:t>
      </w:r>
    </w:p>
    <w:p w14:paraId="5F1F13E7" w14:textId="0FDADB7B" w:rsidR="00D75279" w:rsidRPr="00606BC7" w:rsidRDefault="3E9E1EB1" w:rsidP="00F5745A">
      <w:pPr>
        <w:pStyle w:val="ListNumber"/>
        <w:numPr>
          <w:ilvl w:val="0"/>
          <w:numId w:val="0"/>
        </w:numPr>
      </w:pPr>
      <w:r>
        <w:t xml:space="preserve">The bilateral methods approach and the one-off adjustments </w:t>
      </w:r>
      <w:r w:rsidR="574790B8">
        <w:t xml:space="preserve">create a </w:t>
      </w:r>
      <w:r>
        <w:t xml:space="preserve">lack </w:t>
      </w:r>
      <w:r w:rsidR="6C591AA9">
        <w:t xml:space="preserve">of </w:t>
      </w:r>
      <w:r>
        <w:t xml:space="preserve">transparency and </w:t>
      </w:r>
      <w:r w:rsidR="64088A9F">
        <w:t xml:space="preserve">mask trends </w:t>
      </w:r>
      <w:r w:rsidR="6C591AA9">
        <w:t>on</w:t>
      </w:r>
      <w:r w:rsidR="64088A9F">
        <w:t xml:space="preserve"> NSW water management, including baseline diversions, water availability, the State’s decision-making practices and </w:t>
      </w:r>
      <w:r w:rsidR="32BBAFB5">
        <w:t xml:space="preserve">annual </w:t>
      </w:r>
      <w:r w:rsidR="64088A9F">
        <w:t>water take by consumptive use.</w:t>
      </w:r>
      <w:r w:rsidR="574790B8">
        <w:t xml:space="preserve"> </w:t>
      </w:r>
    </w:p>
    <w:p w14:paraId="40B8EA73" w14:textId="7DDFE7DA" w:rsidR="00862427" w:rsidRDefault="0042271A" w:rsidP="007935B6">
      <w:r>
        <w:t xml:space="preserve">New South Wales </w:t>
      </w:r>
      <w:r w:rsidR="00FF3616">
        <w:t xml:space="preserve">have </w:t>
      </w:r>
      <w:r w:rsidR="003A7724">
        <w:t>shifted</w:t>
      </w:r>
      <w:r w:rsidR="00052727">
        <w:t xml:space="preserve"> from </w:t>
      </w:r>
      <w:r w:rsidR="000657A6">
        <w:t>8</w:t>
      </w:r>
      <w:r w:rsidR="00BE5EC1">
        <w:t xml:space="preserve"> to </w:t>
      </w:r>
      <w:r>
        <w:t>1</w:t>
      </w:r>
      <w:r w:rsidR="000657A6">
        <w:t>6</w:t>
      </w:r>
      <w:r>
        <w:t xml:space="preserve"> </w:t>
      </w:r>
      <w:r w:rsidR="00046A0D">
        <w:t>accredited water resource plans (out of 20</w:t>
      </w:r>
      <w:r w:rsidR="00332137">
        <w:t>) since</w:t>
      </w:r>
      <w:r w:rsidR="00046A0D">
        <w:t xml:space="preserve"> the release of the </w:t>
      </w:r>
      <w:hyperlink r:id="rId35" w:history="1">
        <w:r w:rsidR="004B69A7">
          <w:rPr>
            <w:rStyle w:val="Hyperlink"/>
          </w:rPr>
          <w:t>Sustainable Diversion Limit Compliance Statement for 2021-22</w:t>
        </w:r>
      </w:hyperlink>
      <w:r w:rsidR="00FF3616">
        <w:t xml:space="preserve">. </w:t>
      </w:r>
      <w:r w:rsidR="00366CDB">
        <w:t xml:space="preserve">This will </w:t>
      </w:r>
      <w:r w:rsidR="008566C7">
        <w:t xml:space="preserve">lead to </w:t>
      </w:r>
      <w:r>
        <w:t xml:space="preserve">the </w:t>
      </w:r>
      <w:r w:rsidR="00D70AD1">
        <w:t xml:space="preserve">methods for determining SDL compliance </w:t>
      </w:r>
      <w:r w:rsidR="002B4586">
        <w:t>to be traceable and a</w:t>
      </w:r>
      <w:r w:rsidR="00D70AD1">
        <w:t xml:space="preserve"> constant</w:t>
      </w:r>
      <w:r w:rsidR="000A6592">
        <w:t xml:space="preserve"> into the future</w:t>
      </w:r>
      <w:r w:rsidR="00D70AD1">
        <w:t xml:space="preserve">. </w:t>
      </w:r>
    </w:p>
    <w:p w14:paraId="64CCCBCA" w14:textId="13AEE514" w:rsidR="00712993" w:rsidRDefault="4C96611F" w:rsidP="007935B6">
      <w:r>
        <w:t xml:space="preserve">New South Wales </w:t>
      </w:r>
      <w:r w:rsidR="768AC77D">
        <w:t>ar</w:t>
      </w:r>
      <w:r>
        <w:t>e</w:t>
      </w:r>
      <w:r w:rsidR="13571D61">
        <w:t xml:space="preserve"> </w:t>
      </w:r>
      <w:r w:rsidR="620F6650">
        <w:t>encouraged</w:t>
      </w:r>
      <w:r w:rsidR="13571D61">
        <w:t xml:space="preserve"> to </w:t>
      </w:r>
      <w:r w:rsidR="4F72E5D9">
        <w:t>ensure</w:t>
      </w:r>
      <w:r w:rsidR="5AA293B9">
        <w:t xml:space="preserve"> </w:t>
      </w:r>
      <w:r>
        <w:t>comprehensible</w:t>
      </w:r>
      <w:r w:rsidR="620F6650">
        <w:t xml:space="preserve"> (</w:t>
      </w:r>
      <w:r w:rsidR="00B44528">
        <w:t>rather than</w:t>
      </w:r>
      <w:r w:rsidR="42CF8F3B">
        <w:t xml:space="preserve"> being referred to highly technical report</w:t>
      </w:r>
      <w:r w:rsidR="005C2AA7">
        <w:t>s</w:t>
      </w:r>
      <w:r w:rsidR="42CF8F3B">
        <w:t>) and</w:t>
      </w:r>
      <w:r w:rsidR="249A0D00">
        <w:t xml:space="preserve"> factual details </w:t>
      </w:r>
      <w:r w:rsidR="3090CF78">
        <w:t>of water</w:t>
      </w:r>
      <w:r w:rsidR="48E38AF0">
        <w:t xml:space="preserve"> accounts</w:t>
      </w:r>
      <w:r w:rsidR="5AA293B9">
        <w:t xml:space="preserve"> are provided </w:t>
      </w:r>
      <w:r w:rsidR="637398EF">
        <w:t>for the</w:t>
      </w:r>
      <w:r w:rsidR="5AA293B9">
        <w:t xml:space="preserve"> public</w:t>
      </w:r>
      <w:r w:rsidR="637398EF">
        <w:t xml:space="preserve"> to access</w:t>
      </w:r>
      <w:r w:rsidR="42CF8F3B">
        <w:t xml:space="preserve">. This </w:t>
      </w:r>
      <w:r w:rsidR="00F41404">
        <w:t xml:space="preserve">could </w:t>
      </w:r>
      <w:r w:rsidR="00484A93">
        <w:t xml:space="preserve">be enhanced </w:t>
      </w:r>
      <w:r w:rsidR="00F41404">
        <w:t xml:space="preserve">going forward </w:t>
      </w:r>
      <w:r w:rsidR="42CF8F3B">
        <w:t>through</w:t>
      </w:r>
      <w:r w:rsidR="249A0D00">
        <w:t xml:space="preserve"> </w:t>
      </w:r>
      <w:r w:rsidR="6D6F4B02">
        <w:t xml:space="preserve">Section 71 </w:t>
      </w:r>
      <w:r w:rsidR="249A0D00">
        <w:t>narrative report</w:t>
      </w:r>
      <w:r w:rsidR="6D6F4B02">
        <w:t>s</w:t>
      </w:r>
      <w:r w:rsidR="0C5580FB">
        <w:t>,</w:t>
      </w:r>
      <w:r w:rsidR="48E38AF0">
        <w:t xml:space="preserve"> including</w:t>
      </w:r>
      <w:r w:rsidR="0C5580FB">
        <w:t xml:space="preserve"> </w:t>
      </w:r>
      <w:r w:rsidR="249A0D00">
        <w:t xml:space="preserve">modifications </w:t>
      </w:r>
      <w:r w:rsidR="48E38AF0">
        <w:t>to</w:t>
      </w:r>
      <w:r w:rsidR="249A0D00">
        <w:t xml:space="preserve"> bilateral methods</w:t>
      </w:r>
      <w:r w:rsidR="48E38AF0">
        <w:t>,</w:t>
      </w:r>
      <w:r w:rsidR="249A0D00">
        <w:t xml:space="preserve"> to </w:t>
      </w:r>
      <w:r w:rsidR="3232C61A">
        <w:t>build</w:t>
      </w:r>
      <w:r w:rsidR="249A0D00">
        <w:t xml:space="preserve"> trust and confidence in compliance with the SDLs.</w:t>
      </w:r>
      <w:r w:rsidR="796074DA">
        <w:t xml:space="preserve"> </w:t>
      </w:r>
      <w:r>
        <w:br w:type="page"/>
      </w:r>
    </w:p>
    <w:p w14:paraId="547FAD2A" w14:textId="043CB007" w:rsidR="00712993" w:rsidRDefault="00712993" w:rsidP="00712993">
      <w:pPr>
        <w:pStyle w:val="Heading1"/>
      </w:pPr>
      <w:bookmarkStart w:id="22" w:name="_Ref170287140"/>
      <w:bookmarkStart w:id="23" w:name="_Toc172018840"/>
      <w:r>
        <w:lastRenderedPageBreak/>
        <w:t xml:space="preserve">Appendix </w:t>
      </w:r>
      <w:r w:rsidR="00345FEB">
        <w:t xml:space="preserve">1 </w:t>
      </w:r>
      <w:r w:rsidR="000D0D39">
        <w:t>–</w:t>
      </w:r>
      <w:r w:rsidR="006A193B">
        <w:t xml:space="preserve"> </w:t>
      </w:r>
      <w:r w:rsidR="00FC4C77">
        <w:t>Compliance year</w:t>
      </w:r>
      <w:r w:rsidR="00FA47DB">
        <w:t xml:space="preserve"> for NSW</w:t>
      </w:r>
      <w:bookmarkEnd w:id="22"/>
      <w:bookmarkEnd w:id="23"/>
    </w:p>
    <w:tbl>
      <w:tblPr>
        <w:tblStyle w:val="TableGridLight"/>
        <w:tblW w:w="5000" w:type="pct"/>
        <w:tblLook w:val="04A0" w:firstRow="1" w:lastRow="0" w:firstColumn="1" w:lastColumn="0" w:noHBand="0" w:noVBand="1"/>
      </w:tblPr>
      <w:tblGrid>
        <w:gridCol w:w="2368"/>
        <w:gridCol w:w="1673"/>
        <w:gridCol w:w="3901"/>
        <w:gridCol w:w="1531"/>
      </w:tblGrid>
      <w:tr w:rsidR="002742F8" w14:paraId="72A756E5" w14:textId="77777777" w:rsidTr="00832E77">
        <w:trPr>
          <w:cnfStyle w:val="100000000000" w:firstRow="1" w:lastRow="0" w:firstColumn="0" w:lastColumn="0" w:oddVBand="0" w:evenVBand="0" w:oddHBand="0" w:evenHBand="0" w:firstRowFirstColumn="0" w:firstRowLastColumn="0" w:lastRowFirstColumn="0" w:lastRowLastColumn="0"/>
        </w:trPr>
        <w:tc>
          <w:tcPr>
            <w:tcW w:w="1250" w:type="pct"/>
            <w:tcBorders>
              <w:bottom w:val="nil"/>
            </w:tcBorders>
          </w:tcPr>
          <w:p w14:paraId="7ED270E5" w14:textId="77777777" w:rsidR="002742F8" w:rsidRPr="001959C2" w:rsidRDefault="002742F8">
            <w:pPr>
              <w:spacing w:after="120"/>
              <w:rPr>
                <w:color w:val="D8E3E2" w:themeColor="text1" w:themeTint="33"/>
              </w:rPr>
            </w:pPr>
            <w:r w:rsidRPr="001959C2">
              <w:rPr>
                <w:color w:val="D8E3E2" w:themeColor="text1" w:themeTint="33"/>
              </w:rPr>
              <w:t>Water Resource Plan</w:t>
            </w:r>
          </w:p>
        </w:tc>
        <w:tc>
          <w:tcPr>
            <w:tcW w:w="883" w:type="pct"/>
            <w:tcBorders>
              <w:bottom w:val="nil"/>
            </w:tcBorders>
          </w:tcPr>
          <w:p w14:paraId="6A42024A" w14:textId="77777777" w:rsidR="002742F8" w:rsidRPr="001959C2" w:rsidRDefault="002742F8">
            <w:pPr>
              <w:spacing w:after="120"/>
              <w:rPr>
                <w:color w:val="D8E3E2" w:themeColor="text1" w:themeTint="33"/>
              </w:rPr>
            </w:pPr>
            <w:r w:rsidRPr="001959C2">
              <w:rPr>
                <w:color w:val="D8E3E2" w:themeColor="text1" w:themeTint="33"/>
              </w:rPr>
              <w:t>Date accredited</w:t>
            </w:r>
          </w:p>
        </w:tc>
        <w:tc>
          <w:tcPr>
            <w:tcW w:w="2059" w:type="pct"/>
            <w:tcBorders>
              <w:bottom w:val="nil"/>
            </w:tcBorders>
          </w:tcPr>
          <w:p w14:paraId="015ECFE4" w14:textId="77777777" w:rsidR="002742F8" w:rsidRPr="001959C2" w:rsidRDefault="002742F8">
            <w:pPr>
              <w:spacing w:after="120"/>
              <w:rPr>
                <w:color w:val="D8E3E2" w:themeColor="text1" w:themeTint="33"/>
              </w:rPr>
            </w:pPr>
            <w:r w:rsidRPr="001959C2">
              <w:rPr>
                <w:color w:val="D8E3E2" w:themeColor="text1" w:themeTint="33"/>
              </w:rPr>
              <w:t>SDL resource units</w:t>
            </w:r>
          </w:p>
        </w:tc>
        <w:tc>
          <w:tcPr>
            <w:tcW w:w="808" w:type="pct"/>
            <w:tcBorders>
              <w:bottom w:val="nil"/>
            </w:tcBorders>
          </w:tcPr>
          <w:p w14:paraId="2D5A0CBC" w14:textId="77777777" w:rsidR="002742F8" w:rsidRPr="001959C2" w:rsidRDefault="002742F8">
            <w:pPr>
              <w:spacing w:after="120"/>
              <w:rPr>
                <w:color w:val="D8E3E2" w:themeColor="text1" w:themeTint="33"/>
              </w:rPr>
            </w:pPr>
            <w:r w:rsidRPr="001959C2">
              <w:rPr>
                <w:color w:val="D8E3E2" w:themeColor="text1" w:themeTint="33"/>
              </w:rPr>
              <w:t>SDL Compliance</w:t>
            </w:r>
          </w:p>
        </w:tc>
      </w:tr>
      <w:tr w:rsidR="002742F8" w14:paraId="0C900052" w14:textId="77777777" w:rsidTr="0008608B">
        <w:tc>
          <w:tcPr>
            <w:tcW w:w="1250" w:type="pct"/>
            <w:tcBorders>
              <w:top w:val="nil"/>
              <w:left w:val="nil"/>
              <w:bottom w:val="single" w:sz="4" w:space="0" w:color="auto"/>
            </w:tcBorders>
          </w:tcPr>
          <w:p w14:paraId="18BD894A" w14:textId="77777777" w:rsidR="002742F8" w:rsidRDefault="002742F8">
            <w:pPr>
              <w:spacing w:after="120"/>
            </w:pPr>
            <w:r>
              <w:t>NSW Border Rivers Alluvium (GW18)</w:t>
            </w:r>
          </w:p>
        </w:tc>
        <w:tc>
          <w:tcPr>
            <w:tcW w:w="883" w:type="pct"/>
            <w:tcBorders>
              <w:top w:val="nil"/>
              <w:bottom w:val="single" w:sz="4" w:space="0" w:color="auto"/>
            </w:tcBorders>
          </w:tcPr>
          <w:p w14:paraId="3A48A1F1" w14:textId="77777777" w:rsidR="002742F8" w:rsidRDefault="002742F8">
            <w:pPr>
              <w:spacing w:after="120"/>
            </w:pPr>
            <w:r>
              <w:t>19 September 2022</w:t>
            </w:r>
          </w:p>
        </w:tc>
        <w:tc>
          <w:tcPr>
            <w:tcW w:w="2059" w:type="pct"/>
            <w:tcBorders>
              <w:top w:val="nil"/>
              <w:bottom w:val="single" w:sz="4" w:space="0" w:color="auto"/>
            </w:tcBorders>
            <w:vAlign w:val="center"/>
          </w:tcPr>
          <w:p w14:paraId="0F796E06"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NSW Border Rivers Alluvium (GS32)</w:t>
            </w:r>
          </w:p>
          <w:p w14:paraId="407E9CFE" w14:textId="77777777" w:rsidR="002742F8" w:rsidRDefault="002742F8">
            <w:pPr>
              <w:spacing w:after="120"/>
            </w:pPr>
            <w:r w:rsidRPr="00D46F68">
              <w:rPr>
                <w:rFonts w:eastAsia="Times New Roman"/>
                <w:szCs w:val="20"/>
                <w:lang w:eastAsia="en-AU"/>
              </w:rPr>
              <w:t>NSW Border Rivers Tributary Alluvium (GS33)</w:t>
            </w:r>
          </w:p>
        </w:tc>
        <w:tc>
          <w:tcPr>
            <w:tcW w:w="808" w:type="pct"/>
            <w:tcBorders>
              <w:top w:val="nil"/>
              <w:bottom w:val="single" w:sz="4" w:space="0" w:color="auto"/>
              <w:right w:val="nil"/>
            </w:tcBorders>
          </w:tcPr>
          <w:p w14:paraId="54599AAF" w14:textId="77777777" w:rsidR="002742F8" w:rsidRPr="00DE4AB0" w:rsidRDefault="002742F8">
            <w:pPr>
              <w:spacing w:after="120"/>
              <w:rPr>
                <w:highlight w:val="yellow"/>
              </w:rPr>
            </w:pPr>
            <w:r w:rsidRPr="00F402B4">
              <w:t>2023-2024</w:t>
            </w:r>
          </w:p>
        </w:tc>
      </w:tr>
      <w:tr w:rsidR="002742F8" w14:paraId="55ED6A48" w14:textId="77777777" w:rsidTr="0008608B">
        <w:tc>
          <w:tcPr>
            <w:tcW w:w="1250" w:type="pct"/>
            <w:tcBorders>
              <w:top w:val="single" w:sz="4" w:space="0" w:color="auto"/>
              <w:left w:val="nil"/>
              <w:bottom w:val="single" w:sz="4" w:space="0" w:color="auto"/>
            </w:tcBorders>
          </w:tcPr>
          <w:p w14:paraId="0B690DFA" w14:textId="77777777" w:rsidR="002742F8" w:rsidRDefault="002742F8">
            <w:pPr>
              <w:spacing w:after="120"/>
            </w:pPr>
            <w:r>
              <w:t>NSW MDB Fractured Rock (GW11)</w:t>
            </w:r>
          </w:p>
        </w:tc>
        <w:tc>
          <w:tcPr>
            <w:tcW w:w="883" w:type="pct"/>
            <w:tcBorders>
              <w:top w:val="single" w:sz="4" w:space="0" w:color="auto"/>
              <w:bottom w:val="single" w:sz="4" w:space="0" w:color="auto"/>
            </w:tcBorders>
          </w:tcPr>
          <w:p w14:paraId="5849EE89" w14:textId="77777777" w:rsidR="002742F8" w:rsidRDefault="002742F8">
            <w:pPr>
              <w:spacing w:after="120"/>
            </w:pPr>
            <w:r>
              <w:t>15 November 2022</w:t>
            </w:r>
          </w:p>
        </w:tc>
        <w:tc>
          <w:tcPr>
            <w:tcW w:w="2059" w:type="pct"/>
            <w:tcBorders>
              <w:top w:val="single" w:sz="4" w:space="0" w:color="auto"/>
              <w:bottom w:val="single" w:sz="4" w:space="0" w:color="auto"/>
            </w:tcBorders>
            <w:vAlign w:val="center"/>
          </w:tcPr>
          <w:p w14:paraId="2750D8E2" w14:textId="77777777" w:rsidR="002742F8" w:rsidRDefault="002742F8">
            <w:pPr>
              <w:widowControl w:val="0"/>
              <w:spacing w:after="120"/>
              <w:rPr>
                <w:rFonts w:eastAsia="Times New Roman"/>
                <w:szCs w:val="20"/>
                <w:lang w:eastAsia="en-AU"/>
              </w:rPr>
            </w:pPr>
            <w:r w:rsidRPr="00D46F68">
              <w:rPr>
                <w:rFonts w:eastAsia="Times New Roman"/>
                <w:szCs w:val="20"/>
                <w:lang w:eastAsia="en-AU"/>
              </w:rPr>
              <w:t>Adelaide Fold Belt MDB (GS10)</w:t>
            </w:r>
          </w:p>
          <w:p w14:paraId="639D2B25"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Kanmantoo Fold Belt MDB (GS19)</w:t>
            </w:r>
          </w:p>
          <w:p w14:paraId="1F8D0A80"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Lachlan Fold Belt MDB (GS20)</w:t>
            </w:r>
          </w:p>
          <w:p w14:paraId="00D8A519" w14:textId="77777777" w:rsidR="002742F8" w:rsidRDefault="002742F8">
            <w:pPr>
              <w:spacing w:after="120"/>
              <w:rPr>
                <w:rFonts w:eastAsia="Times New Roman"/>
                <w:szCs w:val="20"/>
                <w:lang w:eastAsia="en-AU"/>
              </w:rPr>
            </w:pPr>
            <w:r w:rsidRPr="00D46F68">
              <w:rPr>
                <w:rFonts w:eastAsia="Times New Roman"/>
                <w:szCs w:val="20"/>
                <w:lang w:eastAsia="en-AU"/>
              </w:rPr>
              <w:t>Orange Basalt (GS39)</w:t>
            </w:r>
          </w:p>
          <w:p w14:paraId="12426655" w14:textId="77777777" w:rsidR="002742F8" w:rsidRDefault="002742F8">
            <w:pPr>
              <w:spacing w:after="120"/>
            </w:pPr>
            <w:r>
              <w:t>Young Granite (GS51)</w:t>
            </w:r>
          </w:p>
          <w:p w14:paraId="185C91D7" w14:textId="77777777" w:rsidR="002742F8" w:rsidRDefault="002742F8">
            <w:pPr>
              <w:spacing w:after="120"/>
            </w:pPr>
            <w:r>
              <w:t>Inverell Basalt (GS18)</w:t>
            </w:r>
          </w:p>
          <w:p w14:paraId="3253A49C" w14:textId="77777777" w:rsidR="002742F8" w:rsidRDefault="002742F8">
            <w:pPr>
              <w:spacing w:after="120"/>
            </w:pPr>
            <w:r>
              <w:t>Liverpool Ranges Basalt MDB (GS22)</w:t>
            </w:r>
          </w:p>
          <w:p w14:paraId="4DDEB90B" w14:textId="77777777" w:rsidR="002742F8" w:rsidRDefault="002742F8">
            <w:pPr>
              <w:spacing w:after="120"/>
            </w:pPr>
            <w:r>
              <w:t>New England Fold Belt MDB (GS37)</w:t>
            </w:r>
          </w:p>
          <w:p w14:paraId="746DBE50" w14:textId="77777777" w:rsidR="002742F8" w:rsidRDefault="002742F8">
            <w:pPr>
              <w:spacing w:after="120"/>
            </w:pPr>
            <w:r>
              <w:t>Warrumbungle Basalt (GS49)</w:t>
            </w:r>
          </w:p>
        </w:tc>
        <w:tc>
          <w:tcPr>
            <w:tcW w:w="808" w:type="pct"/>
            <w:tcBorders>
              <w:top w:val="single" w:sz="4" w:space="0" w:color="auto"/>
              <w:bottom w:val="single" w:sz="4" w:space="0" w:color="auto"/>
              <w:right w:val="nil"/>
            </w:tcBorders>
          </w:tcPr>
          <w:p w14:paraId="312AE705" w14:textId="77777777" w:rsidR="002742F8" w:rsidRPr="00DE4AB0" w:rsidRDefault="002742F8">
            <w:pPr>
              <w:spacing w:after="120"/>
              <w:rPr>
                <w:highlight w:val="yellow"/>
              </w:rPr>
            </w:pPr>
            <w:r w:rsidRPr="00F402B4">
              <w:t>2023-2024</w:t>
            </w:r>
          </w:p>
        </w:tc>
      </w:tr>
      <w:tr w:rsidR="002742F8" w14:paraId="051FC996" w14:textId="77777777" w:rsidTr="0008608B">
        <w:tc>
          <w:tcPr>
            <w:tcW w:w="1250" w:type="pct"/>
            <w:tcBorders>
              <w:top w:val="single" w:sz="4" w:space="0" w:color="auto"/>
              <w:left w:val="nil"/>
              <w:bottom w:val="single" w:sz="4" w:space="0" w:color="auto"/>
            </w:tcBorders>
          </w:tcPr>
          <w:p w14:paraId="1013203B" w14:textId="77777777" w:rsidR="002742F8" w:rsidRDefault="002742F8">
            <w:pPr>
              <w:spacing w:after="120"/>
            </w:pPr>
            <w:r>
              <w:t>Macquarie-Castlereagh Alluvium (GW12)</w:t>
            </w:r>
          </w:p>
        </w:tc>
        <w:tc>
          <w:tcPr>
            <w:tcW w:w="883" w:type="pct"/>
            <w:tcBorders>
              <w:top w:val="single" w:sz="4" w:space="0" w:color="auto"/>
              <w:bottom w:val="single" w:sz="4" w:space="0" w:color="auto"/>
            </w:tcBorders>
          </w:tcPr>
          <w:p w14:paraId="48C82344" w14:textId="77777777" w:rsidR="002742F8" w:rsidRDefault="002742F8">
            <w:pPr>
              <w:spacing w:after="120"/>
            </w:pPr>
            <w:r>
              <w:t>21 December 2022</w:t>
            </w:r>
          </w:p>
        </w:tc>
        <w:tc>
          <w:tcPr>
            <w:tcW w:w="2059" w:type="pct"/>
            <w:tcBorders>
              <w:top w:val="single" w:sz="4" w:space="0" w:color="auto"/>
              <w:bottom w:val="single" w:sz="4" w:space="0" w:color="auto"/>
            </w:tcBorders>
            <w:vAlign w:val="center"/>
          </w:tcPr>
          <w:p w14:paraId="40FDCB82"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Bell Valley Alluvium (GS11)</w:t>
            </w:r>
          </w:p>
          <w:p w14:paraId="637511F7"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Castlereagh Alluvium (GS14)</w:t>
            </w:r>
          </w:p>
          <w:p w14:paraId="1D3F2579" w14:textId="77777777" w:rsidR="002742F8" w:rsidRPr="00D46F68" w:rsidRDefault="002742F8">
            <w:pPr>
              <w:widowControl w:val="0"/>
              <w:spacing w:after="120"/>
              <w:rPr>
                <w:rFonts w:eastAsia="Times New Roman"/>
                <w:szCs w:val="20"/>
                <w:lang w:eastAsia="en-AU"/>
              </w:rPr>
            </w:pPr>
            <w:proofErr w:type="spellStart"/>
            <w:r w:rsidRPr="00D46F68">
              <w:rPr>
                <w:rFonts w:eastAsia="Times New Roman"/>
                <w:szCs w:val="20"/>
                <w:lang w:eastAsia="en-AU"/>
              </w:rPr>
              <w:t>Coolaburragundy</w:t>
            </w:r>
            <w:proofErr w:type="spellEnd"/>
            <w:r w:rsidRPr="00D46F68">
              <w:rPr>
                <w:rFonts w:eastAsia="Times New Roman"/>
                <w:szCs w:val="20"/>
                <w:lang w:eastAsia="en-AU"/>
              </w:rPr>
              <w:t>–</w:t>
            </w:r>
            <w:proofErr w:type="spellStart"/>
            <w:r w:rsidRPr="00D46F68">
              <w:rPr>
                <w:rFonts w:eastAsia="Times New Roman"/>
                <w:szCs w:val="20"/>
                <w:lang w:eastAsia="en-AU"/>
              </w:rPr>
              <w:t>Talbragar</w:t>
            </w:r>
            <w:proofErr w:type="spellEnd"/>
            <w:r w:rsidRPr="00D46F68">
              <w:rPr>
                <w:rFonts w:eastAsia="Times New Roman"/>
                <w:szCs w:val="20"/>
                <w:lang w:eastAsia="en-AU"/>
              </w:rPr>
              <w:t xml:space="preserve"> Alluvium (GS15)</w:t>
            </w:r>
          </w:p>
          <w:p w14:paraId="1A8D4649"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Cudgegong Alluvium (GS16)</w:t>
            </w:r>
          </w:p>
          <w:p w14:paraId="38CE2241"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Lower Macquarie Alluvium (GS26)</w:t>
            </w:r>
          </w:p>
          <w:p w14:paraId="5704F93E" w14:textId="77777777" w:rsidR="002742F8" w:rsidRDefault="002742F8">
            <w:pPr>
              <w:spacing w:after="120"/>
            </w:pPr>
            <w:r w:rsidRPr="00D46F68">
              <w:rPr>
                <w:rFonts w:eastAsia="Times New Roman"/>
                <w:szCs w:val="20"/>
                <w:lang w:eastAsia="en-AU"/>
              </w:rPr>
              <w:t>Upper Macquarie Alluvium (GS45)</w:t>
            </w:r>
          </w:p>
        </w:tc>
        <w:tc>
          <w:tcPr>
            <w:tcW w:w="808" w:type="pct"/>
            <w:tcBorders>
              <w:top w:val="single" w:sz="4" w:space="0" w:color="auto"/>
              <w:bottom w:val="single" w:sz="4" w:space="0" w:color="auto"/>
              <w:right w:val="nil"/>
            </w:tcBorders>
          </w:tcPr>
          <w:p w14:paraId="74DAB35C" w14:textId="77777777" w:rsidR="002742F8" w:rsidRPr="00DE4AB0" w:rsidRDefault="002742F8">
            <w:pPr>
              <w:spacing w:after="120"/>
              <w:rPr>
                <w:highlight w:val="yellow"/>
              </w:rPr>
            </w:pPr>
            <w:r w:rsidRPr="00F402B4">
              <w:t>2023-2024</w:t>
            </w:r>
          </w:p>
        </w:tc>
      </w:tr>
      <w:tr w:rsidR="002742F8" w14:paraId="463FE575" w14:textId="77777777" w:rsidTr="0008608B">
        <w:tc>
          <w:tcPr>
            <w:tcW w:w="1250" w:type="pct"/>
            <w:tcBorders>
              <w:top w:val="single" w:sz="4" w:space="0" w:color="auto"/>
              <w:left w:val="nil"/>
              <w:bottom w:val="single" w:sz="4" w:space="0" w:color="auto"/>
            </w:tcBorders>
          </w:tcPr>
          <w:p w14:paraId="2F852808" w14:textId="77777777" w:rsidR="002742F8" w:rsidRDefault="002742F8">
            <w:pPr>
              <w:spacing w:after="120"/>
            </w:pPr>
            <w:r>
              <w:t>NSW MDB Porous Rock (GW6)</w:t>
            </w:r>
          </w:p>
        </w:tc>
        <w:tc>
          <w:tcPr>
            <w:tcW w:w="883" w:type="pct"/>
            <w:tcBorders>
              <w:top w:val="single" w:sz="4" w:space="0" w:color="auto"/>
              <w:bottom w:val="single" w:sz="4" w:space="0" w:color="auto"/>
            </w:tcBorders>
          </w:tcPr>
          <w:p w14:paraId="225D78A6" w14:textId="77777777" w:rsidR="002742F8" w:rsidRDefault="002742F8">
            <w:pPr>
              <w:spacing w:after="120"/>
            </w:pPr>
            <w:r>
              <w:t>21 December 2022</w:t>
            </w:r>
          </w:p>
        </w:tc>
        <w:tc>
          <w:tcPr>
            <w:tcW w:w="2059" w:type="pct"/>
            <w:tcBorders>
              <w:top w:val="single" w:sz="4" w:space="0" w:color="auto"/>
              <w:bottom w:val="single" w:sz="4" w:space="0" w:color="auto"/>
            </w:tcBorders>
          </w:tcPr>
          <w:p w14:paraId="76EA458D"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Western Porous Rock (GS50)</w:t>
            </w:r>
          </w:p>
          <w:p w14:paraId="147B3CD8"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Gunnedah</w:t>
            </w:r>
            <w:r w:rsidRPr="00D46F68">
              <w:rPr>
                <w:rFonts w:eastAsia="Times New Roman"/>
                <w:szCs w:val="20"/>
                <w:lang w:eastAsia="en-AU"/>
              </w:rPr>
              <w:noBreakHyphen/>
              <w:t>Oxley Basin MDB (GS17)</w:t>
            </w:r>
          </w:p>
          <w:p w14:paraId="56D9DF71" w14:textId="77777777" w:rsidR="002742F8" w:rsidRPr="00D46F68" w:rsidRDefault="002742F8">
            <w:pPr>
              <w:widowControl w:val="0"/>
              <w:spacing w:after="120"/>
              <w:rPr>
                <w:rFonts w:eastAsia="Times New Roman"/>
                <w:szCs w:val="20"/>
                <w:lang w:eastAsia="en-AU"/>
              </w:rPr>
            </w:pPr>
            <w:r w:rsidRPr="00D46F68">
              <w:rPr>
                <w:rFonts w:eastAsia="Times New Roman"/>
                <w:szCs w:val="20"/>
                <w:lang w:eastAsia="en-AU"/>
              </w:rPr>
              <w:t>Sydney Basin MDB (GS41)</w:t>
            </w:r>
          </w:p>
          <w:p w14:paraId="7F5DDBFF" w14:textId="77777777" w:rsidR="002742F8" w:rsidRDefault="002742F8">
            <w:pPr>
              <w:spacing w:after="120"/>
            </w:pPr>
            <w:r w:rsidRPr="00D46F68">
              <w:rPr>
                <w:rFonts w:eastAsia="Times New Roman"/>
                <w:szCs w:val="20"/>
                <w:lang w:eastAsia="en-AU"/>
              </w:rPr>
              <w:t>Oaklands Basin (GS38)</w:t>
            </w:r>
          </w:p>
        </w:tc>
        <w:tc>
          <w:tcPr>
            <w:tcW w:w="808" w:type="pct"/>
            <w:tcBorders>
              <w:top w:val="single" w:sz="4" w:space="0" w:color="auto"/>
              <w:bottom w:val="single" w:sz="4" w:space="0" w:color="auto"/>
              <w:right w:val="nil"/>
            </w:tcBorders>
          </w:tcPr>
          <w:p w14:paraId="4ECDBFB2" w14:textId="77777777" w:rsidR="002742F8" w:rsidRPr="00DE4AB0" w:rsidRDefault="002742F8">
            <w:pPr>
              <w:spacing w:after="120"/>
              <w:rPr>
                <w:highlight w:val="yellow"/>
              </w:rPr>
            </w:pPr>
            <w:r w:rsidRPr="00F402B4">
              <w:t>2023-2024</w:t>
            </w:r>
          </w:p>
        </w:tc>
      </w:tr>
      <w:tr w:rsidR="002742F8" w14:paraId="1B70FD60" w14:textId="77777777" w:rsidTr="0008608B">
        <w:tc>
          <w:tcPr>
            <w:tcW w:w="1250" w:type="pct"/>
            <w:tcBorders>
              <w:top w:val="single" w:sz="4" w:space="0" w:color="auto"/>
              <w:left w:val="nil"/>
              <w:bottom w:val="single" w:sz="4" w:space="0" w:color="auto"/>
            </w:tcBorders>
          </w:tcPr>
          <w:p w14:paraId="1C529285" w14:textId="77777777" w:rsidR="002742F8" w:rsidRDefault="002742F8">
            <w:pPr>
              <w:spacing w:after="120"/>
            </w:pPr>
            <w:r>
              <w:t>Darling Alluvium (GW7)</w:t>
            </w:r>
          </w:p>
        </w:tc>
        <w:tc>
          <w:tcPr>
            <w:tcW w:w="883" w:type="pct"/>
            <w:tcBorders>
              <w:top w:val="single" w:sz="4" w:space="0" w:color="auto"/>
              <w:bottom w:val="single" w:sz="4" w:space="0" w:color="auto"/>
            </w:tcBorders>
          </w:tcPr>
          <w:p w14:paraId="26CBCA11" w14:textId="77777777" w:rsidR="002742F8" w:rsidRDefault="002742F8">
            <w:pPr>
              <w:spacing w:after="120"/>
            </w:pPr>
            <w:r>
              <w:t>22 June 2023</w:t>
            </w:r>
          </w:p>
        </w:tc>
        <w:tc>
          <w:tcPr>
            <w:tcW w:w="2059" w:type="pct"/>
            <w:tcBorders>
              <w:top w:val="single" w:sz="4" w:space="0" w:color="auto"/>
              <w:bottom w:val="single" w:sz="4" w:space="0" w:color="auto"/>
            </w:tcBorders>
            <w:vAlign w:val="center"/>
          </w:tcPr>
          <w:p w14:paraId="7313A82B" w14:textId="77777777" w:rsidR="002742F8" w:rsidRDefault="002742F8">
            <w:pPr>
              <w:spacing w:after="120"/>
              <w:rPr>
                <w:rFonts w:eastAsia="Times New Roman"/>
                <w:szCs w:val="20"/>
                <w:lang w:eastAsia="en-AU"/>
              </w:rPr>
            </w:pPr>
            <w:r w:rsidRPr="00D46F68">
              <w:rPr>
                <w:rFonts w:eastAsia="Times New Roman"/>
                <w:szCs w:val="20"/>
                <w:lang w:eastAsia="en-AU"/>
              </w:rPr>
              <w:t>Upper Darling Alluvium (GS42)</w:t>
            </w:r>
            <w:r>
              <w:rPr>
                <w:rFonts w:eastAsia="Times New Roman"/>
                <w:szCs w:val="20"/>
                <w:lang w:eastAsia="en-AU"/>
              </w:rPr>
              <w:t xml:space="preserve"> </w:t>
            </w:r>
          </w:p>
          <w:p w14:paraId="54276A16" w14:textId="77777777" w:rsidR="002742F8" w:rsidRPr="00DE4AB0" w:rsidRDefault="002742F8">
            <w:pPr>
              <w:spacing w:after="120"/>
              <w:rPr>
                <w:highlight w:val="yellow"/>
              </w:rPr>
            </w:pPr>
            <w:r w:rsidRPr="00A44FE5">
              <w:t>Lower Darling Alluvium (GS23)</w:t>
            </w:r>
          </w:p>
        </w:tc>
        <w:tc>
          <w:tcPr>
            <w:tcW w:w="808" w:type="pct"/>
            <w:tcBorders>
              <w:top w:val="single" w:sz="4" w:space="0" w:color="auto"/>
              <w:bottom w:val="single" w:sz="4" w:space="0" w:color="auto"/>
              <w:right w:val="nil"/>
            </w:tcBorders>
          </w:tcPr>
          <w:p w14:paraId="071DC090" w14:textId="77777777" w:rsidR="002742F8" w:rsidRDefault="002742F8">
            <w:pPr>
              <w:spacing w:after="120"/>
              <w:rPr>
                <w:highlight w:val="yellow"/>
              </w:rPr>
            </w:pPr>
            <w:r w:rsidRPr="00F402B4">
              <w:t>2023-2024</w:t>
            </w:r>
          </w:p>
        </w:tc>
      </w:tr>
    </w:tbl>
    <w:p w14:paraId="60F539D3" w14:textId="77777777" w:rsidR="005B23B9" w:rsidRDefault="005B23B9">
      <w:r>
        <w:br w:type="page"/>
      </w:r>
    </w:p>
    <w:tbl>
      <w:tblPr>
        <w:tblStyle w:val="TableGridLight"/>
        <w:tblW w:w="5000" w:type="pct"/>
        <w:tblLook w:val="04A0" w:firstRow="1" w:lastRow="0" w:firstColumn="1" w:lastColumn="0" w:noHBand="0" w:noVBand="1"/>
      </w:tblPr>
      <w:tblGrid>
        <w:gridCol w:w="2368"/>
        <w:gridCol w:w="1673"/>
        <w:gridCol w:w="3901"/>
        <w:gridCol w:w="1531"/>
      </w:tblGrid>
      <w:tr w:rsidR="005B23B9" w14:paraId="539B4D85" w14:textId="77777777">
        <w:trPr>
          <w:cnfStyle w:val="100000000000" w:firstRow="1" w:lastRow="0" w:firstColumn="0" w:lastColumn="0" w:oddVBand="0" w:evenVBand="0" w:oddHBand="0" w:evenHBand="0" w:firstRowFirstColumn="0" w:firstRowLastColumn="0" w:lastRowFirstColumn="0" w:lastRowLastColumn="0"/>
        </w:trPr>
        <w:tc>
          <w:tcPr>
            <w:tcW w:w="1250" w:type="pct"/>
            <w:tcBorders>
              <w:top w:val="single" w:sz="4" w:space="0" w:color="auto"/>
              <w:left w:val="nil"/>
              <w:bottom w:val="single" w:sz="4" w:space="0" w:color="auto"/>
            </w:tcBorders>
          </w:tcPr>
          <w:p w14:paraId="289225DF" w14:textId="00DD1F28" w:rsidR="005B23B9" w:rsidRDefault="005B23B9" w:rsidP="005B23B9">
            <w:pPr>
              <w:spacing w:after="120"/>
            </w:pPr>
            <w:r w:rsidRPr="001959C2">
              <w:rPr>
                <w:color w:val="D8E3E2" w:themeColor="text1" w:themeTint="33"/>
              </w:rPr>
              <w:lastRenderedPageBreak/>
              <w:t>Water Resource Plan</w:t>
            </w:r>
          </w:p>
        </w:tc>
        <w:tc>
          <w:tcPr>
            <w:tcW w:w="883" w:type="pct"/>
            <w:tcBorders>
              <w:top w:val="single" w:sz="4" w:space="0" w:color="auto"/>
              <w:bottom w:val="single" w:sz="4" w:space="0" w:color="auto"/>
            </w:tcBorders>
          </w:tcPr>
          <w:p w14:paraId="09C3B794" w14:textId="3E00E306" w:rsidR="005B23B9" w:rsidRDefault="005B23B9" w:rsidP="005B23B9">
            <w:pPr>
              <w:spacing w:after="120"/>
            </w:pPr>
            <w:r w:rsidRPr="001959C2">
              <w:rPr>
                <w:color w:val="D8E3E2" w:themeColor="text1" w:themeTint="33"/>
              </w:rPr>
              <w:t>Date accredited</w:t>
            </w:r>
          </w:p>
        </w:tc>
        <w:tc>
          <w:tcPr>
            <w:tcW w:w="2059" w:type="pct"/>
            <w:tcBorders>
              <w:top w:val="single" w:sz="4" w:space="0" w:color="auto"/>
              <w:bottom w:val="single" w:sz="4" w:space="0" w:color="auto"/>
            </w:tcBorders>
          </w:tcPr>
          <w:p w14:paraId="34665AE5" w14:textId="43123E70" w:rsidR="005B23B9" w:rsidRPr="00D46F68" w:rsidRDefault="005B23B9" w:rsidP="005B23B9">
            <w:pPr>
              <w:spacing w:after="120"/>
              <w:rPr>
                <w:rFonts w:eastAsia="Times New Roman"/>
                <w:szCs w:val="20"/>
                <w:lang w:eastAsia="en-AU"/>
              </w:rPr>
            </w:pPr>
            <w:r w:rsidRPr="001959C2">
              <w:rPr>
                <w:color w:val="D8E3E2" w:themeColor="text1" w:themeTint="33"/>
              </w:rPr>
              <w:t>SDL resource units</w:t>
            </w:r>
          </w:p>
        </w:tc>
        <w:tc>
          <w:tcPr>
            <w:tcW w:w="808" w:type="pct"/>
            <w:tcBorders>
              <w:top w:val="single" w:sz="4" w:space="0" w:color="auto"/>
              <w:bottom w:val="single" w:sz="4" w:space="0" w:color="auto"/>
              <w:right w:val="nil"/>
            </w:tcBorders>
          </w:tcPr>
          <w:p w14:paraId="55B9CA86" w14:textId="2DF22B27" w:rsidR="005B23B9" w:rsidRPr="00F402B4" w:rsidRDefault="005B23B9" w:rsidP="005B23B9">
            <w:pPr>
              <w:spacing w:after="120"/>
            </w:pPr>
            <w:r w:rsidRPr="001959C2">
              <w:rPr>
                <w:color w:val="D8E3E2" w:themeColor="text1" w:themeTint="33"/>
              </w:rPr>
              <w:t>SDL Compliance</w:t>
            </w:r>
          </w:p>
        </w:tc>
      </w:tr>
      <w:tr w:rsidR="002742F8" w14:paraId="50F55952" w14:textId="77777777" w:rsidTr="0008608B">
        <w:tc>
          <w:tcPr>
            <w:tcW w:w="1250" w:type="pct"/>
            <w:tcBorders>
              <w:top w:val="single" w:sz="4" w:space="0" w:color="auto"/>
              <w:left w:val="nil"/>
              <w:bottom w:val="single" w:sz="4" w:space="0" w:color="auto"/>
            </w:tcBorders>
          </w:tcPr>
          <w:p w14:paraId="77BD3300" w14:textId="3203126C" w:rsidR="002742F8" w:rsidRDefault="000D121A">
            <w:pPr>
              <w:spacing w:after="120"/>
            </w:pPr>
            <w:r>
              <w:t>Murray Alluvium</w:t>
            </w:r>
            <w:r w:rsidR="00F07E4C">
              <w:t xml:space="preserve"> (GW8)</w:t>
            </w:r>
          </w:p>
        </w:tc>
        <w:tc>
          <w:tcPr>
            <w:tcW w:w="883" w:type="pct"/>
            <w:tcBorders>
              <w:top w:val="single" w:sz="4" w:space="0" w:color="auto"/>
              <w:bottom w:val="single" w:sz="4" w:space="0" w:color="auto"/>
            </w:tcBorders>
          </w:tcPr>
          <w:p w14:paraId="305A8D0C" w14:textId="5D927DFF" w:rsidR="002742F8" w:rsidRDefault="00614A0E">
            <w:pPr>
              <w:spacing w:after="120"/>
            </w:pPr>
            <w:r>
              <w:t>21 August 2023</w:t>
            </w:r>
          </w:p>
        </w:tc>
        <w:tc>
          <w:tcPr>
            <w:tcW w:w="2059" w:type="pct"/>
            <w:tcBorders>
              <w:top w:val="single" w:sz="4" w:space="0" w:color="auto"/>
              <w:bottom w:val="single" w:sz="4" w:space="0" w:color="auto"/>
            </w:tcBorders>
            <w:vAlign w:val="center"/>
          </w:tcPr>
          <w:p w14:paraId="14264A69" w14:textId="77777777" w:rsidR="002742F8" w:rsidRDefault="00132A7D">
            <w:pPr>
              <w:spacing w:after="120"/>
              <w:rPr>
                <w:rFonts w:eastAsia="Times New Roman"/>
                <w:szCs w:val="20"/>
                <w:lang w:eastAsia="en-AU"/>
              </w:rPr>
            </w:pPr>
            <w:r>
              <w:rPr>
                <w:rFonts w:eastAsia="Times New Roman"/>
                <w:szCs w:val="20"/>
                <w:lang w:eastAsia="en-AU"/>
              </w:rPr>
              <w:t>Billabong Creek Alluvium (GS13)</w:t>
            </w:r>
          </w:p>
          <w:p w14:paraId="1CE1DD8D" w14:textId="60906953" w:rsidR="00132A7D" w:rsidRPr="00D46F68" w:rsidRDefault="00132A7D">
            <w:pPr>
              <w:spacing w:after="120"/>
              <w:rPr>
                <w:rFonts w:eastAsia="Times New Roman"/>
                <w:szCs w:val="20"/>
                <w:lang w:eastAsia="en-AU"/>
              </w:rPr>
            </w:pPr>
            <w:r>
              <w:rPr>
                <w:rFonts w:eastAsia="Times New Roman"/>
                <w:szCs w:val="20"/>
                <w:lang w:eastAsia="en-AU"/>
              </w:rPr>
              <w:t>Lower Murray Shallow Alluvium (</w:t>
            </w:r>
            <w:r w:rsidR="00BD4054">
              <w:rPr>
                <w:rFonts w:eastAsia="Times New Roman"/>
                <w:szCs w:val="20"/>
                <w:lang w:eastAsia="en-AU"/>
              </w:rPr>
              <w:t>GS27a)</w:t>
            </w:r>
          </w:p>
        </w:tc>
        <w:tc>
          <w:tcPr>
            <w:tcW w:w="808" w:type="pct"/>
            <w:tcBorders>
              <w:top w:val="single" w:sz="4" w:space="0" w:color="auto"/>
              <w:bottom w:val="single" w:sz="4" w:space="0" w:color="auto"/>
              <w:right w:val="nil"/>
            </w:tcBorders>
          </w:tcPr>
          <w:p w14:paraId="1FFD3C0C" w14:textId="65848F3C" w:rsidR="002742F8" w:rsidRPr="00F402B4" w:rsidRDefault="00614A0E">
            <w:pPr>
              <w:spacing w:after="120"/>
            </w:pPr>
            <w:r>
              <w:t>2024-2025</w:t>
            </w:r>
          </w:p>
        </w:tc>
      </w:tr>
      <w:tr w:rsidR="00A946C6" w14:paraId="74B5EAF2" w14:textId="77777777" w:rsidTr="0008608B">
        <w:trPr>
          <w:trHeight w:val="1173"/>
        </w:trPr>
        <w:tc>
          <w:tcPr>
            <w:tcW w:w="1250" w:type="pct"/>
            <w:tcBorders>
              <w:top w:val="single" w:sz="4" w:space="0" w:color="auto"/>
              <w:left w:val="nil"/>
              <w:bottom w:val="single" w:sz="4" w:space="0" w:color="auto"/>
            </w:tcBorders>
          </w:tcPr>
          <w:p w14:paraId="4C71E59E" w14:textId="4722DE92" w:rsidR="00A946C6" w:rsidRPr="0024394F" w:rsidRDefault="00A946C6" w:rsidP="00A946C6">
            <w:pPr>
              <w:spacing w:after="120"/>
            </w:pPr>
            <w:r w:rsidRPr="0024394F">
              <w:t>Lachlan Alluvium</w:t>
            </w:r>
            <w:r w:rsidR="00F07E4C" w:rsidRPr="0024394F">
              <w:t xml:space="preserve"> (</w:t>
            </w:r>
            <w:r w:rsidR="00CF179B" w:rsidRPr="0024394F">
              <w:t>GW10)</w:t>
            </w:r>
          </w:p>
        </w:tc>
        <w:tc>
          <w:tcPr>
            <w:tcW w:w="883" w:type="pct"/>
            <w:tcBorders>
              <w:top w:val="single" w:sz="4" w:space="0" w:color="auto"/>
              <w:bottom w:val="single" w:sz="4" w:space="0" w:color="auto"/>
            </w:tcBorders>
          </w:tcPr>
          <w:p w14:paraId="4882B1A5" w14:textId="5140BCBA" w:rsidR="00A946C6" w:rsidRPr="0024394F" w:rsidRDefault="00A946C6" w:rsidP="00A946C6">
            <w:pPr>
              <w:spacing w:after="120"/>
            </w:pPr>
            <w:r w:rsidRPr="0024394F">
              <w:t>22 August 2023</w:t>
            </w:r>
          </w:p>
        </w:tc>
        <w:tc>
          <w:tcPr>
            <w:tcW w:w="2059" w:type="pct"/>
            <w:tcBorders>
              <w:top w:val="single" w:sz="4" w:space="0" w:color="auto"/>
              <w:bottom w:val="single" w:sz="4" w:space="0" w:color="auto"/>
            </w:tcBorders>
            <w:vAlign w:val="center"/>
          </w:tcPr>
          <w:p w14:paraId="5F3C9BF8" w14:textId="77777777" w:rsidR="00A946C6" w:rsidRPr="0024394F" w:rsidRDefault="00A946C6" w:rsidP="00A946C6">
            <w:pPr>
              <w:spacing w:after="120"/>
              <w:rPr>
                <w:rFonts w:eastAsia="Times New Roman"/>
                <w:szCs w:val="20"/>
                <w:lang w:eastAsia="en-AU"/>
              </w:rPr>
            </w:pPr>
            <w:r w:rsidRPr="0024394F">
              <w:rPr>
                <w:rFonts w:eastAsia="Times New Roman"/>
                <w:szCs w:val="20"/>
                <w:lang w:eastAsia="en-AU"/>
              </w:rPr>
              <w:t>Lower Lachlan Alluvium (GS25)</w:t>
            </w:r>
          </w:p>
          <w:p w14:paraId="33386AE9" w14:textId="77777777" w:rsidR="00A946C6" w:rsidRPr="0024394F" w:rsidRDefault="00A946C6" w:rsidP="00A946C6">
            <w:pPr>
              <w:spacing w:after="120"/>
              <w:rPr>
                <w:rFonts w:eastAsia="Times New Roman"/>
                <w:szCs w:val="20"/>
                <w:lang w:eastAsia="en-AU"/>
              </w:rPr>
            </w:pPr>
            <w:r w:rsidRPr="0024394F">
              <w:rPr>
                <w:rFonts w:eastAsia="Times New Roman"/>
                <w:szCs w:val="20"/>
                <w:lang w:eastAsia="en-AU"/>
              </w:rPr>
              <w:t>Upper Lachlan Alluvium (GS44)</w:t>
            </w:r>
          </w:p>
          <w:p w14:paraId="58E5D936" w14:textId="166A431D" w:rsidR="00A946C6" w:rsidRPr="0024394F" w:rsidRDefault="00A946C6" w:rsidP="00A946C6">
            <w:pPr>
              <w:spacing w:after="120"/>
              <w:rPr>
                <w:rFonts w:eastAsia="Times New Roman"/>
                <w:szCs w:val="20"/>
                <w:lang w:eastAsia="en-AU"/>
              </w:rPr>
            </w:pPr>
            <w:proofErr w:type="spellStart"/>
            <w:r w:rsidRPr="0024394F">
              <w:rPr>
                <w:rFonts w:eastAsia="Times New Roman"/>
                <w:szCs w:val="20"/>
                <w:lang w:eastAsia="en-AU"/>
              </w:rPr>
              <w:t>Belubula</w:t>
            </w:r>
            <w:proofErr w:type="spellEnd"/>
            <w:r w:rsidRPr="0024394F">
              <w:rPr>
                <w:rFonts w:eastAsia="Times New Roman"/>
                <w:szCs w:val="20"/>
                <w:lang w:eastAsia="en-AU"/>
              </w:rPr>
              <w:t xml:space="preserve"> Alluvium (GS12)</w:t>
            </w:r>
          </w:p>
        </w:tc>
        <w:tc>
          <w:tcPr>
            <w:tcW w:w="808" w:type="pct"/>
            <w:tcBorders>
              <w:top w:val="single" w:sz="4" w:space="0" w:color="auto"/>
              <w:bottom w:val="single" w:sz="4" w:space="0" w:color="auto"/>
              <w:right w:val="nil"/>
            </w:tcBorders>
          </w:tcPr>
          <w:p w14:paraId="04CAD765" w14:textId="50F46BE5" w:rsidR="00A946C6" w:rsidRDefault="00A946C6" w:rsidP="00A946C6">
            <w:pPr>
              <w:spacing w:after="120"/>
            </w:pPr>
            <w:r>
              <w:t>2024-2025</w:t>
            </w:r>
          </w:p>
        </w:tc>
      </w:tr>
      <w:tr w:rsidR="00A946C6" w14:paraId="235741F4" w14:textId="77777777" w:rsidTr="0008608B">
        <w:tc>
          <w:tcPr>
            <w:tcW w:w="1250" w:type="pct"/>
            <w:tcBorders>
              <w:top w:val="single" w:sz="4" w:space="0" w:color="auto"/>
              <w:left w:val="nil"/>
              <w:bottom w:val="single" w:sz="4" w:space="0" w:color="auto"/>
            </w:tcBorders>
          </w:tcPr>
          <w:p w14:paraId="42B5F789" w14:textId="2AFF0C1C" w:rsidR="00A946C6" w:rsidRPr="0024394F" w:rsidRDefault="001C7FA6" w:rsidP="00A946C6">
            <w:pPr>
              <w:spacing w:after="120"/>
            </w:pPr>
            <w:r w:rsidRPr="0024394F">
              <w:t>Murrumbidgee Alluvium</w:t>
            </w:r>
            <w:r w:rsidR="00A946C6" w:rsidRPr="0024394F">
              <w:t xml:space="preserve"> </w:t>
            </w:r>
            <w:r w:rsidR="00CF179B" w:rsidRPr="0024394F">
              <w:t>(</w:t>
            </w:r>
            <w:r w:rsidR="000F1101" w:rsidRPr="0024394F">
              <w:t>GW9)</w:t>
            </w:r>
          </w:p>
        </w:tc>
        <w:tc>
          <w:tcPr>
            <w:tcW w:w="883" w:type="pct"/>
            <w:tcBorders>
              <w:top w:val="single" w:sz="4" w:space="0" w:color="auto"/>
              <w:bottom w:val="single" w:sz="4" w:space="0" w:color="auto"/>
            </w:tcBorders>
          </w:tcPr>
          <w:p w14:paraId="59E60DC6" w14:textId="738949C4" w:rsidR="00A946C6" w:rsidRPr="0024394F" w:rsidRDefault="001C7FA6" w:rsidP="00A946C6">
            <w:pPr>
              <w:spacing w:after="120"/>
            </w:pPr>
            <w:r w:rsidRPr="0024394F">
              <w:t>9</w:t>
            </w:r>
            <w:r w:rsidR="00A946C6" w:rsidRPr="0024394F">
              <w:t xml:space="preserve"> </w:t>
            </w:r>
            <w:r w:rsidRPr="0024394F">
              <w:t>November</w:t>
            </w:r>
            <w:r w:rsidR="00A946C6" w:rsidRPr="0024394F">
              <w:t xml:space="preserve"> 2023</w:t>
            </w:r>
          </w:p>
        </w:tc>
        <w:tc>
          <w:tcPr>
            <w:tcW w:w="2059" w:type="pct"/>
            <w:tcBorders>
              <w:top w:val="single" w:sz="4" w:space="0" w:color="auto"/>
              <w:bottom w:val="single" w:sz="4" w:space="0" w:color="auto"/>
            </w:tcBorders>
          </w:tcPr>
          <w:p w14:paraId="59A0615C" w14:textId="5A716A6A" w:rsidR="00FF29D8" w:rsidRPr="0024394F" w:rsidRDefault="00FF29D8" w:rsidP="00FF29D8">
            <w:pPr>
              <w:spacing w:after="120"/>
              <w:rPr>
                <w:rFonts w:eastAsia="Times New Roman"/>
                <w:szCs w:val="20"/>
                <w:lang w:eastAsia="en-AU"/>
              </w:rPr>
            </w:pPr>
            <w:r w:rsidRPr="0024394F">
              <w:rPr>
                <w:rFonts w:eastAsia="Times New Roman"/>
                <w:szCs w:val="20"/>
                <w:lang w:eastAsia="en-AU"/>
              </w:rPr>
              <w:t>Lake George Alluvium (GS21)</w:t>
            </w:r>
          </w:p>
          <w:p w14:paraId="78C3DE89" w14:textId="744699DB" w:rsidR="00FF29D8" w:rsidRPr="0024394F" w:rsidRDefault="00FF29D8" w:rsidP="00FF29D8">
            <w:pPr>
              <w:spacing w:after="120"/>
              <w:rPr>
                <w:rFonts w:eastAsia="Times New Roman"/>
                <w:szCs w:val="20"/>
                <w:lang w:eastAsia="en-AU"/>
              </w:rPr>
            </w:pPr>
            <w:r w:rsidRPr="0024394F">
              <w:rPr>
                <w:rFonts w:eastAsia="Times New Roman"/>
                <w:szCs w:val="20"/>
                <w:lang w:eastAsia="en-AU"/>
              </w:rPr>
              <w:t>Mid Murrumbidgee Alluvium (GS31)</w:t>
            </w:r>
          </w:p>
          <w:p w14:paraId="0D3D1EFD" w14:textId="6422550A" w:rsidR="00FF29D8" w:rsidRPr="0024394F" w:rsidRDefault="00FF29D8" w:rsidP="00FF29D8">
            <w:pPr>
              <w:spacing w:after="120"/>
              <w:rPr>
                <w:rFonts w:eastAsia="Times New Roman"/>
                <w:szCs w:val="20"/>
                <w:lang w:eastAsia="en-AU"/>
              </w:rPr>
            </w:pPr>
            <w:r w:rsidRPr="0024394F">
              <w:rPr>
                <w:rFonts w:eastAsia="Times New Roman"/>
                <w:szCs w:val="20"/>
                <w:lang w:eastAsia="en-AU"/>
              </w:rPr>
              <w:t>Lower Murrumbidgee Shallow Alluvium (GS28a)</w:t>
            </w:r>
          </w:p>
          <w:p w14:paraId="3593A280" w14:textId="61384377" w:rsidR="00A946C6" w:rsidRPr="0024394F" w:rsidRDefault="00FF29D8" w:rsidP="00FF29D8">
            <w:pPr>
              <w:spacing w:after="120"/>
              <w:rPr>
                <w:rFonts w:eastAsia="Times New Roman"/>
                <w:szCs w:val="20"/>
                <w:lang w:eastAsia="en-AU"/>
              </w:rPr>
            </w:pPr>
            <w:r w:rsidRPr="0024394F">
              <w:rPr>
                <w:rFonts w:eastAsia="Times New Roman"/>
                <w:szCs w:val="20"/>
                <w:lang w:eastAsia="en-AU"/>
              </w:rPr>
              <w:t>Lower Murrumbidgee Deep Alluvium (GS28b)</w:t>
            </w:r>
          </w:p>
        </w:tc>
        <w:tc>
          <w:tcPr>
            <w:tcW w:w="808" w:type="pct"/>
            <w:tcBorders>
              <w:top w:val="single" w:sz="4" w:space="0" w:color="auto"/>
              <w:bottom w:val="single" w:sz="4" w:space="0" w:color="auto"/>
              <w:right w:val="nil"/>
            </w:tcBorders>
          </w:tcPr>
          <w:p w14:paraId="7BCDDAFE" w14:textId="3DCBEA40" w:rsidR="00A946C6" w:rsidRDefault="00A946C6" w:rsidP="00A946C6">
            <w:pPr>
              <w:spacing w:after="120"/>
            </w:pPr>
            <w:r>
              <w:t>2024-2025</w:t>
            </w:r>
          </w:p>
        </w:tc>
      </w:tr>
      <w:tr w:rsidR="00A946C6" w14:paraId="79FEEA8C" w14:textId="77777777" w:rsidTr="0008608B">
        <w:tc>
          <w:tcPr>
            <w:tcW w:w="1250" w:type="pct"/>
            <w:tcBorders>
              <w:top w:val="single" w:sz="4" w:space="0" w:color="auto"/>
              <w:left w:val="nil"/>
              <w:bottom w:val="single" w:sz="4" w:space="0" w:color="auto"/>
            </w:tcBorders>
          </w:tcPr>
          <w:p w14:paraId="439BE7FA" w14:textId="54315020" w:rsidR="00A946C6" w:rsidRPr="0024394F" w:rsidRDefault="00E25A76" w:rsidP="00A946C6">
            <w:pPr>
              <w:spacing w:after="120"/>
            </w:pPr>
            <w:r w:rsidRPr="0024394F">
              <w:t>N</w:t>
            </w:r>
            <w:r w:rsidR="00204860" w:rsidRPr="0024394F">
              <w:t>SW Great Artesian Basin Shallow</w:t>
            </w:r>
            <w:r w:rsidR="002B4FB3" w:rsidRPr="0024394F">
              <w:t xml:space="preserve"> (GW13)</w:t>
            </w:r>
          </w:p>
        </w:tc>
        <w:tc>
          <w:tcPr>
            <w:tcW w:w="883" w:type="pct"/>
            <w:tcBorders>
              <w:top w:val="single" w:sz="4" w:space="0" w:color="auto"/>
              <w:bottom w:val="single" w:sz="4" w:space="0" w:color="auto"/>
            </w:tcBorders>
          </w:tcPr>
          <w:p w14:paraId="4F1F404E" w14:textId="67AF42FF" w:rsidR="00A946C6" w:rsidRPr="0024394F" w:rsidRDefault="00597C96" w:rsidP="00A946C6">
            <w:pPr>
              <w:spacing w:after="120"/>
            </w:pPr>
            <w:r w:rsidRPr="0024394F">
              <w:t>9</w:t>
            </w:r>
            <w:r w:rsidR="00A946C6" w:rsidRPr="0024394F">
              <w:t xml:space="preserve"> </w:t>
            </w:r>
            <w:r w:rsidR="00592808" w:rsidRPr="0024394F">
              <w:t>Decem</w:t>
            </w:r>
            <w:r w:rsidRPr="0024394F">
              <w:t>ber 2023</w:t>
            </w:r>
          </w:p>
        </w:tc>
        <w:tc>
          <w:tcPr>
            <w:tcW w:w="2059" w:type="pct"/>
            <w:tcBorders>
              <w:top w:val="single" w:sz="4" w:space="0" w:color="auto"/>
              <w:bottom w:val="single" w:sz="4" w:space="0" w:color="auto"/>
            </w:tcBorders>
          </w:tcPr>
          <w:p w14:paraId="7CF2CC0B" w14:textId="4AAFFE53" w:rsidR="00A946C6" w:rsidRPr="0024394F" w:rsidRDefault="00ED175C" w:rsidP="00A946C6">
            <w:pPr>
              <w:spacing w:after="120"/>
              <w:rPr>
                <w:rFonts w:eastAsia="Times New Roman"/>
                <w:szCs w:val="20"/>
                <w:lang w:eastAsia="en-AU"/>
              </w:rPr>
            </w:pPr>
            <w:r w:rsidRPr="0024394F">
              <w:rPr>
                <w:rFonts w:eastAsia="Times New Roman"/>
                <w:szCs w:val="20"/>
                <w:lang w:eastAsia="en-AU"/>
              </w:rPr>
              <w:t xml:space="preserve">NSW GAB </w:t>
            </w:r>
            <w:r w:rsidR="00303BB0" w:rsidRPr="0024394F">
              <w:rPr>
                <w:rFonts w:eastAsia="Times New Roman"/>
                <w:szCs w:val="20"/>
                <w:lang w:eastAsia="en-AU"/>
              </w:rPr>
              <w:t>Surat</w:t>
            </w:r>
            <w:r w:rsidRPr="0024394F">
              <w:rPr>
                <w:rFonts w:eastAsia="Times New Roman"/>
                <w:szCs w:val="20"/>
                <w:lang w:eastAsia="en-AU"/>
              </w:rPr>
              <w:t xml:space="preserve"> Shallow (GS3</w:t>
            </w:r>
            <w:r w:rsidR="00303BB0" w:rsidRPr="0024394F">
              <w:rPr>
                <w:rFonts w:eastAsia="Times New Roman"/>
                <w:szCs w:val="20"/>
                <w:lang w:eastAsia="en-AU"/>
              </w:rPr>
              <w:t>4</w:t>
            </w:r>
            <w:r w:rsidRPr="0024394F">
              <w:rPr>
                <w:rFonts w:eastAsia="Times New Roman"/>
                <w:szCs w:val="20"/>
                <w:lang w:eastAsia="en-AU"/>
              </w:rPr>
              <w:t xml:space="preserve">) </w:t>
            </w:r>
          </w:p>
          <w:p w14:paraId="5EC51BC3" w14:textId="77777777" w:rsidR="005E7FC6" w:rsidRPr="0024394F" w:rsidRDefault="005E7FC6" w:rsidP="005E7FC6">
            <w:pPr>
              <w:spacing w:after="120"/>
              <w:rPr>
                <w:rFonts w:eastAsia="Times New Roman"/>
                <w:szCs w:val="20"/>
                <w:lang w:eastAsia="en-AU"/>
              </w:rPr>
            </w:pPr>
            <w:r w:rsidRPr="0024394F">
              <w:rPr>
                <w:rFonts w:eastAsia="Times New Roman"/>
                <w:szCs w:val="20"/>
                <w:lang w:eastAsia="en-AU"/>
              </w:rPr>
              <w:t xml:space="preserve">NSW GAB Warrego Shallow (GS35) </w:t>
            </w:r>
          </w:p>
          <w:p w14:paraId="2D2BDA8D" w14:textId="2CDA52D4" w:rsidR="00A946C6" w:rsidRPr="0024394F" w:rsidRDefault="005E7FC6" w:rsidP="00A946C6">
            <w:pPr>
              <w:spacing w:after="120"/>
              <w:rPr>
                <w:rFonts w:eastAsia="Times New Roman"/>
                <w:szCs w:val="20"/>
                <w:lang w:eastAsia="en-AU"/>
              </w:rPr>
            </w:pPr>
            <w:r w:rsidRPr="0024394F">
              <w:rPr>
                <w:rFonts w:eastAsia="Times New Roman"/>
                <w:szCs w:val="20"/>
                <w:lang w:eastAsia="en-AU"/>
              </w:rPr>
              <w:t>NSW GAB Central Shallow (GS36)</w:t>
            </w:r>
          </w:p>
        </w:tc>
        <w:tc>
          <w:tcPr>
            <w:tcW w:w="808" w:type="pct"/>
            <w:tcBorders>
              <w:top w:val="single" w:sz="4" w:space="0" w:color="auto"/>
              <w:bottom w:val="single" w:sz="4" w:space="0" w:color="auto"/>
              <w:right w:val="nil"/>
            </w:tcBorders>
          </w:tcPr>
          <w:p w14:paraId="066C0B6C" w14:textId="1C125532" w:rsidR="00A946C6" w:rsidRDefault="00A946C6" w:rsidP="00A946C6">
            <w:pPr>
              <w:spacing w:after="120"/>
            </w:pPr>
            <w:r>
              <w:t>202</w:t>
            </w:r>
            <w:r w:rsidR="00594966">
              <w:t>4</w:t>
            </w:r>
            <w:r>
              <w:t>-202</w:t>
            </w:r>
            <w:r w:rsidR="00594966">
              <w:t>5</w:t>
            </w:r>
          </w:p>
        </w:tc>
      </w:tr>
      <w:tr w:rsidR="00E25A76" w14:paraId="60886417" w14:textId="77777777" w:rsidTr="0008608B">
        <w:tc>
          <w:tcPr>
            <w:tcW w:w="1250" w:type="pct"/>
            <w:tcBorders>
              <w:top w:val="single" w:sz="4" w:space="0" w:color="auto"/>
              <w:left w:val="nil"/>
              <w:bottom w:val="single" w:sz="4" w:space="0" w:color="auto"/>
            </w:tcBorders>
          </w:tcPr>
          <w:p w14:paraId="6D429C28" w14:textId="3F5E8069" w:rsidR="00E25A76" w:rsidRPr="0024394F" w:rsidRDefault="00E25A76">
            <w:pPr>
              <w:spacing w:after="120"/>
            </w:pPr>
            <w:r w:rsidRPr="0024394F">
              <w:t>Intersecting Streams</w:t>
            </w:r>
            <w:r w:rsidR="5808A0B6" w:rsidRPr="0024394F">
              <w:t xml:space="preserve"> (SW13)</w:t>
            </w:r>
          </w:p>
        </w:tc>
        <w:tc>
          <w:tcPr>
            <w:tcW w:w="883" w:type="pct"/>
            <w:tcBorders>
              <w:top w:val="single" w:sz="4" w:space="0" w:color="auto"/>
              <w:bottom w:val="single" w:sz="4" w:space="0" w:color="auto"/>
            </w:tcBorders>
          </w:tcPr>
          <w:p w14:paraId="2F6D924F" w14:textId="77777777" w:rsidR="00E25A76" w:rsidRPr="0024394F" w:rsidRDefault="00E25A76">
            <w:pPr>
              <w:spacing w:after="120"/>
            </w:pPr>
            <w:r w:rsidRPr="0024394F">
              <w:t>9 November 2023</w:t>
            </w:r>
          </w:p>
        </w:tc>
        <w:tc>
          <w:tcPr>
            <w:tcW w:w="2059" w:type="pct"/>
            <w:tcBorders>
              <w:top w:val="single" w:sz="4" w:space="0" w:color="auto"/>
              <w:bottom w:val="single" w:sz="4" w:space="0" w:color="auto"/>
            </w:tcBorders>
          </w:tcPr>
          <w:p w14:paraId="1992AA35" w14:textId="77777777" w:rsidR="00E25A76" w:rsidRPr="0024394F" w:rsidRDefault="00E25A76">
            <w:pPr>
              <w:spacing w:after="120"/>
              <w:rPr>
                <w:rFonts w:eastAsia="Times New Roman"/>
                <w:szCs w:val="20"/>
                <w:lang w:eastAsia="en-AU"/>
              </w:rPr>
            </w:pPr>
            <w:r w:rsidRPr="0024394F">
              <w:rPr>
                <w:rFonts w:eastAsia="Times New Roman"/>
                <w:szCs w:val="20"/>
                <w:lang w:eastAsia="en-AU"/>
              </w:rPr>
              <w:t>Intersecting streams (S17)</w:t>
            </w:r>
          </w:p>
          <w:p w14:paraId="2A986E00" w14:textId="77777777" w:rsidR="00E25A76" w:rsidRPr="0024394F" w:rsidRDefault="00E25A76">
            <w:pPr>
              <w:spacing w:after="120"/>
              <w:rPr>
                <w:rFonts w:eastAsia="Times New Roman"/>
                <w:szCs w:val="20"/>
                <w:lang w:eastAsia="en-AU"/>
              </w:rPr>
            </w:pPr>
          </w:p>
        </w:tc>
        <w:tc>
          <w:tcPr>
            <w:tcW w:w="808" w:type="pct"/>
            <w:tcBorders>
              <w:top w:val="single" w:sz="4" w:space="0" w:color="auto"/>
              <w:bottom w:val="single" w:sz="4" w:space="0" w:color="auto"/>
              <w:right w:val="nil"/>
            </w:tcBorders>
          </w:tcPr>
          <w:p w14:paraId="34C0B910" w14:textId="77777777" w:rsidR="00E25A76" w:rsidRDefault="00E25A76">
            <w:pPr>
              <w:spacing w:after="120"/>
            </w:pPr>
            <w:r>
              <w:t>202</w:t>
            </w:r>
            <w:r w:rsidR="0046773A">
              <w:t>4</w:t>
            </w:r>
            <w:r>
              <w:t>-202</w:t>
            </w:r>
            <w:r w:rsidR="0046773A">
              <w:t>5</w:t>
            </w:r>
          </w:p>
        </w:tc>
      </w:tr>
      <w:tr w:rsidR="00E25A76" w14:paraId="5410842E" w14:textId="77777777" w:rsidTr="0008608B">
        <w:tc>
          <w:tcPr>
            <w:tcW w:w="1250" w:type="pct"/>
            <w:tcBorders>
              <w:top w:val="single" w:sz="4" w:space="0" w:color="auto"/>
              <w:bottom w:val="single" w:sz="4" w:space="0" w:color="auto"/>
            </w:tcBorders>
          </w:tcPr>
          <w:p w14:paraId="15E9A5B1" w14:textId="2159ECB4" w:rsidR="00E25A76" w:rsidRPr="0024394F" w:rsidRDefault="00E25A76" w:rsidP="4CB2314F">
            <w:pPr>
              <w:spacing w:after="120"/>
            </w:pPr>
            <w:r w:rsidRPr="0024394F">
              <w:t xml:space="preserve">Murrumbidgee </w:t>
            </w:r>
          </w:p>
          <w:p w14:paraId="6B74B8EB" w14:textId="6D172CED" w:rsidR="00E25A76" w:rsidRPr="0024394F" w:rsidRDefault="69592C9F">
            <w:pPr>
              <w:spacing w:after="120"/>
            </w:pPr>
            <w:r w:rsidRPr="0024394F">
              <w:t>(SW09)</w:t>
            </w:r>
          </w:p>
        </w:tc>
        <w:tc>
          <w:tcPr>
            <w:tcW w:w="883" w:type="pct"/>
            <w:tcBorders>
              <w:top w:val="single" w:sz="4" w:space="0" w:color="auto"/>
              <w:bottom w:val="single" w:sz="4" w:space="0" w:color="auto"/>
            </w:tcBorders>
          </w:tcPr>
          <w:p w14:paraId="77E70528" w14:textId="77777777" w:rsidR="00E25A76" w:rsidRPr="0024394F" w:rsidRDefault="00E25A76">
            <w:pPr>
              <w:spacing w:after="120"/>
            </w:pPr>
            <w:r w:rsidRPr="0024394F">
              <w:t>29 February 2024</w:t>
            </w:r>
          </w:p>
        </w:tc>
        <w:tc>
          <w:tcPr>
            <w:tcW w:w="2059" w:type="pct"/>
            <w:tcBorders>
              <w:top w:val="single" w:sz="4" w:space="0" w:color="auto"/>
              <w:bottom w:val="single" w:sz="4" w:space="0" w:color="auto"/>
            </w:tcBorders>
          </w:tcPr>
          <w:p w14:paraId="2E30CF91" w14:textId="1316CF22" w:rsidR="00E25A76" w:rsidRPr="0024394F" w:rsidRDefault="00E25A76">
            <w:pPr>
              <w:spacing w:after="120"/>
              <w:rPr>
                <w:rFonts w:eastAsia="Times New Roman"/>
                <w:szCs w:val="20"/>
                <w:lang w:eastAsia="en-AU"/>
              </w:rPr>
            </w:pPr>
            <w:r w:rsidRPr="0024394F">
              <w:rPr>
                <w:rFonts w:eastAsia="Times New Roman"/>
                <w:szCs w:val="20"/>
                <w:lang w:eastAsia="en-AU"/>
              </w:rPr>
              <w:t>Murrumbidgee (SS15)</w:t>
            </w:r>
          </w:p>
        </w:tc>
        <w:tc>
          <w:tcPr>
            <w:tcW w:w="808" w:type="pct"/>
            <w:tcBorders>
              <w:top w:val="single" w:sz="4" w:space="0" w:color="auto"/>
              <w:bottom w:val="single" w:sz="4" w:space="0" w:color="auto"/>
            </w:tcBorders>
          </w:tcPr>
          <w:p w14:paraId="2197B53C" w14:textId="5CA4CAB1" w:rsidR="00E25A76" w:rsidRDefault="00E25A76">
            <w:pPr>
              <w:spacing w:after="120"/>
            </w:pPr>
            <w:r>
              <w:t>202</w:t>
            </w:r>
            <w:r w:rsidR="00AC1F72">
              <w:t>4</w:t>
            </w:r>
            <w:r>
              <w:t>-2025</w:t>
            </w:r>
          </w:p>
        </w:tc>
      </w:tr>
      <w:tr w:rsidR="00E25A76" w14:paraId="4D0475FF" w14:textId="77777777" w:rsidTr="0008608B">
        <w:tc>
          <w:tcPr>
            <w:tcW w:w="1250" w:type="pct"/>
            <w:tcBorders>
              <w:top w:val="single" w:sz="4" w:space="0" w:color="auto"/>
              <w:bottom w:val="single" w:sz="4" w:space="0" w:color="auto"/>
            </w:tcBorders>
          </w:tcPr>
          <w:p w14:paraId="18ABBA32" w14:textId="50E2696C" w:rsidR="00E25A76" w:rsidRPr="0024394F" w:rsidRDefault="00E25A76">
            <w:pPr>
              <w:spacing w:after="120"/>
            </w:pPr>
            <w:r w:rsidRPr="0024394F">
              <w:t>NSW Border Rivers</w:t>
            </w:r>
            <w:r w:rsidR="4319B2FB" w:rsidRPr="0024394F">
              <w:t xml:space="preserve"> (SW16)</w:t>
            </w:r>
          </w:p>
        </w:tc>
        <w:tc>
          <w:tcPr>
            <w:tcW w:w="883" w:type="pct"/>
            <w:tcBorders>
              <w:top w:val="single" w:sz="4" w:space="0" w:color="auto"/>
              <w:bottom w:val="single" w:sz="4" w:space="0" w:color="auto"/>
            </w:tcBorders>
          </w:tcPr>
          <w:p w14:paraId="0F12CFB5" w14:textId="77777777" w:rsidR="00E25A76" w:rsidRPr="0024394F" w:rsidRDefault="00E25A76">
            <w:pPr>
              <w:spacing w:after="120"/>
            </w:pPr>
            <w:r w:rsidRPr="0024394F">
              <w:t>2 May 2024</w:t>
            </w:r>
          </w:p>
        </w:tc>
        <w:tc>
          <w:tcPr>
            <w:tcW w:w="2059" w:type="pct"/>
            <w:tcBorders>
              <w:top w:val="single" w:sz="4" w:space="0" w:color="auto"/>
              <w:bottom w:val="single" w:sz="4" w:space="0" w:color="auto"/>
            </w:tcBorders>
          </w:tcPr>
          <w:p w14:paraId="0BA4D50A" w14:textId="1B3C108B" w:rsidR="00E25A76" w:rsidRPr="0024394F" w:rsidRDefault="00E25A76">
            <w:pPr>
              <w:spacing w:after="120"/>
              <w:rPr>
                <w:rFonts w:eastAsia="Times New Roman"/>
                <w:szCs w:val="20"/>
                <w:lang w:eastAsia="en-AU"/>
              </w:rPr>
            </w:pPr>
            <w:r w:rsidRPr="0024394F">
              <w:rPr>
                <w:rFonts w:eastAsia="Times New Roman"/>
                <w:szCs w:val="20"/>
                <w:lang w:eastAsia="en-AU"/>
              </w:rPr>
              <w:t>NSW Border Rivers (SS23)</w:t>
            </w:r>
          </w:p>
        </w:tc>
        <w:tc>
          <w:tcPr>
            <w:tcW w:w="808" w:type="pct"/>
            <w:tcBorders>
              <w:top w:val="single" w:sz="4" w:space="0" w:color="auto"/>
              <w:bottom w:val="single" w:sz="4" w:space="0" w:color="auto"/>
            </w:tcBorders>
          </w:tcPr>
          <w:p w14:paraId="4D8D9E73" w14:textId="0EA11189" w:rsidR="00E25A76" w:rsidRDefault="00E25A76">
            <w:pPr>
              <w:spacing w:after="120"/>
            </w:pPr>
            <w:r>
              <w:t>202</w:t>
            </w:r>
            <w:r w:rsidR="00AC1F72">
              <w:t>4</w:t>
            </w:r>
            <w:r>
              <w:t>-2025</w:t>
            </w:r>
          </w:p>
        </w:tc>
      </w:tr>
      <w:tr w:rsidR="00E25A76" w14:paraId="67B52F2A" w14:textId="77777777" w:rsidTr="0008608B">
        <w:tc>
          <w:tcPr>
            <w:tcW w:w="1250" w:type="pct"/>
            <w:tcBorders>
              <w:top w:val="single" w:sz="4" w:space="0" w:color="auto"/>
              <w:bottom w:val="single" w:sz="4" w:space="0" w:color="auto"/>
            </w:tcBorders>
          </w:tcPr>
          <w:p w14:paraId="3F2F97C5" w14:textId="350A0694" w:rsidR="00E25A76" w:rsidRPr="0024394F" w:rsidRDefault="00E25A76">
            <w:pPr>
              <w:spacing w:after="120"/>
            </w:pPr>
            <w:r w:rsidRPr="0024394F">
              <w:t xml:space="preserve">Lachlan </w:t>
            </w:r>
            <w:r w:rsidR="29F7D0DF" w:rsidRPr="0024394F">
              <w:t>(SW10)</w:t>
            </w:r>
          </w:p>
        </w:tc>
        <w:tc>
          <w:tcPr>
            <w:tcW w:w="883" w:type="pct"/>
            <w:tcBorders>
              <w:top w:val="single" w:sz="4" w:space="0" w:color="auto"/>
              <w:bottom w:val="single" w:sz="4" w:space="0" w:color="auto"/>
            </w:tcBorders>
          </w:tcPr>
          <w:p w14:paraId="1FDE3C22" w14:textId="77777777" w:rsidR="00E25A76" w:rsidRPr="0024394F" w:rsidRDefault="00E25A76">
            <w:pPr>
              <w:spacing w:after="120"/>
            </w:pPr>
            <w:r w:rsidRPr="0024394F">
              <w:t>18 May 2024</w:t>
            </w:r>
          </w:p>
        </w:tc>
        <w:tc>
          <w:tcPr>
            <w:tcW w:w="2059" w:type="pct"/>
            <w:tcBorders>
              <w:top w:val="single" w:sz="4" w:space="0" w:color="auto"/>
              <w:bottom w:val="single" w:sz="4" w:space="0" w:color="auto"/>
            </w:tcBorders>
          </w:tcPr>
          <w:p w14:paraId="705AB403" w14:textId="76EBCD3C" w:rsidR="00E25A76" w:rsidRPr="0024394F" w:rsidRDefault="00E25A76">
            <w:pPr>
              <w:spacing w:after="120"/>
              <w:rPr>
                <w:rFonts w:eastAsia="Times New Roman"/>
                <w:szCs w:val="20"/>
                <w:lang w:eastAsia="en-AU"/>
              </w:rPr>
            </w:pPr>
            <w:r w:rsidRPr="0024394F">
              <w:rPr>
                <w:rFonts w:eastAsia="Times New Roman"/>
                <w:szCs w:val="20"/>
                <w:lang w:eastAsia="en-AU"/>
              </w:rPr>
              <w:t>Lachlan (SS16)</w:t>
            </w:r>
          </w:p>
        </w:tc>
        <w:tc>
          <w:tcPr>
            <w:tcW w:w="808" w:type="pct"/>
            <w:tcBorders>
              <w:top w:val="single" w:sz="4" w:space="0" w:color="auto"/>
              <w:bottom w:val="single" w:sz="4" w:space="0" w:color="auto"/>
            </w:tcBorders>
          </w:tcPr>
          <w:p w14:paraId="62B8D44B" w14:textId="3ED5D364" w:rsidR="00E25A76" w:rsidRDefault="00E25A76">
            <w:pPr>
              <w:spacing w:after="120"/>
            </w:pPr>
            <w:r>
              <w:t>202</w:t>
            </w:r>
            <w:r w:rsidR="00AC1F72">
              <w:t>4</w:t>
            </w:r>
            <w:r>
              <w:t>-2025</w:t>
            </w:r>
          </w:p>
        </w:tc>
      </w:tr>
      <w:tr w:rsidR="00E25A76" w14:paraId="6490379A" w14:textId="77777777" w:rsidTr="00410334">
        <w:tc>
          <w:tcPr>
            <w:tcW w:w="1250" w:type="pct"/>
            <w:tcBorders>
              <w:top w:val="single" w:sz="4" w:space="0" w:color="auto"/>
              <w:bottom w:val="single" w:sz="4" w:space="0" w:color="auto"/>
            </w:tcBorders>
          </w:tcPr>
          <w:p w14:paraId="2CDF4A02" w14:textId="2628331B" w:rsidR="00E25A76" w:rsidRPr="0024394F" w:rsidRDefault="00E25A76">
            <w:pPr>
              <w:spacing w:after="120"/>
            </w:pPr>
            <w:r w:rsidRPr="0024394F">
              <w:t>NSW Murray and Lower Darling</w:t>
            </w:r>
            <w:r w:rsidR="170433FE" w:rsidRPr="0024394F">
              <w:t xml:space="preserve"> (SW08)</w:t>
            </w:r>
          </w:p>
        </w:tc>
        <w:tc>
          <w:tcPr>
            <w:tcW w:w="883" w:type="pct"/>
            <w:tcBorders>
              <w:top w:val="single" w:sz="4" w:space="0" w:color="auto"/>
              <w:bottom w:val="single" w:sz="4" w:space="0" w:color="auto"/>
            </w:tcBorders>
          </w:tcPr>
          <w:p w14:paraId="0D26E9D9" w14:textId="77777777" w:rsidR="00E25A76" w:rsidRPr="0024394F" w:rsidRDefault="00E25A76">
            <w:pPr>
              <w:spacing w:after="120"/>
            </w:pPr>
            <w:r w:rsidRPr="0024394F">
              <w:t>18 May 2024</w:t>
            </w:r>
          </w:p>
        </w:tc>
        <w:tc>
          <w:tcPr>
            <w:tcW w:w="2059" w:type="pct"/>
            <w:tcBorders>
              <w:top w:val="single" w:sz="4" w:space="0" w:color="auto"/>
              <w:bottom w:val="single" w:sz="4" w:space="0" w:color="auto"/>
            </w:tcBorders>
          </w:tcPr>
          <w:p w14:paraId="28E5E95F" w14:textId="77777777" w:rsidR="00E25A76" w:rsidRPr="0024394F" w:rsidRDefault="00E25A76">
            <w:pPr>
              <w:spacing w:after="120"/>
              <w:rPr>
                <w:rFonts w:eastAsia="Times New Roman"/>
                <w:szCs w:val="20"/>
                <w:lang w:eastAsia="en-AU"/>
              </w:rPr>
            </w:pPr>
            <w:r w:rsidRPr="0024394F">
              <w:rPr>
                <w:rFonts w:eastAsia="Times New Roman"/>
                <w:szCs w:val="20"/>
                <w:lang w:eastAsia="en-AU"/>
              </w:rPr>
              <w:t>NSW Murray (SS14)</w:t>
            </w:r>
          </w:p>
          <w:p w14:paraId="1736BC8D" w14:textId="77777777" w:rsidR="00E25A76" w:rsidRPr="0024394F" w:rsidRDefault="00E25A76">
            <w:pPr>
              <w:spacing w:after="120"/>
              <w:rPr>
                <w:rFonts w:eastAsia="Times New Roman"/>
                <w:szCs w:val="20"/>
                <w:lang w:eastAsia="en-AU"/>
              </w:rPr>
            </w:pPr>
            <w:r w:rsidRPr="0024394F">
              <w:rPr>
                <w:rFonts w:eastAsia="Times New Roman"/>
                <w:szCs w:val="20"/>
                <w:lang w:eastAsia="en-AU"/>
              </w:rPr>
              <w:t>Lower Darling (SS18)</w:t>
            </w:r>
          </w:p>
          <w:p w14:paraId="29EC3B4D" w14:textId="77777777" w:rsidR="00E25A76" w:rsidRPr="0024394F" w:rsidRDefault="00E25A76">
            <w:pPr>
              <w:spacing w:after="120"/>
              <w:rPr>
                <w:rFonts w:eastAsia="Times New Roman"/>
                <w:szCs w:val="20"/>
                <w:lang w:eastAsia="en-AU"/>
              </w:rPr>
            </w:pPr>
          </w:p>
        </w:tc>
        <w:tc>
          <w:tcPr>
            <w:tcW w:w="808" w:type="pct"/>
            <w:tcBorders>
              <w:top w:val="single" w:sz="4" w:space="0" w:color="auto"/>
              <w:bottom w:val="single" w:sz="4" w:space="0" w:color="auto"/>
            </w:tcBorders>
          </w:tcPr>
          <w:p w14:paraId="66ABB6C9" w14:textId="0CB4EF77" w:rsidR="00E25A76" w:rsidRDefault="00E25A76">
            <w:pPr>
              <w:spacing w:after="120"/>
            </w:pPr>
            <w:r>
              <w:t>202</w:t>
            </w:r>
            <w:r w:rsidR="00B80D9E">
              <w:t>4</w:t>
            </w:r>
            <w:r>
              <w:t>-202</w:t>
            </w:r>
            <w:r w:rsidR="00AC1F72">
              <w:t>5</w:t>
            </w:r>
          </w:p>
        </w:tc>
      </w:tr>
      <w:tr w:rsidR="00A95D79" w14:paraId="594BA373" w14:textId="77777777" w:rsidTr="00410334">
        <w:tc>
          <w:tcPr>
            <w:tcW w:w="1250" w:type="pct"/>
            <w:tcBorders>
              <w:top w:val="single" w:sz="4" w:space="0" w:color="auto"/>
              <w:bottom w:val="single" w:sz="4" w:space="0" w:color="auto"/>
            </w:tcBorders>
          </w:tcPr>
          <w:p w14:paraId="1E91C7FF" w14:textId="7E1A9600" w:rsidR="00A95D79" w:rsidRDefault="00A95D79" w:rsidP="00A95D79">
            <w:pPr>
              <w:spacing w:after="120"/>
            </w:pPr>
            <w:r w:rsidRPr="00EE48DC">
              <w:t>Barwon-Darling Watercourse (SW</w:t>
            </w:r>
            <w:r w:rsidR="00834503">
              <w:t>12)</w:t>
            </w:r>
          </w:p>
        </w:tc>
        <w:tc>
          <w:tcPr>
            <w:tcW w:w="883" w:type="pct"/>
            <w:tcBorders>
              <w:top w:val="single" w:sz="4" w:space="0" w:color="auto"/>
              <w:bottom w:val="single" w:sz="4" w:space="0" w:color="auto"/>
            </w:tcBorders>
          </w:tcPr>
          <w:p w14:paraId="59B2376F" w14:textId="38D975EC" w:rsidR="00A95D79" w:rsidRDefault="00A95D79" w:rsidP="00A95D79">
            <w:pPr>
              <w:spacing w:after="120"/>
            </w:pPr>
            <w:r w:rsidRPr="00EE48DC">
              <w:t>18 June 2024</w:t>
            </w:r>
          </w:p>
        </w:tc>
        <w:tc>
          <w:tcPr>
            <w:tcW w:w="2059" w:type="pct"/>
            <w:tcBorders>
              <w:top w:val="single" w:sz="4" w:space="0" w:color="auto"/>
              <w:bottom w:val="single" w:sz="4" w:space="0" w:color="auto"/>
            </w:tcBorders>
          </w:tcPr>
          <w:p w14:paraId="25058733" w14:textId="098DAC84" w:rsidR="00A95D79" w:rsidRDefault="00A95D79" w:rsidP="00A95D79">
            <w:pPr>
              <w:spacing w:after="120"/>
              <w:rPr>
                <w:rFonts w:eastAsia="Times New Roman"/>
                <w:szCs w:val="20"/>
                <w:lang w:eastAsia="en-AU"/>
              </w:rPr>
            </w:pPr>
            <w:r w:rsidRPr="00EE48DC">
              <w:t>Barwon-Darling Watercourse (SS19)</w:t>
            </w:r>
          </w:p>
        </w:tc>
        <w:tc>
          <w:tcPr>
            <w:tcW w:w="808" w:type="pct"/>
            <w:tcBorders>
              <w:top w:val="single" w:sz="4" w:space="0" w:color="auto"/>
              <w:bottom w:val="single" w:sz="4" w:space="0" w:color="auto"/>
            </w:tcBorders>
          </w:tcPr>
          <w:p w14:paraId="60207C41" w14:textId="1B1FF15D" w:rsidR="00A95D79" w:rsidRDefault="00A95D79" w:rsidP="00A95D79">
            <w:pPr>
              <w:spacing w:after="120"/>
            </w:pPr>
            <w:r w:rsidRPr="00EE48DC">
              <w:t>2024-2025</w:t>
            </w:r>
          </w:p>
        </w:tc>
      </w:tr>
      <w:tr w:rsidR="00410334" w14:paraId="7AE87E18" w14:textId="77777777" w:rsidTr="00410334">
        <w:tc>
          <w:tcPr>
            <w:tcW w:w="1250" w:type="pct"/>
            <w:tcBorders>
              <w:top w:val="single" w:sz="4" w:space="0" w:color="auto"/>
              <w:bottom w:val="single" w:sz="4" w:space="0" w:color="auto"/>
            </w:tcBorders>
          </w:tcPr>
          <w:p w14:paraId="10DD37A5" w14:textId="0EFF8283" w:rsidR="00410334" w:rsidRDefault="00A911F2">
            <w:pPr>
              <w:spacing w:after="120"/>
            </w:pPr>
            <w:r>
              <w:t>Macquarie-Castlereagh (SW</w:t>
            </w:r>
            <w:r w:rsidR="00345197">
              <w:t>11)</w:t>
            </w:r>
          </w:p>
        </w:tc>
        <w:tc>
          <w:tcPr>
            <w:tcW w:w="883" w:type="pct"/>
            <w:tcBorders>
              <w:top w:val="single" w:sz="4" w:space="0" w:color="auto"/>
              <w:bottom w:val="single" w:sz="4" w:space="0" w:color="auto"/>
            </w:tcBorders>
          </w:tcPr>
          <w:p w14:paraId="11AC6892" w14:textId="5BA0B603" w:rsidR="00410334" w:rsidRDefault="00A911F2">
            <w:pPr>
              <w:spacing w:after="120"/>
            </w:pPr>
            <w:r>
              <w:t>18 June 2024</w:t>
            </w:r>
          </w:p>
        </w:tc>
        <w:tc>
          <w:tcPr>
            <w:tcW w:w="2059" w:type="pct"/>
            <w:tcBorders>
              <w:top w:val="single" w:sz="4" w:space="0" w:color="auto"/>
              <w:bottom w:val="single" w:sz="4" w:space="0" w:color="auto"/>
            </w:tcBorders>
          </w:tcPr>
          <w:p w14:paraId="1E346249" w14:textId="5130DD12" w:rsidR="00410334" w:rsidRDefault="00A95D79">
            <w:pPr>
              <w:spacing w:after="120"/>
              <w:rPr>
                <w:rFonts w:eastAsia="Times New Roman"/>
                <w:szCs w:val="20"/>
                <w:lang w:eastAsia="en-AU"/>
              </w:rPr>
            </w:pPr>
            <w:r>
              <w:rPr>
                <w:rFonts w:eastAsia="Times New Roman"/>
                <w:szCs w:val="20"/>
                <w:lang w:eastAsia="en-AU"/>
              </w:rPr>
              <w:t xml:space="preserve">Macquarie-Castlereagh </w:t>
            </w:r>
            <w:r w:rsidR="00C244F7">
              <w:rPr>
                <w:rFonts w:eastAsia="Times New Roman"/>
                <w:szCs w:val="20"/>
                <w:lang w:eastAsia="en-AU"/>
              </w:rPr>
              <w:t>(SS20)</w:t>
            </w:r>
          </w:p>
        </w:tc>
        <w:tc>
          <w:tcPr>
            <w:tcW w:w="808" w:type="pct"/>
            <w:tcBorders>
              <w:top w:val="single" w:sz="4" w:space="0" w:color="auto"/>
              <w:bottom w:val="single" w:sz="4" w:space="0" w:color="auto"/>
            </w:tcBorders>
          </w:tcPr>
          <w:p w14:paraId="5AAB5BAA" w14:textId="5E605D5F" w:rsidR="00410334" w:rsidRDefault="00A911F2">
            <w:pPr>
              <w:spacing w:after="120"/>
            </w:pPr>
            <w:r>
              <w:t>2024-2025</w:t>
            </w:r>
          </w:p>
        </w:tc>
      </w:tr>
    </w:tbl>
    <w:p w14:paraId="2487B0F5" w14:textId="77777777" w:rsidR="00712993" w:rsidRDefault="00712993" w:rsidP="007935B6"/>
    <w:p w14:paraId="64809386" w14:textId="6CE00D71" w:rsidR="00B35FDC" w:rsidRDefault="00B35FDC" w:rsidP="00B35FDC">
      <w:pPr>
        <w:pStyle w:val="Heading1"/>
      </w:pPr>
      <w:bookmarkStart w:id="24" w:name="_Ref170285297"/>
      <w:bookmarkStart w:id="25" w:name="_Toc172018841"/>
      <w:r>
        <w:lastRenderedPageBreak/>
        <w:t xml:space="preserve">Appendix </w:t>
      </w:r>
      <w:r w:rsidR="00FA47DB">
        <w:t>2</w:t>
      </w:r>
      <w:r>
        <w:t xml:space="preserve"> – </w:t>
      </w:r>
      <w:r w:rsidR="004E4C7C">
        <w:t>Barwon-Darling and Gwydir adjustments</w:t>
      </w:r>
      <w:bookmarkEnd w:id="24"/>
      <w:bookmarkEnd w:id="25"/>
    </w:p>
    <w:tbl>
      <w:tblPr>
        <w:tblW w:w="492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7"/>
      </w:tblGrid>
      <w:tr w:rsidR="004E4C7C" w:rsidRPr="00945862" w14:paraId="3CA17CC8" w14:textId="77777777" w:rsidTr="009427AF">
        <w:trPr>
          <w:trHeight w:val="670"/>
        </w:trPr>
        <w:tc>
          <w:tcPr>
            <w:tcW w:w="5000" w:type="pct"/>
            <w:tcBorders>
              <w:top w:val="nil"/>
              <w:left w:val="nil"/>
              <w:bottom w:val="nil"/>
              <w:right w:val="nil"/>
            </w:tcBorders>
          </w:tcPr>
          <w:p w14:paraId="49A79239" w14:textId="77777777" w:rsidR="004E4C7C" w:rsidRPr="00F420A0" w:rsidRDefault="004E4C7C">
            <w:pPr>
              <w:pStyle w:val="BodyText"/>
              <w:rPr>
                <w:rFonts w:ascii="Calibri" w:hAnsi="Calibri" w:cs="Times New Roman"/>
                <w:lang w:eastAsia="en-US"/>
              </w:rPr>
            </w:pPr>
          </w:p>
        </w:tc>
      </w:tr>
    </w:tbl>
    <w:p w14:paraId="7B582A92" w14:textId="462BF310" w:rsidR="00BA34CF" w:rsidRPr="00BA34CF" w:rsidRDefault="00581329" w:rsidP="00BA34CF">
      <w:r>
        <w:rPr>
          <w:rStyle w:val="normaltextrun"/>
          <w:color w:val="4C6968"/>
          <w:szCs w:val="20"/>
          <w:shd w:val="clear" w:color="auto" w:fill="FFFFFF"/>
        </w:rPr>
        <w:t>Table: Barwon-Darling adjustments</w:t>
      </w:r>
      <w:r>
        <w:rPr>
          <w:rStyle w:val="eop"/>
          <w:color w:val="4C6968"/>
          <w:szCs w:val="2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890"/>
        <w:gridCol w:w="1890"/>
        <w:gridCol w:w="1890"/>
        <w:gridCol w:w="1890"/>
      </w:tblGrid>
      <w:tr w:rsidR="00BA34CF" w:rsidRPr="00BA34CF" w14:paraId="29F3B411" w14:textId="77777777" w:rsidTr="00BA34CF">
        <w:trPr>
          <w:trHeight w:val="300"/>
        </w:trPr>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006622B9" w14:textId="77777777" w:rsidR="00BA34CF" w:rsidRPr="00BA34CF" w:rsidRDefault="00BA34CF" w:rsidP="00BA34CF">
            <w:r w:rsidRPr="00BA34CF">
              <w:rPr>
                <w:b/>
                <w:bCs/>
              </w:rPr>
              <w:t>SDL Resource unit</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694EB419" w14:textId="77777777" w:rsidR="00BA34CF" w:rsidRPr="00BA34CF" w:rsidRDefault="00BA34CF" w:rsidP="00BA34CF">
            <w:r w:rsidRPr="00BA34CF">
              <w:rPr>
                <w:b/>
                <w:bCs/>
              </w:rPr>
              <w:t>2019-2020</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0B601953" w14:textId="77777777" w:rsidR="00BA34CF" w:rsidRPr="00BA34CF" w:rsidRDefault="00BA34CF" w:rsidP="00BA34CF">
            <w:r w:rsidRPr="00BA34CF">
              <w:rPr>
                <w:b/>
                <w:bCs/>
              </w:rPr>
              <w:t>2020-2021</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00B838C8" w14:textId="77777777" w:rsidR="00BA34CF" w:rsidRPr="00BA34CF" w:rsidRDefault="00BA34CF" w:rsidP="00BA34CF">
            <w:r w:rsidRPr="00BA34CF">
              <w:rPr>
                <w:b/>
                <w:bCs/>
              </w:rPr>
              <w:t>2021-2022</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366709E7" w14:textId="77777777" w:rsidR="00BA34CF" w:rsidRPr="00BA34CF" w:rsidRDefault="00BA34CF" w:rsidP="00BA34CF">
            <w:r w:rsidRPr="00BA34CF">
              <w:rPr>
                <w:b/>
                <w:bCs/>
              </w:rPr>
              <w:t>2022-2023</w:t>
            </w:r>
            <w:r w:rsidRPr="00BA34CF">
              <w:t> </w:t>
            </w:r>
          </w:p>
        </w:tc>
      </w:tr>
      <w:tr w:rsidR="00BA34CF" w:rsidRPr="00BA34CF" w14:paraId="485731C9" w14:textId="77777777" w:rsidTr="00BA34CF">
        <w:trPr>
          <w:trHeight w:val="300"/>
        </w:trPr>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054FCA9E" w14:textId="77777777" w:rsidR="00BA34CF" w:rsidRPr="00BA34CF" w:rsidRDefault="00BA34CF" w:rsidP="00BA34CF">
            <w:r w:rsidRPr="00BA34CF">
              <w:rPr>
                <w:b/>
                <w:bCs/>
              </w:rPr>
              <w:t>Barwon-Darling</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611CCC17" w14:textId="77777777" w:rsidR="00BA34CF" w:rsidRPr="004D7E81" w:rsidRDefault="00BA34CF" w:rsidP="00BA34CF">
            <w:pPr>
              <w:rPr>
                <w:b/>
                <w:bCs/>
                <w:color w:val="FF0000"/>
              </w:rPr>
            </w:pPr>
            <w:r w:rsidRPr="004D7E81">
              <w:rPr>
                <w:b/>
                <w:bCs/>
                <w:color w:val="FF0000"/>
              </w:rPr>
              <w:t>-57.7 GL  </w:t>
            </w:r>
          </w:p>
          <w:p w14:paraId="28CE6D24" w14:textId="77777777" w:rsidR="00BA34CF" w:rsidRPr="004D7E81" w:rsidRDefault="00BA34CF" w:rsidP="00BA34CF">
            <w:pPr>
              <w:rPr>
                <w:b/>
                <w:bCs/>
              </w:rPr>
            </w:pPr>
            <w:r w:rsidRPr="004D7E81">
              <w:rPr>
                <w:b/>
                <w:bCs/>
                <w:color w:val="FF0000"/>
              </w:rPr>
              <w:t>(-32.7%)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123DCF4E" w14:textId="77777777" w:rsidR="00BA34CF" w:rsidRPr="004D7E81" w:rsidRDefault="00BA34CF" w:rsidP="00BA34CF">
            <w:pPr>
              <w:rPr>
                <w:b/>
                <w:bCs/>
                <w:color w:val="FF0000"/>
              </w:rPr>
            </w:pPr>
            <w:r w:rsidRPr="004D7E81">
              <w:rPr>
                <w:b/>
                <w:bCs/>
                <w:color w:val="FF0000"/>
              </w:rPr>
              <w:t>-66.9 GL  </w:t>
            </w:r>
          </w:p>
          <w:p w14:paraId="684692EA" w14:textId="77777777" w:rsidR="00BA34CF" w:rsidRPr="004D7E81" w:rsidRDefault="00BA34CF" w:rsidP="00BA34CF">
            <w:pPr>
              <w:rPr>
                <w:b/>
                <w:bCs/>
                <w:color w:val="FF0000"/>
              </w:rPr>
            </w:pPr>
            <w:r w:rsidRPr="004D7E81">
              <w:rPr>
                <w:b/>
                <w:bCs/>
                <w:color w:val="FF0000"/>
              </w:rPr>
              <w:t>(-38%)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767F01F5" w14:textId="77777777" w:rsidR="00BA34CF" w:rsidRPr="004D7E81" w:rsidRDefault="00BA34CF" w:rsidP="00BA34CF">
            <w:pPr>
              <w:rPr>
                <w:b/>
                <w:bCs/>
                <w:color w:val="FF0000"/>
              </w:rPr>
            </w:pPr>
            <w:r w:rsidRPr="004D7E81">
              <w:rPr>
                <w:b/>
                <w:bCs/>
                <w:color w:val="FF0000"/>
              </w:rPr>
              <w:t>-71.1 GL  </w:t>
            </w:r>
          </w:p>
          <w:p w14:paraId="017B03E0" w14:textId="77777777" w:rsidR="00BA34CF" w:rsidRPr="004D7E81" w:rsidRDefault="00BA34CF" w:rsidP="00BA34CF">
            <w:pPr>
              <w:rPr>
                <w:b/>
                <w:bCs/>
                <w:color w:val="FF0000"/>
              </w:rPr>
            </w:pPr>
            <w:r w:rsidRPr="004D7E81">
              <w:rPr>
                <w:b/>
                <w:bCs/>
                <w:color w:val="FF0000"/>
              </w:rPr>
              <w:t>(-40%)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67506331" w14:textId="77777777" w:rsidR="00BA34CF" w:rsidRPr="00BA34CF" w:rsidRDefault="00BA34CF" w:rsidP="00BA34CF">
            <w:pPr>
              <w:rPr>
                <w:color w:val="00B050"/>
              </w:rPr>
            </w:pPr>
            <w:r w:rsidRPr="00BA34CF">
              <w:rPr>
                <w:b/>
                <w:bCs/>
                <w:color w:val="00B050"/>
              </w:rPr>
              <w:t>77 GL </w:t>
            </w:r>
            <w:r w:rsidRPr="00BA34CF">
              <w:rPr>
                <w:color w:val="00B050"/>
              </w:rPr>
              <w:t> </w:t>
            </w:r>
          </w:p>
          <w:p w14:paraId="11FA3F33" w14:textId="77777777" w:rsidR="00BA34CF" w:rsidRPr="00BA34CF" w:rsidRDefault="00BA34CF" w:rsidP="00BA34CF">
            <w:r w:rsidRPr="00BA34CF">
              <w:rPr>
                <w:b/>
                <w:bCs/>
                <w:color w:val="00B050"/>
              </w:rPr>
              <w:t>(+38%)</w:t>
            </w:r>
            <w:r w:rsidRPr="00BA34CF">
              <w:rPr>
                <w:color w:val="00B050"/>
              </w:rPr>
              <w:t> </w:t>
            </w:r>
          </w:p>
        </w:tc>
      </w:tr>
    </w:tbl>
    <w:p w14:paraId="541DD6F1" w14:textId="77777777" w:rsidR="00BA34CF" w:rsidRPr="00BA34CF" w:rsidRDefault="00BA34CF" w:rsidP="00BA34CF">
      <w:r w:rsidRPr="00BA34CF">
        <w:rPr>
          <w:i/>
          <w:iCs/>
          <w:u w:val="single"/>
        </w:rPr>
        <w:t>Section 71, Narrative report explanation:</w:t>
      </w:r>
      <w:r w:rsidRPr="00BA34CF">
        <w:t> </w:t>
      </w:r>
    </w:p>
    <w:p w14:paraId="17CBBD1C" w14:textId="77777777" w:rsidR="00BA34CF" w:rsidRPr="00BA34CF" w:rsidRDefault="00BA34CF" w:rsidP="00BA34CF">
      <w:r w:rsidRPr="00BA34CF">
        <w:t>In the Barwon Darling, the 2022-2023 Annual Permitted Take (APT) was much larger than the Annual Actual Take (AAT) resulting in an annual balance of +80GL. In addition, there was a credit of 66GL due to updated modelling (correction for meter error). </w:t>
      </w:r>
    </w:p>
    <w:p w14:paraId="7E22A1AD" w14:textId="77777777" w:rsidR="00BA34CF" w:rsidRPr="00BA34CF" w:rsidRDefault="00BA34CF" w:rsidP="00BA34CF">
      <w:r w:rsidRPr="00BA34CF">
        <w:t> </w:t>
      </w:r>
    </w:p>
    <w:p w14:paraId="11A16722" w14:textId="7BD2A1F2" w:rsidR="00BA34CF" w:rsidRPr="00BA34CF" w:rsidRDefault="005E46EC" w:rsidP="00BA34CF">
      <w:r>
        <w:rPr>
          <w:rStyle w:val="normaltextrun"/>
          <w:color w:val="4C6968"/>
          <w:szCs w:val="20"/>
          <w:shd w:val="clear" w:color="auto" w:fill="FFFFFF"/>
        </w:rPr>
        <w:t>Table: Gwydir adjustments </w:t>
      </w:r>
      <w:r>
        <w:rPr>
          <w:rStyle w:val="eop"/>
          <w:color w:val="4C6968"/>
          <w:szCs w:val="2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890"/>
        <w:gridCol w:w="1890"/>
        <w:gridCol w:w="1890"/>
        <w:gridCol w:w="1890"/>
      </w:tblGrid>
      <w:tr w:rsidR="00BA34CF" w:rsidRPr="00BA34CF" w14:paraId="3437B7F0" w14:textId="77777777" w:rsidTr="00BA34CF">
        <w:trPr>
          <w:trHeight w:val="300"/>
        </w:trPr>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77FE2B6F" w14:textId="77777777" w:rsidR="00BA34CF" w:rsidRPr="00BA34CF" w:rsidRDefault="00BA34CF" w:rsidP="00BA34CF">
            <w:r w:rsidRPr="00BA34CF">
              <w:rPr>
                <w:b/>
                <w:bCs/>
              </w:rPr>
              <w:t>SDL Resource unit</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6CD54858" w14:textId="77777777" w:rsidR="00BA34CF" w:rsidRPr="00BA34CF" w:rsidRDefault="00BA34CF" w:rsidP="00BA34CF">
            <w:r w:rsidRPr="00BA34CF">
              <w:rPr>
                <w:b/>
                <w:bCs/>
              </w:rPr>
              <w:t>2019-2020</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4D453E18" w14:textId="77777777" w:rsidR="00BA34CF" w:rsidRPr="00BA34CF" w:rsidRDefault="00BA34CF" w:rsidP="00BA34CF">
            <w:r w:rsidRPr="00BA34CF">
              <w:rPr>
                <w:b/>
                <w:bCs/>
              </w:rPr>
              <w:t>2020-2021</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746C0EBC" w14:textId="77777777" w:rsidR="00BA34CF" w:rsidRPr="00BA34CF" w:rsidRDefault="00BA34CF" w:rsidP="00BA34CF">
            <w:r w:rsidRPr="00BA34CF">
              <w:rPr>
                <w:b/>
                <w:bCs/>
              </w:rPr>
              <w:t>2021-2022</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707E3157" w14:textId="77777777" w:rsidR="00BA34CF" w:rsidRPr="00BA34CF" w:rsidRDefault="00BA34CF" w:rsidP="00BA34CF">
            <w:r w:rsidRPr="00BA34CF">
              <w:rPr>
                <w:b/>
                <w:bCs/>
              </w:rPr>
              <w:t>2022-2023</w:t>
            </w:r>
            <w:r w:rsidRPr="00BA34CF">
              <w:t> </w:t>
            </w:r>
          </w:p>
        </w:tc>
      </w:tr>
      <w:tr w:rsidR="00BA34CF" w:rsidRPr="00BA34CF" w14:paraId="599170AF" w14:textId="77777777" w:rsidTr="00BA34CF">
        <w:trPr>
          <w:trHeight w:val="300"/>
        </w:trPr>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58984A3A" w14:textId="77777777" w:rsidR="00BA34CF" w:rsidRPr="00BA34CF" w:rsidRDefault="00BA34CF" w:rsidP="00BA34CF">
            <w:r w:rsidRPr="00BA34CF">
              <w:rPr>
                <w:b/>
                <w:bCs/>
              </w:rPr>
              <w:t>Gwydir</w:t>
            </w:r>
            <w:r w:rsidRPr="00BA34CF">
              <w:t>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65647D51" w14:textId="77777777" w:rsidR="00BA34CF" w:rsidRPr="004D7E81" w:rsidRDefault="00BA34CF" w:rsidP="00BA34CF">
            <w:pPr>
              <w:rPr>
                <w:b/>
                <w:bCs/>
                <w:color w:val="B45D47" w:themeColor="accent6" w:themeShade="BF"/>
              </w:rPr>
            </w:pPr>
            <w:r w:rsidRPr="004D7E81">
              <w:rPr>
                <w:b/>
                <w:bCs/>
                <w:color w:val="B45D47" w:themeColor="accent6" w:themeShade="BF"/>
              </w:rPr>
              <w:t>-5.19 GL  </w:t>
            </w:r>
          </w:p>
          <w:p w14:paraId="5B287BFE" w14:textId="77777777" w:rsidR="00BA34CF" w:rsidRPr="004D7E81" w:rsidRDefault="00BA34CF" w:rsidP="00BA34CF">
            <w:pPr>
              <w:rPr>
                <w:b/>
                <w:bCs/>
                <w:color w:val="B45D47" w:themeColor="accent6" w:themeShade="BF"/>
              </w:rPr>
            </w:pPr>
            <w:r w:rsidRPr="004D7E81">
              <w:rPr>
                <w:b/>
                <w:bCs/>
                <w:color w:val="B45D47" w:themeColor="accent6" w:themeShade="BF"/>
              </w:rPr>
              <w:t>(-1 %)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3B29AADF" w14:textId="77777777" w:rsidR="00BA34CF" w:rsidRPr="004D7E81" w:rsidRDefault="00BA34CF" w:rsidP="00BA34CF">
            <w:pPr>
              <w:rPr>
                <w:b/>
                <w:bCs/>
                <w:color w:val="B45D47" w:themeColor="accent6" w:themeShade="BF"/>
              </w:rPr>
            </w:pPr>
            <w:r w:rsidRPr="004D7E81">
              <w:rPr>
                <w:b/>
                <w:bCs/>
                <w:color w:val="B45D47" w:themeColor="accent6" w:themeShade="BF"/>
              </w:rPr>
              <w:t>-61.1 GL  </w:t>
            </w:r>
          </w:p>
          <w:p w14:paraId="488D008E" w14:textId="77777777" w:rsidR="00BA34CF" w:rsidRPr="004D7E81" w:rsidRDefault="00BA34CF" w:rsidP="00BA34CF">
            <w:pPr>
              <w:rPr>
                <w:b/>
                <w:bCs/>
                <w:color w:val="B45D47" w:themeColor="accent6" w:themeShade="BF"/>
              </w:rPr>
            </w:pPr>
            <w:r w:rsidRPr="004D7E81">
              <w:rPr>
                <w:b/>
                <w:bCs/>
                <w:color w:val="B45D47" w:themeColor="accent6" w:themeShade="BF"/>
              </w:rPr>
              <w:t>(-12%)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645B35BB" w14:textId="77777777" w:rsidR="00BA34CF" w:rsidRPr="004D7E81" w:rsidRDefault="00BA34CF" w:rsidP="00BA34CF">
            <w:pPr>
              <w:rPr>
                <w:b/>
                <w:bCs/>
                <w:color w:val="FF0000"/>
              </w:rPr>
            </w:pPr>
            <w:r w:rsidRPr="004D7E81">
              <w:rPr>
                <w:b/>
                <w:bCs/>
                <w:color w:val="FF0000"/>
              </w:rPr>
              <w:t>-111.8 GL  </w:t>
            </w:r>
          </w:p>
          <w:p w14:paraId="1A29213A" w14:textId="77777777" w:rsidR="00BA34CF" w:rsidRPr="004D7E81" w:rsidRDefault="00BA34CF" w:rsidP="00BA34CF">
            <w:pPr>
              <w:rPr>
                <w:b/>
                <w:bCs/>
              </w:rPr>
            </w:pPr>
            <w:r w:rsidRPr="004D7E81">
              <w:rPr>
                <w:b/>
                <w:bCs/>
                <w:color w:val="FF0000"/>
              </w:rPr>
              <w:t>(-21%) </w:t>
            </w:r>
          </w:p>
        </w:tc>
        <w:tc>
          <w:tcPr>
            <w:tcW w:w="1890" w:type="dxa"/>
            <w:tcBorders>
              <w:top w:val="single" w:sz="6" w:space="0" w:color="4C6968"/>
              <w:left w:val="single" w:sz="6" w:space="0" w:color="4C6968"/>
              <w:bottom w:val="single" w:sz="6" w:space="0" w:color="4C6968"/>
              <w:right w:val="single" w:sz="6" w:space="0" w:color="4C6968"/>
            </w:tcBorders>
            <w:shd w:val="clear" w:color="auto" w:fill="auto"/>
            <w:hideMark/>
          </w:tcPr>
          <w:p w14:paraId="36EC5CD4" w14:textId="5CDD0012" w:rsidR="00BA34CF" w:rsidRPr="00BA34CF" w:rsidRDefault="00BA34CF" w:rsidP="00BA34CF">
            <w:pPr>
              <w:rPr>
                <w:color w:val="00B050"/>
              </w:rPr>
            </w:pPr>
            <w:r w:rsidRPr="00BA34CF">
              <w:rPr>
                <w:b/>
                <w:bCs/>
                <w:color w:val="00B050"/>
              </w:rPr>
              <w:t>1</w:t>
            </w:r>
            <w:r w:rsidR="00B465DD">
              <w:rPr>
                <w:b/>
                <w:bCs/>
                <w:color w:val="00B050"/>
              </w:rPr>
              <w:t>42</w:t>
            </w:r>
            <w:r w:rsidR="00CC44ED">
              <w:rPr>
                <w:b/>
                <w:bCs/>
                <w:color w:val="00B050"/>
              </w:rPr>
              <w:t>.4</w:t>
            </w:r>
            <w:r w:rsidRPr="00BA34CF">
              <w:rPr>
                <w:b/>
                <w:bCs/>
                <w:color w:val="00B050"/>
              </w:rPr>
              <w:t xml:space="preserve"> GL </w:t>
            </w:r>
            <w:r w:rsidRPr="00BA34CF">
              <w:rPr>
                <w:color w:val="00B050"/>
              </w:rPr>
              <w:t> </w:t>
            </w:r>
          </w:p>
          <w:p w14:paraId="24B1F1AE" w14:textId="1BDF21FF" w:rsidR="00BA34CF" w:rsidRPr="00BA34CF" w:rsidRDefault="00BA34CF" w:rsidP="00BA34CF">
            <w:r w:rsidRPr="00BA34CF">
              <w:rPr>
                <w:b/>
                <w:bCs/>
                <w:color w:val="00B050"/>
              </w:rPr>
              <w:t>(+</w:t>
            </w:r>
            <w:r w:rsidR="00CC44ED">
              <w:rPr>
                <w:b/>
                <w:bCs/>
                <w:color w:val="00B050"/>
              </w:rPr>
              <w:t>26</w:t>
            </w:r>
            <w:r w:rsidRPr="00BA34CF">
              <w:rPr>
                <w:b/>
                <w:bCs/>
                <w:color w:val="00B050"/>
              </w:rPr>
              <w:t>%)</w:t>
            </w:r>
            <w:r w:rsidRPr="00BA34CF">
              <w:rPr>
                <w:color w:val="00B050"/>
              </w:rPr>
              <w:t> </w:t>
            </w:r>
          </w:p>
        </w:tc>
      </w:tr>
    </w:tbl>
    <w:p w14:paraId="3B9CC690" w14:textId="77777777" w:rsidR="00BA34CF" w:rsidRPr="00BA34CF" w:rsidRDefault="00BA34CF" w:rsidP="00BA34CF">
      <w:r w:rsidRPr="00BA34CF">
        <w:rPr>
          <w:i/>
          <w:iCs/>
          <w:u w:val="single"/>
        </w:rPr>
        <w:t>Section 71, Narrative report explanation:</w:t>
      </w:r>
      <w:r w:rsidRPr="00BA34CF">
        <w:t> </w:t>
      </w:r>
    </w:p>
    <w:p w14:paraId="087A45C0" w14:textId="17B5D1FC" w:rsidR="00BA34CF" w:rsidRPr="00BA34CF" w:rsidRDefault="00BA34CF" w:rsidP="00BA34CF">
      <w:r w:rsidRPr="00BA34CF">
        <w:t>In the Gwydir, the 2022-2023 APT was much larger than the AAT, resulting in an annual balance of +21</w:t>
      </w:r>
      <w:r w:rsidR="00000405">
        <w:t>4</w:t>
      </w:r>
      <w:r w:rsidR="00617A15">
        <w:t>.5</w:t>
      </w:r>
      <w:r w:rsidRPr="00BA34CF">
        <w:t xml:space="preserve">GL. In addition, there was a credit of </w:t>
      </w:r>
      <w:r w:rsidR="00976B3D">
        <w:t>39.7</w:t>
      </w:r>
      <w:r w:rsidRPr="00BA34CF">
        <w:t>GL due to updated modelling (inclusion of floodplain harvesting licences, lead to higher estimates for regulated river permitted take).  </w:t>
      </w:r>
    </w:p>
    <w:p w14:paraId="63B862B3" w14:textId="77777777" w:rsidR="00F76619" w:rsidRDefault="00F76619" w:rsidP="007935B6"/>
    <w:p w14:paraId="2DCF85A4" w14:textId="6DA504CF" w:rsidR="00F76619" w:rsidRDefault="00F76619" w:rsidP="007935B6">
      <w:r>
        <w:br w:type="page"/>
      </w:r>
    </w:p>
    <w:p w14:paraId="1BFC3E18" w14:textId="130072BE" w:rsidR="00F76619" w:rsidRDefault="00F76619" w:rsidP="00F76619">
      <w:pPr>
        <w:pStyle w:val="Heading1"/>
      </w:pPr>
      <w:bookmarkStart w:id="26" w:name="_Ref170285228"/>
      <w:bookmarkStart w:id="27" w:name="_Toc172018842"/>
      <w:r>
        <w:lastRenderedPageBreak/>
        <w:t xml:space="preserve">Appendix </w:t>
      </w:r>
      <w:r w:rsidR="0071213E">
        <w:t>3</w:t>
      </w:r>
      <w:r w:rsidR="00B10E5D">
        <w:t xml:space="preserve"> </w:t>
      </w:r>
      <w:r w:rsidR="000D0D39">
        <w:t>– Rec</w:t>
      </w:r>
      <w:r w:rsidR="004E44ED">
        <w:t>e</w:t>
      </w:r>
      <w:r w:rsidR="000D0D39">
        <w:t xml:space="preserve">ival of </w:t>
      </w:r>
      <w:r w:rsidR="004E44ED">
        <w:t>data</w:t>
      </w:r>
      <w:bookmarkEnd w:id="26"/>
      <w:bookmarkEnd w:id="27"/>
    </w:p>
    <w:p w14:paraId="27968E93" w14:textId="6DC7C73F" w:rsidR="001F5300" w:rsidRPr="005B4A6F" w:rsidRDefault="007A26CC" w:rsidP="00F76619">
      <w:r>
        <w:t>T</w:t>
      </w:r>
      <w:r w:rsidR="000F6C1B">
        <w:t>he SDL Compliance Framework</w:t>
      </w:r>
      <w:r>
        <w:t xml:space="preserve"> states</w:t>
      </w:r>
      <w:r w:rsidR="000F6C1B">
        <w:t xml:space="preserve"> t</w:t>
      </w:r>
      <w:r w:rsidR="00A37857">
        <w:t xml:space="preserve">he </w:t>
      </w:r>
      <w:r w:rsidR="001C3706">
        <w:t>SDL compliance assessment process is informed by the Registers of Take</w:t>
      </w:r>
      <w:r>
        <w:t xml:space="preserve">. </w:t>
      </w:r>
      <w:r w:rsidR="51D54920">
        <w:t>T</w:t>
      </w:r>
      <w:r w:rsidR="008F2F2A">
        <w:t xml:space="preserve">he Registers of </w:t>
      </w:r>
      <w:r w:rsidR="007865EC">
        <w:t>T</w:t>
      </w:r>
      <w:r w:rsidR="008F2F2A">
        <w:t>ake are informed by Basin State SDL accounts</w:t>
      </w:r>
      <w:r w:rsidR="001E6546">
        <w:t xml:space="preserve"> and</w:t>
      </w:r>
      <w:r w:rsidR="00BA297B">
        <w:t xml:space="preserve"> the SDL accounts are informed by the water resource plan permitted take and actual take SDL methods</w:t>
      </w:r>
      <w:r w:rsidR="008F2F2A">
        <w:t xml:space="preserve">. </w:t>
      </w:r>
    </w:p>
    <w:p w14:paraId="67E050EC" w14:textId="53D03407" w:rsidR="00CA216D" w:rsidRPr="005B4A6F" w:rsidRDefault="07F36911" w:rsidP="00F76619">
      <w:r>
        <w:t xml:space="preserve">It has become regular practice of the Basin States to provide </w:t>
      </w:r>
      <w:r w:rsidR="1142E91C">
        <w:t>draft</w:t>
      </w:r>
      <w:r>
        <w:t xml:space="preserve"> SDL accounts</w:t>
      </w:r>
      <w:r w:rsidR="1142E91C">
        <w:t xml:space="preserve"> and </w:t>
      </w:r>
      <w:r w:rsidR="00C57E26">
        <w:t xml:space="preserve">a </w:t>
      </w:r>
      <w:r w:rsidR="1142E91C">
        <w:t xml:space="preserve">subsequent </w:t>
      </w:r>
      <w:r w:rsidR="47BAEFC1">
        <w:t>corrected version provided after the legislated due date</w:t>
      </w:r>
      <w:r w:rsidR="00DE3523">
        <w:t xml:space="preserve"> (31 October)</w:t>
      </w:r>
      <w:r w:rsidR="00003834">
        <w:t xml:space="preserve">, noting the </w:t>
      </w:r>
      <w:r w:rsidR="00486425">
        <w:t xml:space="preserve">Authority </w:t>
      </w:r>
      <w:r w:rsidR="002E3070">
        <w:t>is able to provide extensions if required</w:t>
      </w:r>
      <w:r w:rsidR="47BAEFC1">
        <w:t>.</w:t>
      </w:r>
      <w:r w:rsidR="053AE1E6">
        <w:t xml:space="preserve"> The SDL compliance asse</w:t>
      </w:r>
      <w:r w:rsidR="7B779F10">
        <w:t xml:space="preserve">ssment can view draft data as an early indication of </w:t>
      </w:r>
      <w:r w:rsidR="4E19BF4B">
        <w:t xml:space="preserve">compliance, although the data </w:t>
      </w:r>
      <w:r w:rsidR="47E2FCA2">
        <w:t xml:space="preserve">is not </w:t>
      </w:r>
      <w:r w:rsidR="08049944">
        <w:t xml:space="preserve">able to be assessed for compliance until the </w:t>
      </w:r>
      <w:r w:rsidR="00696784">
        <w:t>R</w:t>
      </w:r>
      <w:r w:rsidR="08049944">
        <w:t xml:space="preserve">egisters of </w:t>
      </w:r>
      <w:r w:rsidR="00696784">
        <w:t>T</w:t>
      </w:r>
      <w:r w:rsidR="08049944">
        <w:t>ake are finalised.</w:t>
      </w:r>
    </w:p>
    <w:p w14:paraId="36E6E7A0" w14:textId="2296CB60" w:rsidR="00F76619" w:rsidRDefault="00F70ECB" w:rsidP="00F76619">
      <w:r>
        <w:fldChar w:fldCharType="begin"/>
      </w:r>
      <w:r>
        <w:instrText xml:space="preserve"> REF _Ref170207576 \h </w:instrText>
      </w:r>
      <w:r>
        <w:fldChar w:fldCharType="separate"/>
      </w:r>
      <w:r w:rsidR="00346F31">
        <w:t xml:space="preserve">Figure </w:t>
      </w:r>
      <w:r w:rsidR="00346F31">
        <w:rPr>
          <w:noProof/>
        </w:rPr>
        <w:t>3</w:t>
      </w:r>
      <w:r>
        <w:fldChar w:fldCharType="end"/>
      </w:r>
      <w:r w:rsidR="00F76619" w:rsidRPr="00342EE8">
        <w:t xml:space="preserve"> and </w:t>
      </w:r>
      <w:r>
        <w:fldChar w:fldCharType="begin"/>
      </w:r>
      <w:r>
        <w:instrText xml:space="preserve"> REF _Ref170207584 \h </w:instrText>
      </w:r>
      <w:r>
        <w:fldChar w:fldCharType="separate"/>
      </w:r>
      <w:r w:rsidR="00346F31">
        <w:t xml:space="preserve">Figure </w:t>
      </w:r>
      <w:r w:rsidR="00346F31">
        <w:rPr>
          <w:noProof/>
        </w:rPr>
        <w:t>4</w:t>
      </w:r>
      <w:r>
        <w:fldChar w:fldCharType="end"/>
      </w:r>
      <w:r>
        <w:t xml:space="preserve"> </w:t>
      </w:r>
      <w:r w:rsidR="00050206">
        <w:t xml:space="preserve">highlights the </w:t>
      </w:r>
      <w:r w:rsidR="00F76619" w:rsidRPr="001E7DC5">
        <w:t>dates</w:t>
      </w:r>
      <w:r w:rsidR="00050206">
        <w:t xml:space="preserve"> </w:t>
      </w:r>
      <w:r w:rsidR="00872DEB">
        <w:t>when the Inspector-General receives versions of water</w:t>
      </w:r>
      <w:r w:rsidR="00050206">
        <w:t xml:space="preserve"> </w:t>
      </w:r>
      <w:r w:rsidR="0024394F">
        <w:t>accounts,</w:t>
      </w:r>
      <w:r w:rsidR="0024394F" w:rsidRPr="001E7DC5">
        <w:t xml:space="preserve"> when</w:t>
      </w:r>
      <w:r w:rsidR="00F76619" w:rsidRPr="001E7DC5">
        <w:t xml:space="preserve"> information is due</w:t>
      </w:r>
      <w:r w:rsidR="00CA216D">
        <w:t xml:space="preserve"> and when the Inspector</w:t>
      </w:r>
      <w:r w:rsidR="00F76619" w:rsidRPr="001E7DC5">
        <w:t xml:space="preserve">-General </w:t>
      </w:r>
      <w:r w:rsidR="00DC0598">
        <w:t>receives the data.</w:t>
      </w:r>
    </w:p>
    <w:p w14:paraId="2FBD9629" w14:textId="2B3C6ACC" w:rsidR="0013092D" w:rsidRPr="001E7DC5" w:rsidRDefault="0013092D" w:rsidP="00F76619">
      <w:r>
        <w:rPr>
          <w:rStyle w:val="normaltextrun"/>
          <w:color w:val="4C6968"/>
          <w:szCs w:val="20"/>
          <w:shd w:val="clear" w:color="auto" w:fill="FFFFFF"/>
        </w:rPr>
        <w:t xml:space="preserve">Figure </w:t>
      </w:r>
      <w:r>
        <w:rPr>
          <w:rStyle w:val="normaltextrun"/>
          <w:rFonts w:cs="Segoe UI"/>
          <w:color w:val="4C6968"/>
          <w:szCs w:val="20"/>
          <w:shd w:val="clear" w:color="auto" w:fill="E1E3E6"/>
        </w:rPr>
        <w:t>3</w:t>
      </w:r>
      <w:r>
        <w:rPr>
          <w:rStyle w:val="normaltextrun"/>
          <w:color w:val="4C6968"/>
          <w:szCs w:val="20"/>
          <w:shd w:val="clear" w:color="auto" w:fill="FFFFFF"/>
        </w:rPr>
        <w:t>: Timing of receival for SDL compliance information - Surface Water</w:t>
      </w:r>
      <w:r>
        <w:rPr>
          <w:rStyle w:val="eop"/>
          <w:color w:val="4C6968"/>
          <w:szCs w:val="20"/>
          <w:shd w:val="clear" w:color="auto" w:fill="FFFFFF"/>
        </w:rPr>
        <w:t> </w:t>
      </w:r>
    </w:p>
    <w:p w14:paraId="70439921" w14:textId="5A7BEE38" w:rsidR="00DD3EE2" w:rsidRDefault="00CC5050" w:rsidP="00DD3EE2">
      <w:pPr>
        <w:keepNext/>
      </w:pPr>
      <w:r>
        <w:rPr>
          <w:rStyle w:val="wacimagecontainer"/>
          <w:rFonts w:ascii="Segoe UI" w:hAnsi="Segoe UI" w:cs="Segoe UI"/>
          <w:noProof/>
          <w:color w:val="000000"/>
          <w:sz w:val="18"/>
          <w:szCs w:val="18"/>
          <w:shd w:val="clear" w:color="auto" w:fill="FFFFFF"/>
        </w:rPr>
        <w:drawing>
          <wp:inline distT="0" distB="0" distL="0" distR="0" wp14:anchorId="5F6ECC9C" wp14:editId="06CB8E08">
            <wp:extent cx="6469072" cy="4787900"/>
            <wp:effectExtent l="0" t="0" r="8255" b="0"/>
            <wp:docPr id="5" name="Picture 2" descr="A graph of surface water data receival dates for all Basin States. The graph shows that all states have submitted their final version past the granted extension da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surface water data receival dates for all Basin States. The graph shows that all states have submitted their final version past the granted extension date.&#1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8097" cy="4794580"/>
                    </a:xfrm>
                    <a:prstGeom prst="rect">
                      <a:avLst/>
                    </a:prstGeom>
                    <a:noFill/>
                    <a:ln>
                      <a:noFill/>
                    </a:ln>
                  </pic:spPr>
                </pic:pic>
              </a:graphicData>
            </a:graphic>
          </wp:inline>
        </w:drawing>
      </w:r>
      <w:r>
        <w:rPr>
          <w:color w:val="000000"/>
          <w:szCs w:val="20"/>
          <w:shd w:val="clear" w:color="auto" w:fill="FFFFFF"/>
        </w:rPr>
        <w:br/>
      </w:r>
    </w:p>
    <w:p w14:paraId="694F4103" w14:textId="77777777" w:rsidR="00F76619" w:rsidRDefault="00F76619" w:rsidP="007935B6"/>
    <w:p w14:paraId="324DF1A5" w14:textId="0DF05915" w:rsidR="00B17E1E" w:rsidRDefault="00B17E1E" w:rsidP="007935B6">
      <w:r>
        <w:br w:type="page"/>
      </w:r>
    </w:p>
    <w:p w14:paraId="4B977C1C" w14:textId="15C4004C" w:rsidR="0013092D" w:rsidRDefault="009A7B47" w:rsidP="007935B6">
      <w:r>
        <w:rPr>
          <w:rStyle w:val="normaltextrun"/>
          <w:color w:val="4C6968"/>
          <w:szCs w:val="20"/>
          <w:shd w:val="clear" w:color="auto" w:fill="FFFFFF"/>
        </w:rPr>
        <w:lastRenderedPageBreak/>
        <w:t xml:space="preserve">Figure </w:t>
      </w:r>
      <w:r>
        <w:rPr>
          <w:rStyle w:val="normaltextrun"/>
          <w:rFonts w:cs="Segoe UI"/>
          <w:color w:val="4C6968"/>
          <w:szCs w:val="20"/>
          <w:shd w:val="clear" w:color="auto" w:fill="E1E3E6"/>
        </w:rPr>
        <w:t>4</w:t>
      </w:r>
      <w:r>
        <w:rPr>
          <w:rStyle w:val="normaltextrun"/>
          <w:color w:val="4C6968"/>
          <w:szCs w:val="20"/>
          <w:shd w:val="clear" w:color="auto" w:fill="FFFFFF"/>
        </w:rPr>
        <w:t>: Timing of receival for SDL compliance information - Groundwater</w:t>
      </w:r>
      <w:r>
        <w:rPr>
          <w:rStyle w:val="eop"/>
          <w:color w:val="4C6968"/>
          <w:szCs w:val="20"/>
          <w:shd w:val="clear" w:color="auto" w:fill="FFFFFF"/>
        </w:rPr>
        <w:t> </w:t>
      </w:r>
    </w:p>
    <w:p w14:paraId="44A547E1" w14:textId="6B1D74F3" w:rsidR="00DD3EE2" w:rsidRDefault="00CC5050" w:rsidP="00DD3EE2">
      <w:pPr>
        <w:keepNext/>
      </w:pPr>
      <w:r>
        <w:rPr>
          <w:rStyle w:val="wacimagecontainer"/>
          <w:rFonts w:ascii="Segoe UI" w:hAnsi="Segoe UI" w:cs="Segoe UI"/>
          <w:noProof/>
          <w:color w:val="000000"/>
          <w:sz w:val="18"/>
          <w:szCs w:val="18"/>
          <w:shd w:val="clear" w:color="auto" w:fill="FFFFFF"/>
        </w:rPr>
        <w:drawing>
          <wp:inline distT="0" distB="0" distL="0" distR="0" wp14:anchorId="641C7AC6" wp14:editId="303C9F11">
            <wp:extent cx="6364028" cy="3975100"/>
            <wp:effectExtent l="0" t="0" r="0" b="6350"/>
            <wp:docPr id="7" name="Picture 4" descr="A graph of Groundwater data receival dates for all Basin States. The graph shows that all states have submitted versions at varying times past the required submittal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Groundwater data receival dates for all Basin States. The graph shows that all states have submitted versions at varying times past the required submittal d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2466" cy="3980371"/>
                    </a:xfrm>
                    <a:prstGeom prst="rect">
                      <a:avLst/>
                    </a:prstGeom>
                    <a:noFill/>
                    <a:ln>
                      <a:noFill/>
                    </a:ln>
                  </pic:spPr>
                </pic:pic>
              </a:graphicData>
            </a:graphic>
          </wp:inline>
        </w:drawing>
      </w:r>
      <w:r>
        <w:rPr>
          <w:color w:val="000000"/>
          <w:szCs w:val="20"/>
          <w:shd w:val="clear" w:color="auto" w:fill="FFFFFF"/>
        </w:rPr>
        <w:br/>
      </w:r>
    </w:p>
    <w:p w14:paraId="350772BA" w14:textId="434084D3" w:rsidR="00055589" w:rsidRDefault="00055589" w:rsidP="00055589">
      <w:pPr>
        <w:pStyle w:val="Heading1"/>
      </w:pPr>
      <w:bookmarkStart w:id="28" w:name="_Toc172018843"/>
      <w:r>
        <w:lastRenderedPageBreak/>
        <w:t>Glossary</w:t>
      </w:r>
      <w:bookmarkEnd w:id="28"/>
    </w:p>
    <w:p w14:paraId="50557CFF" w14:textId="77777777" w:rsidR="00DD3DE5" w:rsidRPr="007D7E25" w:rsidRDefault="00DD3DE5" w:rsidP="00DD3DE5">
      <w:pPr>
        <w:rPr>
          <w:b/>
          <w:bCs/>
        </w:rPr>
      </w:pPr>
      <w:bookmarkStart w:id="29" w:name="Act"/>
      <w:r w:rsidRPr="007D7E25">
        <w:rPr>
          <w:b/>
          <w:bCs/>
        </w:rPr>
        <w:t>Act</w:t>
      </w:r>
      <w:bookmarkEnd w:id="29"/>
      <w:r>
        <w:rPr>
          <w:b/>
          <w:bCs/>
        </w:rPr>
        <w:t xml:space="preserve"> </w:t>
      </w:r>
    </w:p>
    <w:p w14:paraId="7AA91F03" w14:textId="77777777" w:rsidR="00DD3DE5" w:rsidRPr="007F274B" w:rsidRDefault="00DD3DE5" w:rsidP="00DD3DE5">
      <w:pPr>
        <w:rPr>
          <w:i/>
          <w:iCs/>
        </w:rPr>
      </w:pPr>
      <w:r>
        <w:rPr>
          <w:i/>
          <w:iCs/>
        </w:rPr>
        <w:t xml:space="preserve">Water Act 2007 </w:t>
      </w:r>
      <w:r w:rsidRPr="007F274B">
        <w:t>(Commonwealth)</w:t>
      </w:r>
    </w:p>
    <w:p w14:paraId="4517A595" w14:textId="77777777" w:rsidR="00DD3DE5" w:rsidRPr="007D7E25" w:rsidRDefault="00DD3DE5" w:rsidP="00DD3DE5">
      <w:pPr>
        <w:rPr>
          <w:b/>
          <w:bCs/>
        </w:rPr>
      </w:pPr>
      <w:bookmarkStart w:id="30" w:name="Basin"/>
      <w:r w:rsidRPr="007D7E25">
        <w:rPr>
          <w:b/>
          <w:bCs/>
        </w:rPr>
        <w:t xml:space="preserve">Basin </w:t>
      </w:r>
      <w:bookmarkEnd w:id="30"/>
      <w:r w:rsidRPr="007D7E25">
        <w:rPr>
          <w:b/>
          <w:bCs/>
        </w:rPr>
        <w:t>Plan</w:t>
      </w:r>
      <w:r>
        <w:rPr>
          <w:b/>
          <w:bCs/>
        </w:rPr>
        <w:t xml:space="preserve">   </w:t>
      </w:r>
    </w:p>
    <w:p w14:paraId="373829C2" w14:textId="77777777" w:rsidR="00DD3DE5" w:rsidRPr="00DC2F0B" w:rsidRDefault="00DD3DE5" w:rsidP="00DD3DE5">
      <w:r w:rsidRPr="00DC2F0B">
        <w:rPr>
          <w:i/>
          <w:iCs/>
        </w:rPr>
        <w:t xml:space="preserve">Basin Plan 2012 </w:t>
      </w:r>
      <w:r w:rsidRPr="00DC2F0B">
        <w:t>(Commonwealth)</w:t>
      </w:r>
    </w:p>
    <w:p w14:paraId="00A6CF26" w14:textId="77777777" w:rsidR="00DD3DE5" w:rsidRPr="007D7E25" w:rsidRDefault="00DD3DE5" w:rsidP="00DD3DE5">
      <w:pPr>
        <w:rPr>
          <w:b/>
          <w:bCs/>
        </w:rPr>
      </w:pPr>
      <w:bookmarkStart w:id="31" w:name="State"/>
      <w:r w:rsidRPr="007D7E25">
        <w:rPr>
          <w:b/>
          <w:bCs/>
        </w:rPr>
        <w:t xml:space="preserve">Basin </w:t>
      </w:r>
      <w:bookmarkEnd w:id="31"/>
      <w:r w:rsidRPr="007D7E25">
        <w:rPr>
          <w:b/>
          <w:bCs/>
        </w:rPr>
        <w:t>State</w:t>
      </w:r>
      <w:r>
        <w:rPr>
          <w:b/>
          <w:bCs/>
        </w:rPr>
        <w:t xml:space="preserve">  </w:t>
      </w:r>
    </w:p>
    <w:p w14:paraId="1A6585DA" w14:textId="77777777" w:rsidR="00DD3DE5" w:rsidRDefault="00DD3DE5" w:rsidP="00DD3DE5">
      <w:pPr>
        <w:spacing w:line="276" w:lineRule="auto"/>
        <w:rPr>
          <w:szCs w:val="20"/>
        </w:rPr>
      </w:pPr>
      <w:r>
        <w:rPr>
          <w:szCs w:val="20"/>
        </w:rPr>
        <w:t>Basin State is defined in the Water Act and means New South Wales, Victoria, Queensland, South Australia, and the Australian Capital Territory.</w:t>
      </w:r>
      <w:r>
        <w:rPr>
          <w:rStyle w:val="FootnoteReference"/>
          <w:szCs w:val="20"/>
        </w:rPr>
        <w:footnoteReference w:id="8"/>
      </w:r>
      <w:r>
        <w:rPr>
          <w:szCs w:val="20"/>
        </w:rPr>
        <w:t xml:space="preserve"> Basin States have obligations relating to SDL compliance reporting and action plans under s 71 of the Water Act and Chapter 6 of the Basin Plan.  </w:t>
      </w:r>
    </w:p>
    <w:p w14:paraId="3B3592DC" w14:textId="77777777" w:rsidR="00DD3DE5" w:rsidRPr="007D7E25" w:rsidRDefault="00DD3DE5" w:rsidP="00DD3DE5">
      <w:pPr>
        <w:rPr>
          <w:b/>
          <w:bCs/>
        </w:rPr>
      </w:pPr>
      <w:r w:rsidRPr="007D7E25">
        <w:rPr>
          <w:b/>
          <w:bCs/>
        </w:rPr>
        <w:t>Cumulative balance</w:t>
      </w:r>
    </w:p>
    <w:p w14:paraId="114FD0D3" w14:textId="77777777" w:rsidR="00DD3DE5" w:rsidRDefault="00DD3DE5" w:rsidP="00DD3DE5">
      <w:r>
        <w:t xml:space="preserve">For surface water SDL resource units, each year the actual take is subtracted from the permitted take to generate a debit (where actual take is more than permitted take) or a credit (where actual take is less than permitted take). Over time, these debits and credits generate a </w:t>
      </w:r>
      <w:r w:rsidRPr="00817805">
        <w:rPr>
          <w:b/>
          <w:bCs/>
        </w:rPr>
        <w:t>cumulative balance</w:t>
      </w:r>
      <w:r>
        <w:t xml:space="preserve">. The </w:t>
      </w:r>
      <w:r w:rsidRPr="003C3D7A">
        <w:rPr>
          <w:b/>
          <w:bCs/>
        </w:rPr>
        <w:t>surface water SDL compliance threshold</w:t>
      </w:r>
      <w:r>
        <w:t xml:space="preserve"> is when the cumulative balance for an SDL resource unit is a debit equal to or greater than 20% of the SDL.</w:t>
      </w:r>
    </w:p>
    <w:p w14:paraId="3E0AEC65" w14:textId="77777777" w:rsidR="00DD3DE5" w:rsidRPr="007D7E25" w:rsidRDefault="00DD3DE5" w:rsidP="00DD3DE5">
      <w:pPr>
        <w:rPr>
          <w:b/>
          <w:bCs/>
        </w:rPr>
      </w:pPr>
      <w:bookmarkStart w:id="32" w:name="Exceedance"/>
      <w:r w:rsidRPr="007D7E25">
        <w:rPr>
          <w:b/>
          <w:bCs/>
        </w:rPr>
        <w:t>Exceedance</w:t>
      </w:r>
      <w:bookmarkEnd w:id="32"/>
    </w:p>
    <w:p w14:paraId="3E175A06" w14:textId="3DEDD237" w:rsidR="00DD3DE5" w:rsidRDefault="00DD3DE5" w:rsidP="00DD3DE5">
      <w:pPr>
        <w:rPr>
          <w:b/>
          <w:bCs/>
        </w:rPr>
      </w:pPr>
      <w:r>
        <w:t>The term ‘exceedance’ refer</w:t>
      </w:r>
      <w:r w:rsidR="00741EF8">
        <w:t>s</w:t>
      </w:r>
      <w:r>
        <w:t xml:space="preserve"> to </w:t>
      </w:r>
      <w:r w:rsidRPr="00C731E5">
        <w:rPr>
          <w:szCs w:val="20"/>
        </w:rPr>
        <w:t>circumstances where the Register</w:t>
      </w:r>
      <w:r>
        <w:rPr>
          <w:szCs w:val="20"/>
        </w:rPr>
        <w:t>s of Take</w:t>
      </w:r>
      <w:r w:rsidRPr="00C731E5">
        <w:rPr>
          <w:szCs w:val="20"/>
        </w:rPr>
        <w:t xml:space="preserve"> records actual take that exceeds permitted take (cumulatively) but has not reached the SDL compliance threshold of 'excess'.</w:t>
      </w:r>
    </w:p>
    <w:p w14:paraId="20E57445" w14:textId="77777777" w:rsidR="00DD3DE5" w:rsidRPr="007D7E25" w:rsidRDefault="00DD3DE5" w:rsidP="00DD3DE5">
      <w:pPr>
        <w:rPr>
          <w:b/>
          <w:bCs/>
        </w:rPr>
      </w:pPr>
      <w:bookmarkStart w:id="33" w:name="Excess"/>
      <w:r w:rsidRPr="007D7E25">
        <w:rPr>
          <w:b/>
          <w:bCs/>
        </w:rPr>
        <w:t>Excess</w:t>
      </w:r>
      <w:bookmarkEnd w:id="33"/>
    </w:p>
    <w:p w14:paraId="1DAA379C" w14:textId="77777777" w:rsidR="00DD3DE5" w:rsidRDefault="00DD3DE5" w:rsidP="00DD3DE5">
      <w:r>
        <w:t>The term ‘excess’ has a specific meaning in the Basin Plan:</w:t>
      </w:r>
      <w:r>
        <w:rPr>
          <w:rStyle w:val="FootnoteReference"/>
        </w:rPr>
        <w:footnoteReference w:id="9"/>
      </w:r>
      <w:r>
        <w:t xml:space="preserve"> </w:t>
      </w:r>
    </w:p>
    <w:p w14:paraId="26242C85" w14:textId="77777777" w:rsidR="00DD3DE5" w:rsidRDefault="00DD3DE5" w:rsidP="00DD3DE5">
      <w:pPr>
        <w:ind w:left="720"/>
      </w:pPr>
      <w:r>
        <w:t xml:space="preserve">For </w:t>
      </w:r>
      <w:r w:rsidRPr="00232EE0">
        <w:rPr>
          <w:b/>
        </w:rPr>
        <w:t>surface water</w:t>
      </w:r>
      <w:r>
        <w:t xml:space="preserve"> SDL resource units, an excess occurs when th</w:t>
      </w:r>
      <w:r w:rsidRPr="00C60AC3">
        <w:t xml:space="preserve">e </w:t>
      </w:r>
      <w:r w:rsidRPr="000517F7">
        <w:rPr>
          <w:b/>
          <w:bCs/>
        </w:rPr>
        <w:t>cumulative balance</w:t>
      </w:r>
      <w:r w:rsidRPr="00C60AC3">
        <w:t xml:space="preserve"> on </w:t>
      </w:r>
      <w:r>
        <w:t>the relevant</w:t>
      </w:r>
      <w:r w:rsidRPr="00C60AC3">
        <w:t xml:space="preserve"> Register is a debit amount equal to or greater than 20% of the SDL</w:t>
      </w:r>
      <w:r>
        <w:t>.</w:t>
      </w:r>
    </w:p>
    <w:p w14:paraId="54CCC3C8" w14:textId="77777777" w:rsidR="00DD3DE5" w:rsidRDefault="00DD3DE5" w:rsidP="00DD3DE5">
      <w:pPr>
        <w:ind w:left="720"/>
      </w:pPr>
      <w:r>
        <w:t xml:space="preserve">For </w:t>
      </w:r>
      <w:r w:rsidRPr="00232EE0">
        <w:rPr>
          <w:b/>
        </w:rPr>
        <w:t>groundwater</w:t>
      </w:r>
      <w:r>
        <w:t xml:space="preserve"> SDL resource units, in any accounting period up to 2028, an excess occurs when the sum of actual take for all years since 2019 is greater than the sum of permitted take for those years, plus 20% of the SDL. For accounting periods after 2028, an excess occurs if the average annual </w:t>
      </w:r>
      <w:proofErr w:type="gramStart"/>
      <w:r>
        <w:t>take</w:t>
      </w:r>
      <w:proofErr w:type="gramEnd"/>
      <w:r>
        <w:t xml:space="preserve"> over the previous 10 years exceeds the average permitted take over that period.</w:t>
      </w:r>
    </w:p>
    <w:p w14:paraId="33AE2105" w14:textId="77777777" w:rsidR="003E551C" w:rsidRDefault="003E551C">
      <w:pPr>
        <w:spacing w:after="0"/>
        <w:rPr>
          <w:b/>
          <w:bCs/>
        </w:rPr>
      </w:pPr>
      <w:bookmarkStart w:id="34" w:name="Incomplete"/>
      <w:r>
        <w:rPr>
          <w:b/>
          <w:bCs/>
        </w:rPr>
        <w:br w:type="page"/>
      </w:r>
    </w:p>
    <w:p w14:paraId="4E7FA4D9" w14:textId="6EFE7A7E" w:rsidR="00DD3DE5" w:rsidRDefault="00DD3DE5" w:rsidP="00DD3DE5">
      <w:pPr>
        <w:pStyle w:val="pf0"/>
      </w:pPr>
      <w:r>
        <w:rPr>
          <w:rFonts w:ascii="Verdana" w:eastAsia="Calibri" w:hAnsi="Verdana" w:cs="Times New Roman"/>
          <w:b/>
          <w:bCs/>
          <w:sz w:val="20"/>
          <w:lang w:eastAsia="en-US"/>
        </w:rPr>
        <w:lastRenderedPageBreak/>
        <w:t xml:space="preserve">Incomplete </w:t>
      </w:r>
      <w:r w:rsidRPr="00C501A1">
        <w:rPr>
          <w:rFonts w:ascii="Verdana" w:eastAsia="Calibri" w:hAnsi="Verdana" w:cs="Times New Roman"/>
          <w:b/>
          <w:bCs/>
          <w:sz w:val="20"/>
          <w:lang w:eastAsia="en-US"/>
        </w:rPr>
        <w:t>water</w:t>
      </w:r>
      <w:r w:rsidRPr="000C5F14">
        <w:rPr>
          <w:rFonts w:ascii="Verdana" w:eastAsia="Calibri" w:hAnsi="Verdana" w:cs="Times New Roman"/>
          <w:b/>
          <w:bCs/>
          <w:sz w:val="20"/>
          <w:lang w:eastAsia="en-US"/>
        </w:rPr>
        <w:t xml:space="preserve"> </w:t>
      </w:r>
      <w:bookmarkEnd w:id="34"/>
      <w:r w:rsidRPr="000C5F14">
        <w:rPr>
          <w:rFonts w:ascii="Verdana" w:eastAsia="Calibri" w:hAnsi="Verdana" w:cs="Times New Roman"/>
          <w:b/>
          <w:bCs/>
          <w:sz w:val="20"/>
          <w:lang w:eastAsia="en-US"/>
        </w:rPr>
        <w:t>recover</w:t>
      </w:r>
      <w:r>
        <w:rPr>
          <w:rFonts w:ascii="Verdana" w:eastAsia="Calibri" w:hAnsi="Verdana" w:cs="Times New Roman"/>
          <w:b/>
          <w:bCs/>
          <w:sz w:val="20"/>
          <w:lang w:eastAsia="en-US"/>
        </w:rPr>
        <w:t xml:space="preserve">y  </w:t>
      </w:r>
    </w:p>
    <w:p w14:paraId="11E406D4" w14:textId="67A669C3" w:rsidR="00DD3DE5" w:rsidRDefault="00DD3DE5" w:rsidP="00DD3DE5">
      <w:pPr>
        <w:pStyle w:val="pf0"/>
        <w:rPr>
          <w:rFonts w:ascii="Verdana" w:eastAsia="Calibri" w:hAnsi="Verdana" w:cs="Times New Roman"/>
          <w:sz w:val="20"/>
          <w:lang w:eastAsia="en-US"/>
        </w:rPr>
      </w:pPr>
      <w:r w:rsidRPr="00C501A1">
        <w:rPr>
          <w:rFonts w:ascii="Verdana" w:eastAsia="Calibri" w:hAnsi="Verdana" w:cs="Times New Roman"/>
          <w:sz w:val="20"/>
          <w:lang w:eastAsia="en-US"/>
        </w:rPr>
        <w:t xml:space="preserve">The water recovery targets are for the purpose of 'bridging the gap' and recover water for the environment. Any unrecovered water (incomplete water recovery) remains in the consumptive entitlements and may be available and used as annual actual take (AAT). Therefore, the Registers of </w:t>
      </w:r>
      <w:r w:rsidR="008F5931">
        <w:rPr>
          <w:rFonts w:ascii="Verdana" w:eastAsia="Calibri" w:hAnsi="Verdana" w:cs="Times New Roman"/>
          <w:sz w:val="20"/>
          <w:lang w:eastAsia="en-US"/>
        </w:rPr>
        <w:t>T</w:t>
      </w:r>
      <w:r w:rsidRPr="00C501A1">
        <w:rPr>
          <w:rFonts w:ascii="Verdana" w:eastAsia="Calibri" w:hAnsi="Verdana" w:cs="Times New Roman"/>
          <w:sz w:val="20"/>
          <w:lang w:eastAsia="en-US"/>
        </w:rPr>
        <w:t>ake are adjusted to credit the surface water cumulative balance and added to the compliance trigger for groundwater, to not affect the States compliance with the SDLs due to incomplete water recovery.</w:t>
      </w:r>
    </w:p>
    <w:p w14:paraId="502B9FA7" w14:textId="77777777" w:rsidR="00DD3DE5" w:rsidRPr="007D7E25" w:rsidRDefault="00DD3DE5" w:rsidP="00DD3DE5">
      <w:pPr>
        <w:rPr>
          <w:b/>
          <w:bCs/>
        </w:rPr>
      </w:pPr>
      <w:bookmarkStart w:id="35" w:name="threshold"/>
      <w:r w:rsidRPr="007D7E25">
        <w:rPr>
          <w:b/>
          <w:bCs/>
        </w:rPr>
        <w:t xml:space="preserve">SDL compliance </w:t>
      </w:r>
      <w:bookmarkEnd w:id="35"/>
      <w:r w:rsidRPr="007D7E25">
        <w:rPr>
          <w:b/>
          <w:bCs/>
        </w:rPr>
        <w:t>threshold</w:t>
      </w:r>
    </w:p>
    <w:p w14:paraId="3498AF32" w14:textId="77777777" w:rsidR="00DD3DE5" w:rsidRDefault="00DD3DE5" w:rsidP="00DD3DE5">
      <w:r>
        <w:t>The point at which the Register for an SDL resource unit records an ‘excess’ (see definition of excess above). Once the SDL compliance threshold is reached, certain obligations and actions under the Water Act and Basin Plan are triggered.</w:t>
      </w:r>
      <w:r>
        <w:rPr>
          <w:rStyle w:val="FootnoteReference"/>
        </w:rPr>
        <w:footnoteReference w:id="10"/>
      </w:r>
      <w:r>
        <w:t xml:space="preserve"> </w:t>
      </w:r>
    </w:p>
    <w:p w14:paraId="0AA75430" w14:textId="77777777" w:rsidR="00DD3DE5" w:rsidRPr="00DD3DE5" w:rsidRDefault="00DD3DE5" w:rsidP="00DD3DE5"/>
    <w:sectPr w:rsidR="00DD3DE5" w:rsidRPr="00DD3DE5" w:rsidSect="002950C4">
      <w:pgSz w:w="11906" w:h="16838"/>
      <w:pgMar w:top="1440" w:right="1440" w:bottom="1440" w:left="993" w:header="425" w:footer="9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4CE21" w14:textId="77777777" w:rsidR="00F651EF" w:rsidRDefault="00F651EF">
      <w:r>
        <w:separator/>
      </w:r>
    </w:p>
  </w:endnote>
  <w:endnote w:type="continuationSeparator" w:id="0">
    <w:p w14:paraId="1BCA5B31" w14:textId="77777777" w:rsidR="00F651EF" w:rsidRDefault="00F651EF">
      <w:r>
        <w:continuationSeparator/>
      </w:r>
    </w:p>
  </w:endnote>
  <w:endnote w:type="continuationNotice" w:id="1">
    <w:p w14:paraId="0853D8FC" w14:textId="77777777" w:rsidR="00F651EF" w:rsidRDefault="00F651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6E1DD" w14:textId="5F6198D4" w:rsidR="00F54EAB" w:rsidRDefault="00B26389">
    <w:pPr>
      <w:pStyle w:val="Footer"/>
    </w:pPr>
    <w:r>
      <w:rPr>
        <w:noProof/>
      </w:rPr>
      <mc:AlternateContent>
        <mc:Choice Requires="wps">
          <w:drawing>
            <wp:anchor distT="0" distB="0" distL="0" distR="0" simplePos="0" relativeHeight="251658250" behindDoc="0" locked="0" layoutInCell="1" allowOverlap="1" wp14:anchorId="3E30F427" wp14:editId="7633E3B2">
              <wp:simplePos x="635" y="635"/>
              <wp:positionH relativeFrom="page">
                <wp:align>center</wp:align>
              </wp:positionH>
              <wp:positionV relativeFrom="page">
                <wp:align>bottom</wp:align>
              </wp:positionV>
              <wp:extent cx="551815" cy="376555"/>
              <wp:effectExtent l="0" t="0" r="635" b="0"/>
              <wp:wrapNone/>
              <wp:docPr id="24844279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BDA913" w14:textId="190C0529"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30F427" id="_x0000_t202" coordsize="21600,21600" o:spt="202" path="m,l,21600r21600,l21600,xe">
              <v:stroke joinstyle="miter"/>
              <v:path gradientshapeok="t" o:connecttype="rect"/>
            </v:shapetype>
            <v:shape id="Text Box 8"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ABDA913" w14:textId="190C0529"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7AE6" w14:textId="1EBB252B" w:rsidR="0046450A" w:rsidRPr="00473F5B" w:rsidRDefault="00B26389" w:rsidP="00473F5B">
    <w:pPr>
      <w:pStyle w:val="Footer"/>
      <w:tabs>
        <w:tab w:val="clear" w:pos="4513"/>
        <w:tab w:val="clear" w:pos="9026"/>
        <w:tab w:val="right" w:pos="9638"/>
      </w:tabs>
    </w:pPr>
    <w:r>
      <w:rPr>
        <w:noProof/>
      </w:rPr>
      <mc:AlternateContent>
        <mc:Choice Requires="wps">
          <w:drawing>
            <wp:anchor distT="0" distB="0" distL="0" distR="0" simplePos="0" relativeHeight="251658251" behindDoc="0" locked="0" layoutInCell="1" allowOverlap="1" wp14:anchorId="76F24692" wp14:editId="58651CE6">
              <wp:simplePos x="723900" y="9934575"/>
              <wp:positionH relativeFrom="page">
                <wp:align>center</wp:align>
              </wp:positionH>
              <wp:positionV relativeFrom="page">
                <wp:align>bottom</wp:align>
              </wp:positionV>
              <wp:extent cx="551815" cy="376555"/>
              <wp:effectExtent l="0" t="0" r="635" b="0"/>
              <wp:wrapNone/>
              <wp:docPr id="162530580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A1EB35" w14:textId="67C9120A"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24692" id="_x0000_t202" coordsize="21600,21600" o:spt="202" path="m,l,21600r21600,l21600,xe">
              <v:stroke joinstyle="miter"/>
              <v:path gradientshapeok="t" o:connecttype="rect"/>
            </v:shapetype>
            <v:shape id="Text Box 9" o:spid="_x0000_s1029"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DA1EB35" w14:textId="67C9120A"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r w:rsidR="00473F5B">
      <w:t>Inspector-General of Water Compliance</w:t>
    </w:r>
    <w:r w:rsidR="00473F5B">
      <w:tab/>
    </w:r>
    <w:r w:rsidR="00473F5B">
      <w:fldChar w:fldCharType="begin"/>
    </w:r>
    <w:r w:rsidR="00473F5B">
      <w:instrText xml:space="preserve"> PAGE   \* MERGEFORMAT </w:instrText>
    </w:r>
    <w:r w:rsidR="00473F5B">
      <w:fldChar w:fldCharType="separate"/>
    </w:r>
    <w:r w:rsidR="00473F5B">
      <w:t>2</w:t>
    </w:r>
    <w:r w:rsidR="00473F5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52873" w14:textId="22BD82BC" w:rsidR="009F0367" w:rsidRPr="002C07A5" w:rsidRDefault="00B26389" w:rsidP="002C07A5">
    <w:pPr>
      <w:pStyle w:val="Footer"/>
      <w:tabs>
        <w:tab w:val="clear" w:pos="4513"/>
        <w:tab w:val="clear" w:pos="9026"/>
        <w:tab w:val="right" w:pos="9638"/>
      </w:tabs>
      <w:rPr>
        <w:color w:val="FFFFFF"/>
      </w:rPr>
    </w:pPr>
    <w:r>
      <w:rPr>
        <w:noProof/>
        <w:color w:val="FFFFFF"/>
      </w:rPr>
      <mc:AlternateContent>
        <mc:Choice Requires="wps">
          <w:drawing>
            <wp:anchor distT="0" distB="0" distL="0" distR="0" simplePos="0" relativeHeight="251658249" behindDoc="0" locked="0" layoutInCell="1" allowOverlap="1" wp14:anchorId="5B4D302D" wp14:editId="71CB4C80">
              <wp:simplePos x="723900" y="9934575"/>
              <wp:positionH relativeFrom="page">
                <wp:align>center</wp:align>
              </wp:positionH>
              <wp:positionV relativeFrom="page">
                <wp:align>bottom</wp:align>
              </wp:positionV>
              <wp:extent cx="551815" cy="376555"/>
              <wp:effectExtent l="0" t="0" r="635" b="0"/>
              <wp:wrapNone/>
              <wp:docPr id="169037405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5CA4A4" w14:textId="3B251918"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D302D" id="_x0000_t202" coordsize="21600,21600" o:spt="202" path="m,l,21600r21600,l21600,xe">
              <v:stroke joinstyle="miter"/>
              <v:path gradientshapeok="t" o:connecttype="rect"/>
            </v:shapetype>
            <v:shape id="Text Box 7"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65CA4A4" w14:textId="3B251918"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DCE0F" w14:textId="7A59D767" w:rsidR="00F54EAB" w:rsidRDefault="00B26389">
    <w:pPr>
      <w:pStyle w:val="Footer"/>
    </w:pPr>
    <w:r>
      <w:rPr>
        <w:noProof/>
      </w:rPr>
      <mc:AlternateContent>
        <mc:Choice Requires="wps">
          <w:drawing>
            <wp:anchor distT="0" distB="0" distL="0" distR="0" simplePos="0" relativeHeight="251658253" behindDoc="0" locked="0" layoutInCell="1" allowOverlap="1" wp14:anchorId="63A98FA3" wp14:editId="1D253881">
              <wp:simplePos x="635" y="635"/>
              <wp:positionH relativeFrom="page">
                <wp:align>center</wp:align>
              </wp:positionH>
              <wp:positionV relativeFrom="page">
                <wp:align>bottom</wp:align>
              </wp:positionV>
              <wp:extent cx="551815" cy="376555"/>
              <wp:effectExtent l="0" t="0" r="635" b="0"/>
              <wp:wrapNone/>
              <wp:docPr id="213741151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5E3D22" w14:textId="2B5BFA39"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98FA3"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255E3D22" w14:textId="2B5BFA39"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F7314" w14:textId="6029857A" w:rsidR="00F54EAB" w:rsidRDefault="00B26389">
    <w:pPr>
      <w:pStyle w:val="Footer"/>
    </w:pPr>
    <w:r>
      <w:rPr>
        <w:noProof/>
      </w:rPr>
      <mc:AlternateContent>
        <mc:Choice Requires="wps">
          <w:drawing>
            <wp:anchor distT="0" distB="0" distL="0" distR="0" simplePos="0" relativeHeight="251658254" behindDoc="0" locked="0" layoutInCell="1" allowOverlap="1" wp14:anchorId="33F27EB3" wp14:editId="7FB1A90F">
              <wp:simplePos x="635" y="635"/>
              <wp:positionH relativeFrom="page">
                <wp:align>center</wp:align>
              </wp:positionH>
              <wp:positionV relativeFrom="page">
                <wp:align>bottom</wp:align>
              </wp:positionV>
              <wp:extent cx="551815" cy="376555"/>
              <wp:effectExtent l="0" t="0" r="635" b="0"/>
              <wp:wrapNone/>
              <wp:docPr id="194283329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28F03B" w14:textId="1694C2B4"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27EB3" id="_x0000_t202" coordsize="21600,21600" o:spt="202" path="m,l,21600r21600,l21600,xe">
              <v:stroke joinstyle="miter"/>
              <v:path gradientshapeok="t" o:connecttype="rect"/>
            </v:shapetype>
            <v:shape id="Text Box 12" o:spid="_x0000_s1035"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D28F03B" w14:textId="1694C2B4"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0856F" w14:textId="738F2FC8" w:rsidR="00262CD0" w:rsidRDefault="00B26389">
    <w:pPr>
      <w:pStyle w:val="Footer"/>
      <w:jc w:val="right"/>
    </w:pPr>
    <w:r>
      <w:rPr>
        <w:noProof/>
      </w:rPr>
      <mc:AlternateContent>
        <mc:Choice Requires="wps">
          <w:drawing>
            <wp:anchor distT="0" distB="0" distL="0" distR="0" simplePos="0" relativeHeight="251658252" behindDoc="0" locked="0" layoutInCell="1" allowOverlap="1" wp14:anchorId="572900B1" wp14:editId="70B055E1">
              <wp:simplePos x="635" y="635"/>
              <wp:positionH relativeFrom="page">
                <wp:align>center</wp:align>
              </wp:positionH>
              <wp:positionV relativeFrom="page">
                <wp:align>bottom</wp:align>
              </wp:positionV>
              <wp:extent cx="551815" cy="376555"/>
              <wp:effectExtent l="0" t="0" r="635" b="0"/>
              <wp:wrapNone/>
              <wp:docPr id="159360041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FE66A5" w14:textId="22B47C78"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900B1" id="_x0000_t202" coordsize="21600,21600" o:spt="202" path="m,l,21600r21600,l21600,xe">
              <v:stroke joinstyle="miter"/>
              <v:path gradientshapeok="t" o:connecttype="rect"/>
            </v:shapetype>
            <v:shape id="Text Box 10" o:spid="_x0000_s1037"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08FE66A5" w14:textId="22B47C78"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sdt>
      <w:sdtPr>
        <w:id w:val="-810557023"/>
        <w:docPartObj>
          <w:docPartGallery w:val="Page Numbers (Bottom of Page)"/>
          <w:docPartUnique/>
        </w:docPartObj>
      </w:sdtPr>
      <w:sdtEndPr>
        <w:rPr>
          <w:noProof/>
        </w:rPr>
      </w:sdtEndPr>
      <w:sdtContent>
        <w:r w:rsidR="00262CD0">
          <w:fldChar w:fldCharType="begin"/>
        </w:r>
        <w:r w:rsidR="00262CD0">
          <w:instrText xml:space="preserve"> PAGE   \* MERGEFORMAT </w:instrText>
        </w:r>
        <w:r w:rsidR="00262CD0">
          <w:fldChar w:fldCharType="separate"/>
        </w:r>
        <w:r w:rsidR="00262CD0">
          <w:rPr>
            <w:noProof/>
          </w:rPr>
          <w:t>2</w:t>
        </w:r>
        <w:r w:rsidR="00262CD0">
          <w:rPr>
            <w:noProof/>
          </w:rPr>
          <w:fldChar w:fldCharType="end"/>
        </w:r>
      </w:sdtContent>
    </w:sdt>
  </w:p>
  <w:p w14:paraId="02BE4A9C" w14:textId="13C6DD5E" w:rsidR="00B25458" w:rsidRPr="002C07A5" w:rsidRDefault="00B25458" w:rsidP="002C07A5">
    <w:pPr>
      <w:pStyle w:val="Footer"/>
      <w:tabs>
        <w:tab w:val="clear" w:pos="4513"/>
        <w:tab w:val="clear" w:pos="9026"/>
        <w:tab w:val="right" w:pos="9638"/>
      </w:tabs>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B318F" w14:textId="77777777" w:rsidR="00F651EF" w:rsidRDefault="00F651EF">
      <w:r>
        <w:separator/>
      </w:r>
    </w:p>
  </w:footnote>
  <w:footnote w:type="continuationSeparator" w:id="0">
    <w:p w14:paraId="0182F179" w14:textId="77777777" w:rsidR="00F651EF" w:rsidRDefault="00F651EF">
      <w:r>
        <w:continuationSeparator/>
      </w:r>
    </w:p>
  </w:footnote>
  <w:footnote w:type="continuationNotice" w:id="1">
    <w:p w14:paraId="32E796CB" w14:textId="77777777" w:rsidR="00F651EF" w:rsidRDefault="00F651EF">
      <w:pPr>
        <w:spacing w:after="0"/>
      </w:pPr>
    </w:p>
  </w:footnote>
  <w:footnote w:id="2">
    <w:p w14:paraId="6F63D88D" w14:textId="77777777" w:rsidR="009546C2" w:rsidRPr="00A4582F" w:rsidRDefault="009546C2" w:rsidP="009546C2">
      <w:pPr>
        <w:pStyle w:val="FootnoteText"/>
        <w:rPr>
          <w:lang w:val="en-GB"/>
        </w:rPr>
      </w:pPr>
      <w:r>
        <w:rPr>
          <w:rStyle w:val="FootnoteReference"/>
        </w:rPr>
        <w:footnoteRef/>
      </w:r>
      <w:r>
        <w:t xml:space="preserve"> </w:t>
      </w:r>
      <w:r w:rsidRPr="004D7B7C">
        <w:rPr>
          <w:i/>
          <w:iCs/>
          <w:lang w:val="en-GB"/>
        </w:rPr>
        <w:t>Water Act</w:t>
      </w:r>
      <w:r>
        <w:rPr>
          <w:i/>
          <w:iCs/>
          <w:lang w:val="en-GB"/>
        </w:rPr>
        <w:t xml:space="preserve"> 2007 </w:t>
      </w:r>
      <w:r>
        <w:rPr>
          <w:lang w:val="en-GB"/>
        </w:rPr>
        <w:t>(Cth) s 20(b).</w:t>
      </w:r>
    </w:p>
  </w:footnote>
  <w:footnote w:id="3">
    <w:p w14:paraId="647793A7" w14:textId="77777777" w:rsidR="009546C2" w:rsidRDefault="009546C2" w:rsidP="009546C2">
      <w:pPr>
        <w:pStyle w:val="FootnoteText"/>
      </w:pPr>
      <w:r>
        <w:rPr>
          <w:rStyle w:val="FootnoteReference"/>
        </w:rPr>
        <w:footnoteRef/>
      </w:r>
      <w:r>
        <w:t xml:space="preserve"> </w:t>
      </w:r>
      <w:r>
        <w:rPr>
          <w:i/>
          <w:iCs/>
        </w:rPr>
        <w:t xml:space="preserve">Basin Plan 2012 </w:t>
      </w:r>
      <w:r>
        <w:t>(</w:t>
      </w:r>
      <w:r>
        <w:t>Cth) s 6.08(5).</w:t>
      </w:r>
    </w:p>
  </w:footnote>
  <w:footnote w:id="4">
    <w:p w14:paraId="5A686660" w14:textId="77777777" w:rsidR="009546C2" w:rsidRPr="0082652D" w:rsidRDefault="009546C2" w:rsidP="009546C2">
      <w:pPr>
        <w:pStyle w:val="FootnoteText"/>
      </w:pPr>
      <w:r>
        <w:rPr>
          <w:rStyle w:val="FootnoteReference"/>
        </w:rPr>
        <w:footnoteRef/>
      </w:r>
      <w:r>
        <w:t xml:space="preserve"> </w:t>
      </w:r>
      <w:r>
        <w:rPr>
          <w:i/>
          <w:iCs/>
        </w:rPr>
        <w:t xml:space="preserve">Basin Plan 2012 </w:t>
      </w:r>
      <w:r>
        <w:t>(</w:t>
      </w:r>
      <w:r>
        <w:t>Cth) s 6.08(5).</w:t>
      </w:r>
    </w:p>
  </w:footnote>
  <w:footnote w:id="5">
    <w:p w14:paraId="144E3654" w14:textId="77777777" w:rsidR="00C63011" w:rsidRDefault="00C63011" w:rsidP="00C63011">
      <w:pPr>
        <w:pStyle w:val="FootnoteText"/>
      </w:pPr>
      <w:r>
        <w:rPr>
          <w:rStyle w:val="FootnoteReference"/>
        </w:rPr>
        <w:footnoteRef/>
      </w:r>
      <w:r>
        <w:t xml:space="preserve"> </w:t>
      </w:r>
      <w:hyperlink r:id="rId1" w:history="1">
        <w:r w:rsidRPr="00FB200C">
          <w:t>Sustainable Diversion Limit compliance statement for 2020-2021 (igwc.gov.au)</w:t>
        </w:r>
      </w:hyperlink>
      <w:r w:rsidRPr="00FB200C">
        <w:t xml:space="preserve"> and </w:t>
      </w:r>
      <w:hyperlink r:id="rId2" w:history="1">
        <w:r w:rsidRPr="00FB200C">
          <w:t>Murray–Darling Basin Sustainable Diversion Limit Compliance outcomes 2019–20 (mdba.gov.au)</w:t>
        </w:r>
      </w:hyperlink>
    </w:p>
  </w:footnote>
  <w:footnote w:id="6">
    <w:p w14:paraId="752E1E50" w14:textId="67D030EF" w:rsidR="00C51189" w:rsidRDefault="00C51189" w:rsidP="00C51189">
      <w:pPr>
        <w:pStyle w:val="FootnoteText"/>
      </w:pPr>
      <w:r>
        <w:rPr>
          <w:rStyle w:val="FootnoteReference"/>
        </w:rPr>
        <w:footnoteRef/>
      </w:r>
      <w:r>
        <w:t xml:space="preserve"> </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Goulburn</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Broken</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Campaspe</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Loddon</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 xml:space="preserve"> and </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Victorian Murray</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Kiewa</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Ovens</w:t>
      </w:r>
      <w:r w:rsidRPr="005019EB">
        <w:rPr>
          <w:rFonts w:ascii="CIDFont+F1" w:eastAsia="CIDFont+F1" w:hAnsi="Arial" w:cs="CIDFont+F1" w:hint="eastAsia"/>
          <w:sz w:val="14"/>
          <w:szCs w:val="14"/>
          <w:lang w:eastAsia="en-AU"/>
        </w:rPr>
        <w:t>’</w:t>
      </w:r>
      <w:r w:rsidRPr="005019EB">
        <w:rPr>
          <w:rFonts w:ascii="CIDFont+F1" w:eastAsia="CIDFont+F1" w:hAnsi="Arial" w:cs="CIDFont+F1"/>
          <w:sz w:val="14"/>
          <w:szCs w:val="14"/>
          <w:lang w:eastAsia="en-AU"/>
        </w:rPr>
        <w:t xml:space="preserve"> SDL resource units may be treated as a single SDL resource unit for the purposes of the compliance assessment (Basin Plan (s. 6.12(2) (a) &amp; (b))).</w:t>
      </w:r>
    </w:p>
  </w:footnote>
  <w:footnote w:id="7">
    <w:p w14:paraId="6FA4C917" w14:textId="2ED1D632" w:rsidR="000C2A8D" w:rsidRDefault="000C2A8D">
      <w:pPr>
        <w:pStyle w:val="FootnoteText"/>
      </w:pPr>
      <w:r>
        <w:rPr>
          <w:rStyle w:val="FootnoteReference"/>
        </w:rPr>
        <w:footnoteRef/>
      </w:r>
      <w:r>
        <w:t xml:space="preserve"> </w:t>
      </w:r>
      <w:r w:rsidR="007815BC">
        <w:t>Refer</w:t>
      </w:r>
      <w:r w:rsidRPr="00C93879">
        <w:t xml:space="preserve"> to </w:t>
      </w:r>
      <w:r w:rsidR="007815BC">
        <w:t xml:space="preserve">Table 9, </w:t>
      </w:r>
      <w:r w:rsidR="00090F43">
        <w:t xml:space="preserve">2022-2023 Sustainable Diversion Limit Accounts </w:t>
      </w:r>
      <w:r w:rsidR="00090F43" w:rsidRPr="002F3BD4">
        <w:t>–</w:t>
      </w:r>
      <w:r w:rsidRPr="002F3BD4">
        <w:t xml:space="preserve"> </w:t>
      </w:r>
      <w:r w:rsidR="00F55433">
        <w:t>R</w:t>
      </w:r>
      <w:r w:rsidRPr="002F3BD4">
        <w:t xml:space="preserve">egisters of take </w:t>
      </w:r>
      <w:r w:rsidR="005F5BCA" w:rsidRPr="002F3BD4">
        <w:t xml:space="preserve">and interim </w:t>
      </w:r>
      <w:r w:rsidR="00F55433">
        <w:t>R</w:t>
      </w:r>
      <w:r w:rsidR="005F5BCA" w:rsidRPr="002F3BD4">
        <w:t>egisters of take</w:t>
      </w:r>
    </w:p>
  </w:footnote>
  <w:footnote w:id="8">
    <w:p w14:paraId="6085EFB9" w14:textId="77777777" w:rsidR="00DD3DE5" w:rsidRPr="007F2BA5" w:rsidRDefault="00DD3DE5" w:rsidP="00DD3DE5">
      <w:pPr>
        <w:pStyle w:val="FootnoteText"/>
        <w:rPr>
          <w:lang w:val="en-GB"/>
        </w:rPr>
      </w:pPr>
      <w:r>
        <w:rPr>
          <w:rStyle w:val="FootnoteReference"/>
        </w:rPr>
        <w:footnoteRef/>
      </w:r>
      <w:r>
        <w:t xml:space="preserve"> </w:t>
      </w:r>
      <w:r w:rsidRPr="00B65AA9">
        <w:rPr>
          <w:i/>
          <w:iCs/>
          <w:lang w:val="en-GB"/>
        </w:rPr>
        <w:t>Water Act 2007</w:t>
      </w:r>
      <w:r>
        <w:rPr>
          <w:lang w:val="en-GB"/>
        </w:rPr>
        <w:t xml:space="preserve"> (</w:t>
      </w:r>
      <w:r>
        <w:rPr>
          <w:lang w:val="en-GB"/>
        </w:rPr>
        <w:t>Cth) section 4</w:t>
      </w:r>
    </w:p>
  </w:footnote>
  <w:footnote w:id="9">
    <w:p w14:paraId="7B8CDCC4" w14:textId="77777777" w:rsidR="00DD3DE5" w:rsidRPr="00D3126B" w:rsidRDefault="00DD3DE5" w:rsidP="00DD3DE5">
      <w:pPr>
        <w:pStyle w:val="FootnoteText"/>
        <w:rPr>
          <w:lang w:val="en-GB"/>
        </w:rPr>
      </w:pPr>
      <w:r>
        <w:rPr>
          <w:rStyle w:val="FootnoteReference"/>
        </w:rPr>
        <w:footnoteRef/>
      </w:r>
      <w:r>
        <w:t xml:space="preserve"> </w:t>
      </w:r>
      <w:r w:rsidRPr="00B65AA9">
        <w:rPr>
          <w:i/>
          <w:iCs/>
          <w:lang w:val="en-GB"/>
        </w:rPr>
        <w:t>Basin Plan 2012</w:t>
      </w:r>
      <w:r>
        <w:rPr>
          <w:lang w:val="en-GB"/>
        </w:rPr>
        <w:t xml:space="preserve"> section 6.12(1) (for surface water); section 6.12C(2) (for groundwater)</w:t>
      </w:r>
    </w:p>
  </w:footnote>
  <w:footnote w:id="10">
    <w:p w14:paraId="696B91D5" w14:textId="77777777" w:rsidR="00DD3DE5" w:rsidRPr="00EC5263" w:rsidRDefault="00DD3DE5" w:rsidP="00DD3DE5">
      <w:pPr>
        <w:pStyle w:val="FootnoteText"/>
        <w:rPr>
          <w:lang w:val="en-GB"/>
        </w:rPr>
      </w:pPr>
      <w:r>
        <w:rPr>
          <w:rStyle w:val="FootnoteReference"/>
        </w:rPr>
        <w:footnoteRef/>
      </w:r>
      <w:r>
        <w:t xml:space="preserve"> </w:t>
      </w:r>
      <w:r w:rsidRPr="00B65AA9">
        <w:rPr>
          <w:i/>
          <w:iCs/>
          <w:lang w:val="en-GB"/>
        </w:rPr>
        <w:t>Water Act 2007</w:t>
      </w:r>
      <w:r>
        <w:rPr>
          <w:lang w:val="en-GB"/>
        </w:rPr>
        <w:t xml:space="preserve"> (</w:t>
      </w:r>
      <w:r>
        <w:rPr>
          <w:lang w:val="en-GB"/>
        </w:rPr>
        <w:t>Cth) section 71; Basin Plan 2012 section 6.12(3), (5) (surface water); section 6.12C(3), (5) (ground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2148D" w14:textId="09767593" w:rsidR="00F54EAB" w:rsidRDefault="00B26389">
    <w:pPr>
      <w:pStyle w:val="Header"/>
    </w:pPr>
    <w:r>
      <w:rPr>
        <w:noProof/>
      </w:rPr>
      <mc:AlternateContent>
        <mc:Choice Requires="wps">
          <w:drawing>
            <wp:anchor distT="0" distB="0" distL="0" distR="0" simplePos="0" relativeHeight="251658244" behindDoc="0" locked="0" layoutInCell="1" allowOverlap="1" wp14:anchorId="20894446" wp14:editId="51429EC9">
              <wp:simplePos x="635" y="635"/>
              <wp:positionH relativeFrom="page">
                <wp:align>center</wp:align>
              </wp:positionH>
              <wp:positionV relativeFrom="page">
                <wp:align>top</wp:align>
              </wp:positionV>
              <wp:extent cx="551815" cy="376555"/>
              <wp:effectExtent l="0" t="0" r="635" b="4445"/>
              <wp:wrapNone/>
              <wp:docPr id="882411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77014B" w14:textId="077945B5"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894446"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377014B" w14:textId="077945B5"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FF934" w14:textId="351F3CC1" w:rsidR="00CD346C" w:rsidRDefault="00B26389">
    <w:pPr>
      <w:pStyle w:val="Header"/>
    </w:pPr>
    <w:r>
      <w:rPr>
        <w:noProof/>
      </w:rPr>
      <mc:AlternateContent>
        <mc:Choice Requires="wps">
          <w:drawing>
            <wp:anchor distT="0" distB="0" distL="0" distR="0" simplePos="0" relativeHeight="251658245" behindDoc="0" locked="0" layoutInCell="1" allowOverlap="1" wp14:anchorId="3053A924" wp14:editId="0CD92AB6">
              <wp:simplePos x="723900" y="276225"/>
              <wp:positionH relativeFrom="page">
                <wp:align>center</wp:align>
              </wp:positionH>
              <wp:positionV relativeFrom="page">
                <wp:align>top</wp:align>
              </wp:positionV>
              <wp:extent cx="551815" cy="376555"/>
              <wp:effectExtent l="0" t="0" r="635" b="4445"/>
              <wp:wrapNone/>
              <wp:docPr id="17574375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F27D23" w14:textId="44B7ADFD"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53A924"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FF27D23" w14:textId="44B7ADFD"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4407E" w14:textId="77E3AE58" w:rsidR="00473F5B" w:rsidRDefault="00B26389" w:rsidP="005C5D99">
    <w:r>
      <w:rPr>
        <w:noProof/>
      </w:rPr>
      <mc:AlternateContent>
        <mc:Choice Requires="wps">
          <w:drawing>
            <wp:anchor distT="0" distB="0" distL="0" distR="0" simplePos="0" relativeHeight="251658243" behindDoc="0" locked="0" layoutInCell="1" allowOverlap="1" wp14:anchorId="0FFACF94" wp14:editId="19F39E74">
              <wp:simplePos x="723900" y="276225"/>
              <wp:positionH relativeFrom="page">
                <wp:align>center</wp:align>
              </wp:positionH>
              <wp:positionV relativeFrom="page">
                <wp:align>top</wp:align>
              </wp:positionV>
              <wp:extent cx="551815" cy="376555"/>
              <wp:effectExtent l="0" t="0" r="635" b="4445"/>
              <wp:wrapNone/>
              <wp:docPr id="160750043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572422" w14:textId="0011F9D5"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FACF94"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4E572422" w14:textId="0011F9D5"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p w14:paraId="323B0248" w14:textId="77777777" w:rsidR="00473F5B" w:rsidRDefault="00473F5B" w:rsidP="005C5D99"/>
  <w:p w14:paraId="1CD35C33" w14:textId="77777777" w:rsidR="00473F5B" w:rsidRDefault="00473F5B" w:rsidP="005C5D99"/>
  <w:p w14:paraId="7384D469" w14:textId="77777777" w:rsidR="00473F5B" w:rsidRDefault="00473F5B" w:rsidP="005C5D99"/>
  <w:p w14:paraId="49D5AFB6" w14:textId="77777777" w:rsidR="00473F5B" w:rsidRDefault="00473F5B" w:rsidP="005C5D99"/>
  <w:p w14:paraId="25C2C4CB" w14:textId="77777777" w:rsidR="00473F5B" w:rsidRDefault="00473F5B" w:rsidP="005C5D99"/>
  <w:p w14:paraId="3C0453E6" w14:textId="77777777" w:rsidR="00473F5B" w:rsidRDefault="00473F5B" w:rsidP="005C5D99"/>
  <w:p w14:paraId="0D136238" w14:textId="77777777" w:rsidR="001345C9" w:rsidRDefault="001345C9" w:rsidP="005C5D99"/>
  <w:p w14:paraId="79B3195C" w14:textId="2066AA2B" w:rsidR="00617D03" w:rsidRPr="00DC6237" w:rsidRDefault="00617D03" w:rsidP="00071327">
    <w:pPr>
      <w:rPr>
        <w:color w:val="00B05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D18BF" w14:textId="084721AC" w:rsidR="00F54EAB" w:rsidRDefault="00B26389">
    <w:pPr>
      <w:pStyle w:val="Header"/>
    </w:pPr>
    <w:r>
      <w:rPr>
        <w:noProof/>
      </w:rPr>
      <mc:AlternateContent>
        <mc:Choice Requires="wps">
          <w:drawing>
            <wp:anchor distT="0" distB="0" distL="0" distR="0" simplePos="0" relativeHeight="251658247" behindDoc="0" locked="0" layoutInCell="1" allowOverlap="1" wp14:anchorId="2BE3679A" wp14:editId="57470050">
              <wp:simplePos x="635" y="635"/>
              <wp:positionH relativeFrom="page">
                <wp:align>center</wp:align>
              </wp:positionH>
              <wp:positionV relativeFrom="page">
                <wp:align>top</wp:align>
              </wp:positionV>
              <wp:extent cx="551815" cy="376555"/>
              <wp:effectExtent l="0" t="0" r="635" b="4445"/>
              <wp:wrapNone/>
              <wp:docPr id="26003521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67C66F" w14:textId="573484D6"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3679A" id="_x0000_t202" coordsize="21600,21600" o:spt="202" path="m,l,21600r21600,l21600,xe">
              <v:stroke joinstyle="miter"/>
              <v:path gradientshapeok="t" o:connecttype="rect"/>
            </v:shapetype>
            <v:shape id="Text Box 5" o:spid="_x0000_s1032"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7B67C66F" w14:textId="573484D6"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EB7C" w14:textId="18B49FAF" w:rsidR="00F54EAB" w:rsidRDefault="00B26389">
    <w:pPr>
      <w:pStyle w:val="Header"/>
    </w:pPr>
    <w:r>
      <w:rPr>
        <w:noProof/>
      </w:rPr>
      <mc:AlternateContent>
        <mc:Choice Requires="wps">
          <w:drawing>
            <wp:anchor distT="0" distB="0" distL="0" distR="0" simplePos="0" relativeHeight="251658248" behindDoc="0" locked="0" layoutInCell="1" allowOverlap="1" wp14:anchorId="645EAA6E" wp14:editId="6A186BA5">
              <wp:simplePos x="635" y="635"/>
              <wp:positionH relativeFrom="page">
                <wp:align>center</wp:align>
              </wp:positionH>
              <wp:positionV relativeFrom="page">
                <wp:align>top</wp:align>
              </wp:positionV>
              <wp:extent cx="551815" cy="376555"/>
              <wp:effectExtent l="0" t="0" r="635" b="4445"/>
              <wp:wrapNone/>
              <wp:docPr id="186678975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385A48" w14:textId="04EC54A7"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EAA6E" id="_x0000_t202" coordsize="21600,21600" o:spt="202" path="m,l,21600r21600,l21600,xe">
              <v:stroke joinstyle="miter"/>
              <v:path gradientshapeok="t" o:connecttype="rect"/>
            </v:shapetype>
            <v:shape id="Text Box 6" o:spid="_x0000_s1033"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58385A48" w14:textId="04EC54A7"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BFD6C" w14:textId="26515CD8" w:rsidR="002C07A5" w:rsidRPr="00DC6237" w:rsidRDefault="00B26389" w:rsidP="00071327">
    <w:pPr>
      <w:rPr>
        <w:color w:val="00B050"/>
      </w:rPr>
    </w:pPr>
    <w:r>
      <w:rPr>
        <w:noProof/>
        <w:color w:val="00B050"/>
      </w:rPr>
      <mc:AlternateContent>
        <mc:Choice Requires="wps">
          <w:drawing>
            <wp:anchor distT="0" distB="0" distL="0" distR="0" simplePos="0" relativeHeight="251658246" behindDoc="0" locked="0" layoutInCell="1" allowOverlap="1" wp14:anchorId="1A638CEF" wp14:editId="1F7FD6DC">
              <wp:simplePos x="635" y="635"/>
              <wp:positionH relativeFrom="page">
                <wp:align>center</wp:align>
              </wp:positionH>
              <wp:positionV relativeFrom="page">
                <wp:align>top</wp:align>
              </wp:positionV>
              <wp:extent cx="551815" cy="376555"/>
              <wp:effectExtent l="0" t="0" r="635" b="4445"/>
              <wp:wrapNone/>
              <wp:docPr id="4059361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F14C4F" w14:textId="0D096651"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638CEF" id="_x0000_t202" coordsize="21600,21600" o:spt="202" path="m,l,21600r21600,l21600,xe">
              <v:stroke joinstyle="miter"/>
              <v:path gradientshapeok="t" o:connecttype="rect"/>
            </v:shapetype>
            <v:shape id="Text Box 4" o:spid="_x0000_s1036"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DF14C4F" w14:textId="0D096651" w:rsidR="00B26389" w:rsidRPr="00B26389" w:rsidRDefault="00B26389" w:rsidP="00B26389">
                    <w:pPr>
                      <w:spacing w:after="0"/>
                      <w:rPr>
                        <w:rFonts w:ascii="Calibri" w:hAnsi="Calibri" w:cs="Calibri"/>
                        <w:noProof/>
                        <w:color w:val="FF0000"/>
                        <w:sz w:val="24"/>
                        <w:szCs w:val="24"/>
                      </w:rPr>
                    </w:pPr>
                    <w:r w:rsidRPr="00B26389">
                      <w:rPr>
                        <w:rFonts w:ascii="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0424A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2C7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BCAD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4869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D4BD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708B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469A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4401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44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2E6B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F6F4874"/>
    <w:multiLevelType w:val="hybridMultilevel"/>
    <w:tmpl w:val="7FA08D24"/>
    <w:lvl w:ilvl="0" w:tplc="0C090019">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12" w15:restartNumberingAfterBreak="0">
    <w:nsid w:val="1D091BF0"/>
    <w:multiLevelType w:val="hybridMultilevel"/>
    <w:tmpl w:val="E6C82B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D7120FB"/>
    <w:multiLevelType w:val="singleLevel"/>
    <w:tmpl w:val="2000EDEA"/>
    <w:lvl w:ilvl="0">
      <w:start w:val="1"/>
      <w:numFmt w:val="upperLetter"/>
      <w:lvlText w:val="%1:"/>
      <w:lvlJc w:val="left"/>
      <w:pPr>
        <w:ind w:left="360" w:hanging="360"/>
      </w:pPr>
      <w:rPr>
        <w:rFonts w:hint="default"/>
        <w:sz w:val="22"/>
      </w:rPr>
    </w:lvl>
  </w:abstractNum>
  <w:abstractNum w:abstractNumId="14" w15:restartNumberingAfterBreak="0">
    <w:nsid w:val="1F745BC2"/>
    <w:multiLevelType w:val="multilevel"/>
    <w:tmpl w:val="E5E89F92"/>
    <w:numStyleLink w:val="BulletList"/>
  </w:abstractNum>
  <w:abstractNum w:abstractNumId="1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F8614D"/>
    <w:multiLevelType w:val="hybridMultilevel"/>
    <w:tmpl w:val="26CE1DDA"/>
    <w:lvl w:ilvl="0" w:tplc="0C090017">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18" w15:restartNumberingAfterBreak="0">
    <w:nsid w:val="4BBA5DEF"/>
    <w:multiLevelType w:val="singleLevel"/>
    <w:tmpl w:val="27625AB4"/>
    <w:lvl w:ilvl="0">
      <w:start w:val="1"/>
      <w:numFmt w:val="decimal"/>
      <w:lvlText w:val="%1."/>
      <w:lvlJc w:val="left"/>
      <w:pPr>
        <w:tabs>
          <w:tab w:val="num" w:pos="357"/>
        </w:tabs>
        <w:ind w:left="357" w:hanging="357"/>
      </w:pPr>
      <w:rPr>
        <w:rFonts w:hint="default"/>
        <w:b w:val="0"/>
        <w:sz w:val="24"/>
        <w:szCs w:val="24"/>
      </w:rPr>
    </w:lvl>
  </w:abstractNum>
  <w:abstractNum w:abstractNumId="19" w15:restartNumberingAfterBreak="0">
    <w:nsid w:val="4C5524E4"/>
    <w:multiLevelType w:val="multilevel"/>
    <w:tmpl w:val="001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64641D"/>
    <w:multiLevelType w:val="hybridMultilevel"/>
    <w:tmpl w:val="69EAC6B4"/>
    <w:lvl w:ilvl="0" w:tplc="0C090001">
      <w:start w:val="1"/>
      <w:numFmt w:val="bullet"/>
      <w:lvlText w:val=""/>
      <w:lvlJc w:val="left"/>
      <w:pPr>
        <w:ind w:left="360" w:hanging="360"/>
      </w:pPr>
      <w:rPr>
        <w:rFonts w:ascii="Symbol" w:hAnsi="Symbol" w:hint="default"/>
      </w:rPr>
    </w:lvl>
    <w:lvl w:ilvl="1" w:tplc="6DF4B6FE">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56874575"/>
    <w:multiLevelType w:val="multilevel"/>
    <w:tmpl w:val="CEBEDF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CC95F71"/>
    <w:multiLevelType w:val="hybridMultilevel"/>
    <w:tmpl w:val="66E6DDBC"/>
    <w:lvl w:ilvl="0" w:tplc="0C09000F">
      <w:start w:val="1"/>
      <w:numFmt w:val="decimal"/>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23" w15:restartNumberingAfterBreak="0">
    <w:nsid w:val="5FFB6035"/>
    <w:multiLevelType w:val="hybridMultilevel"/>
    <w:tmpl w:val="1B9A4D9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E4B7B4D"/>
    <w:multiLevelType w:val="multilevel"/>
    <w:tmpl w:val="1000160E"/>
    <w:lvl w:ilvl="0">
      <w:start w:val="1"/>
      <w:numFmt w:val="bullet"/>
      <w:lvlText w:val=""/>
      <w:lvlJc w:val="left"/>
      <w:pPr>
        <w:ind w:left="369" w:hanging="369"/>
      </w:pPr>
      <w:rPr>
        <w:rFonts w:ascii="Symbol" w:hAnsi="Symbol" w:hint="default"/>
        <w:sz w:val="24"/>
        <w:szCs w:val="24"/>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6F5C7C61"/>
    <w:multiLevelType w:val="hybridMultilevel"/>
    <w:tmpl w:val="D58E68B2"/>
    <w:lvl w:ilvl="0" w:tplc="43FC7C2E">
      <w:start w:val="1"/>
      <w:numFmt w:val="decimal"/>
      <w:lvlText w:val="%1."/>
      <w:lvlJc w:val="left"/>
      <w:pPr>
        <w:ind w:left="720" w:hanging="360"/>
      </w:pPr>
    </w:lvl>
    <w:lvl w:ilvl="1" w:tplc="6706BADE">
      <w:start w:val="1"/>
      <w:numFmt w:val="lowerLetter"/>
      <w:lvlText w:val="%2."/>
      <w:lvlJc w:val="left"/>
      <w:pPr>
        <w:ind w:left="1440" w:hanging="360"/>
      </w:pPr>
    </w:lvl>
    <w:lvl w:ilvl="2" w:tplc="4FA27204">
      <w:start w:val="1"/>
      <w:numFmt w:val="lowerRoman"/>
      <w:lvlText w:val="%3."/>
      <w:lvlJc w:val="right"/>
      <w:pPr>
        <w:ind w:left="2160" w:hanging="180"/>
      </w:pPr>
    </w:lvl>
    <w:lvl w:ilvl="3" w:tplc="86B67F6E" w:tentative="1">
      <w:start w:val="1"/>
      <w:numFmt w:val="decimal"/>
      <w:lvlText w:val="%4."/>
      <w:lvlJc w:val="left"/>
      <w:pPr>
        <w:ind w:left="2880" w:hanging="360"/>
      </w:pPr>
    </w:lvl>
    <w:lvl w:ilvl="4" w:tplc="06424DDA" w:tentative="1">
      <w:start w:val="1"/>
      <w:numFmt w:val="lowerLetter"/>
      <w:lvlText w:val="%5."/>
      <w:lvlJc w:val="left"/>
      <w:pPr>
        <w:ind w:left="3600" w:hanging="360"/>
      </w:pPr>
    </w:lvl>
    <w:lvl w:ilvl="5" w:tplc="01D6EEB4" w:tentative="1">
      <w:start w:val="1"/>
      <w:numFmt w:val="lowerRoman"/>
      <w:lvlText w:val="%6."/>
      <w:lvlJc w:val="right"/>
      <w:pPr>
        <w:ind w:left="4320" w:hanging="180"/>
      </w:pPr>
    </w:lvl>
    <w:lvl w:ilvl="6" w:tplc="FE0223E2" w:tentative="1">
      <w:start w:val="1"/>
      <w:numFmt w:val="decimal"/>
      <w:lvlText w:val="%7."/>
      <w:lvlJc w:val="left"/>
      <w:pPr>
        <w:ind w:left="5040" w:hanging="360"/>
      </w:pPr>
    </w:lvl>
    <w:lvl w:ilvl="7" w:tplc="E4BED4AE" w:tentative="1">
      <w:start w:val="1"/>
      <w:numFmt w:val="lowerLetter"/>
      <w:lvlText w:val="%8."/>
      <w:lvlJc w:val="left"/>
      <w:pPr>
        <w:ind w:left="5760" w:hanging="360"/>
      </w:pPr>
    </w:lvl>
    <w:lvl w:ilvl="8" w:tplc="C05871AE" w:tentative="1">
      <w:start w:val="1"/>
      <w:numFmt w:val="lowerRoman"/>
      <w:lvlText w:val="%9."/>
      <w:lvlJc w:val="right"/>
      <w:pPr>
        <w:ind w:left="6480" w:hanging="180"/>
      </w:pPr>
    </w:lvl>
  </w:abstractNum>
  <w:abstractNum w:abstractNumId="28" w15:restartNumberingAfterBreak="0">
    <w:nsid w:val="6FAE23A7"/>
    <w:multiLevelType w:val="singleLevel"/>
    <w:tmpl w:val="BE3C85A2"/>
    <w:lvl w:ilvl="0">
      <w:start w:val="1"/>
      <w:numFmt w:val="upperLetter"/>
      <w:lvlText w:val="%1:"/>
      <w:lvlJc w:val="left"/>
      <w:pPr>
        <w:ind w:left="360" w:hanging="360"/>
      </w:pPr>
      <w:rPr>
        <w:rFonts w:hint="default"/>
        <w:sz w:val="24"/>
        <w:szCs w:val="24"/>
      </w:rPr>
    </w:lvl>
  </w:abstractNum>
  <w:abstractNum w:abstractNumId="29"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1873422421">
    <w:abstractNumId w:val="29"/>
  </w:num>
  <w:num w:numId="2" w16cid:durableId="1369183811">
    <w:abstractNumId w:val="10"/>
  </w:num>
  <w:num w:numId="3" w16cid:durableId="1050762136">
    <w:abstractNumId w:val="27"/>
  </w:num>
  <w:num w:numId="4" w16cid:durableId="680820616">
    <w:abstractNumId w:val="25"/>
  </w:num>
  <w:num w:numId="5" w16cid:durableId="1296981726">
    <w:abstractNumId w:val="16"/>
  </w:num>
  <w:num w:numId="6" w16cid:durableId="1155218116">
    <w:abstractNumId w:val="15"/>
  </w:num>
  <w:num w:numId="7" w16cid:durableId="794908898">
    <w:abstractNumId w:val="24"/>
  </w:num>
  <w:num w:numId="8" w16cid:durableId="521748715">
    <w:abstractNumId w:val="14"/>
  </w:num>
  <w:num w:numId="9" w16cid:durableId="630326436">
    <w:abstractNumId w:val="13"/>
  </w:num>
  <w:num w:numId="10" w16cid:durableId="1911840279">
    <w:abstractNumId w:val="28"/>
  </w:num>
  <w:num w:numId="11" w16cid:durableId="732780042">
    <w:abstractNumId w:val="24"/>
  </w:num>
  <w:num w:numId="12" w16cid:durableId="10337261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413359">
    <w:abstractNumId w:val="18"/>
  </w:num>
  <w:num w:numId="14" w16cid:durableId="1729523979">
    <w:abstractNumId w:val="23"/>
  </w:num>
  <w:num w:numId="15" w16cid:durableId="2036496886">
    <w:abstractNumId w:val="26"/>
  </w:num>
  <w:num w:numId="16" w16cid:durableId="1039166682">
    <w:abstractNumId w:val="24"/>
  </w:num>
  <w:num w:numId="17" w16cid:durableId="134879719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1466982">
    <w:abstractNumId w:val="24"/>
  </w:num>
  <w:num w:numId="19" w16cid:durableId="908737065">
    <w:abstractNumId w:val="20"/>
  </w:num>
  <w:num w:numId="20" w16cid:durableId="758906977">
    <w:abstractNumId w:val="24"/>
  </w:num>
  <w:num w:numId="21" w16cid:durableId="1322077478">
    <w:abstractNumId w:val="22"/>
  </w:num>
  <w:num w:numId="22" w16cid:durableId="989089942">
    <w:abstractNumId w:val="17"/>
  </w:num>
  <w:num w:numId="23" w16cid:durableId="344088894">
    <w:abstractNumId w:val="11"/>
  </w:num>
  <w:num w:numId="24" w16cid:durableId="660549014">
    <w:abstractNumId w:val="24"/>
  </w:num>
  <w:num w:numId="25" w16cid:durableId="2971045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1687277">
    <w:abstractNumId w:val="8"/>
  </w:num>
  <w:num w:numId="27" w16cid:durableId="1962026904">
    <w:abstractNumId w:val="21"/>
  </w:num>
  <w:num w:numId="28" w16cid:durableId="19844324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57931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6400980">
    <w:abstractNumId w:val="24"/>
  </w:num>
  <w:num w:numId="31" w16cid:durableId="18677901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88768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25716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53362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4566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8284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9377656">
    <w:abstractNumId w:val="0"/>
  </w:num>
  <w:num w:numId="38" w16cid:durableId="1055008973">
    <w:abstractNumId w:val="1"/>
  </w:num>
  <w:num w:numId="39" w16cid:durableId="716708820">
    <w:abstractNumId w:val="4"/>
  </w:num>
  <w:num w:numId="40" w16cid:durableId="2026786817">
    <w:abstractNumId w:val="5"/>
  </w:num>
  <w:num w:numId="41" w16cid:durableId="2050450974">
    <w:abstractNumId w:val="6"/>
  </w:num>
  <w:num w:numId="42" w16cid:durableId="1441876043">
    <w:abstractNumId w:val="9"/>
  </w:num>
  <w:num w:numId="43" w16cid:durableId="2008432762">
    <w:abstractNumId w:val="7"/>
  </w:num>
  <w:num w:numId="44" w16cid:durableId="1742175781">
    <w:abstractNumId w:val="3"/>
  </w:num>
  <w:num w:numId="45" w16cid:durableId="1659918085">
    <w:abstractNumId w:val="2"/>
  </w:num>
  <w:num w:numId="46" w16cid:durableId="890921091">
    <w:abstractNumId w:val="19"/>
  </w:num>
  <w:num w:numId="47" w16cid:durableId="59147150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405"/>
    <w:rsid w:val="00001387"/>
    <w:rsid w:val="00001ACF"/>
    <w:rsid w:val="00001D01"/>
    <w:rsid w:val="00001E7C"/>
    <w:rsid w:val="000032A0"/>
    <w:rsid w:val="00003834"/>
    <w:rsid w:val="00004115"/>
    <w:rsid w:val="00007DE1"/>
    <w:rsid w:val="0001182B"/>
    <w:rsid w:val="00011E96"/>
    <w:rsid w:val="000131EE"/>
    <w:rsid w:val="00013924"/>
    <w:rsid w:val="0001404C"/>
    <w:rsid w:val="00015B97"/>
    <w:rsid w:val="00015FF4"/>
    <w:rsid w:val="00016A8F"/>
    <w:rsid w:val="00020448"/>
    <w:rsid w:val="000232B6"/>
    <w:rsid w:val="00023585"/>
    <w:rsid w:val="000236BF"/>
    <w:rsid w:val="000244FD"/>
    <w:rsid w:val="00024E8F"/>
    <w:rsid w:val="000262D8"/>
    <w:rsid w:val="00027DB3"/>
    <w:rsid w:val="0003293E"/>
    <w:rsid w:val="000334EF"/>
    <w:rsid w:val="000345DD"/>
    <w:rsid w:val="0003601D"/>
    <w:rsid w:val="00036804"/>
    <w:rsid w:val="00036F66"/>
    <w:rsid w:val="00037577"/>
    <w:rsid w:val="00040E32"/>
    <w:rsid w:val="000428C7"/>
    <w:rsid w:val="0004294E"/>
    <w:rsid w:val="00042F1F"/>
    <w:rsid w:val="00046A0D"/>
    <w:rsid w:val="00050206"/>
    <w:rsid w:val="000514BD"/>
    <w:rsid w:val="00052727"/>
    <w:rsid w:val="0005301B"/>
    <w:rsid w:val="00053036"/>
    <w:rsid w:val="000534B4"/>
    <w:rsid w:val="00055589"/>
    <w:rsid w:val="000562D2"/>
    <w:rsid w:val="000562FA"/>
    <w:rsid w:val="00057F28"/>
    <w:rsid w:val="000613B1"/>
    <w:rsid w:val="00064EAA"/>
    <w:rsid w:val="000657A6"/>
    <w:rsid w:val="00065D48"/>
    <w:rsid w:val="000670C7"/>
    <w:rsid w:val="00070C27"/>
    <w:rsid w:val="00070EB3"/>
    <w:rsid w:val="00071327"/>
    <w:rsid w:val="00074A7E"/>
    <w:rsid w:val="0007690E"/>
    <w:rsid w:val="00077A28"/>
    <w:rsid w:val="00080827"/>
    <w:rsid w:val="00081387"/>
    <w:rsid w:val="00082E59"/>
    <w:rsid w:val="0008608B"/>
    <w:rsid w:val="00090417"/>
    <w:rsid w:val="00090F43"/>
    <w:rsid w:val="00091B06"/>
    <w:rsid w:val="00093415"/>
    <w:rsid w:val="00096C6C"/>
    <w:rsid w:val="000A125D"/>
    <w:rsid w:val="000A29D0"/>
    <w:rsid w:val="000A399F"/>
    <w:rsid w:val="000A3A23"/>
    <w:rsid w:val="000A62B6"/>
    <w:rsid w:val="000A6592"/>
    <w:rsid w:val="000A6FB0"/>
    <w:rsid w:val="000B118E"/>
    <w:rsid w:val="000B39BC"/>
    <w:rsid w:val="000B49D3"/>
    <w:rsid w:val="000B5486"/>
    <w:rsid w:val="000B5A8E"/>
    <w:rsid w:val="000B6697"/>
    <w:rsid w:val="000C1A7C"/>
    <w:rsid w:val="000C2598"/>
    <w:rsid w:val="000C2A8D"/>
    <w:rsid w:val="000C3A8B"/>
    <w:rsid w:val="000C4F93"/>
    <w:rsid w:val="000D06D9"/>
    <w:rsid w:val="000D0D39"/>
    <w:rsid w:val="000D121A"/>
    <w:rsid w:val="000D1260"/>
    <w:rsid w:val="000D1751"/>
    <w:rsid w:val="000D2536"/>
    <w:rsid w:val="000D4018"/>
    <w:rsid w:val="000D4C37"/>
    <w:rsid w:val="000E084F"/>
    <w:rsid w:val="000E2F2C"/>
    <w:rsid w:val="000E3DE9"/>
    <w:rsid w:val="000E52DB"/>
    <w:rsid w:val="000E5C12"/>
    <w:rsid w:val="000E5D1D"/>
    <w:rsid w:val="000E69AB"/>
    <w:rsid w:val="000E7F90"/>
    <w:rsid w:val="000F1101"/>
    <w:rsid w:val="000F45C0"/>
    <w:rsid w:val="000F55E7"/>
    <w:rsid w:val="000F6C1B"/>
    <w:rsid w:val="0010073E"/>
    <w:rsid w:val="00101E04"/>
    <w:rsid w:val="00104209"/>
    <w:rsid w:val="0010450A"/>
    <w:rsid w:val="001056B2"/>
    <w:rsid w:val="001078AB"/>
    <w:rsid w:val="00110D4E"/>
    <w:rsid w:val="00114BA0"/>
    <w:rsid w:val="00116DEC"/>
    <w:rsid w:val="0011734A"/>
    <w:rsid w:val="00117AD4"/>
    <w:rsid w:val="001222DD"/>
    <w:rsid w:val="00124D96"/>
    <w:rsid w:val="00125DE1"/>
    <w:rsid w:val="0013092D"/>
    <w:rsid w:val="00132A7D"/>
    <w:rsid w:val="00133A4E"/>
    <w:rsid w:val="001345C9"/>
    <w:rsid w:val="001351F1"/>
    <w:rsid w:val="0013681A"/>
    <w:rsid w:val="0014130C"/>
    <w:rsid w:val="0014167F"/>
    <w:rsid w:val="0014182C"/>
    <w:rsid w:val="00142E0B"/>
    <w:rsid w:val="001430E8"/>
    <w:rsid w:val="001440E3"/>
    <w:rsid w:val="0014502D"/>
    <w:rsid w:val="00145E30"/>
    <w:rsid w:val="001466DF"/>
    <w:rsid w:val="00147906"/>
    <w:rsid w:val="001503A7"/>
    <w:rsid w:val="001507EC"/>
    <w:rsid w:val="001510CF"/>
    <w:rsid w:val="001515A6"/>
    <w:rsid w:val="001536F2"/>
    <w:rsid w:val="00156132"/>
    <w:rsid w:val="0015695F"/>
    <w:rsid w:val="00157C74"/>
    <w:rsid w:val="00157E87"/>
    <w:rsid w:val="00157EEF"/>
    <w:rsid w:val="00162961"/>
    <w:rsid w:val="001652FC"/>
    <w:rsid w:val="001658D8"/>
    <w:rsid w:val="001668F8"/>
    <w:rsid w:val="00166C8F"/>
    <w:rsid w:val="0017077A"/>
    <w:rsid w:val="00170D66"/>
    <w:rsid w:val="00170DC6"/>
    <w:rsid w:val="00171027"/>
    <w:rsid w:val="00171C68"/>
    <w:rsid w:val="00172395"/>
    <w:rsid w:val="00172EBC"/>
    <w:rsid w:val="0017351A"/>
    <w:rsid w:val="001740EC"/>
    <w:rsid w:val="00176674"/>
    <w:rsid w:val="001770A5"/>
    <w:rsid w:val="00177AFE"/>
    <w:rsid w:val="001806C0"/>
    <w:rsid w:val="001827C2"/>
    <w:rsid w:val="001863DF"/>
    <w:rsid w:val="00186E6F"/>
    <w:rsid w:val="00190E97"/>
    <w:rsid w:val="001916A6"/>
    <w:rsid w:val="00192E32"/>
    <w:rsid w:val="001931E0"/>
    <w:rsid w:val="0019325F"/>
    <w:rsid w:val="00197708"/>
    <w:rsid w:val="001A09D1"/>
    <w:rsid w:val="001A47EA"/>
    <w:rsid w:val="001A5E96"/>
    <w:rsid w:val="001A67E7"/>
    <w:rsid w:val="001B09D3"/>
    <w:rsid w:val="001B0C8D"/>
    <w:rsid w:val="001B2241"/>
    <w:rsid w:val="001B2471"/>
    <w:rsid w:val="001B269F"/>
    <w:rsid w:val="001B56D7"/>
    <w:rsid w:val="001B59A5"/>
    <w:rsid w:val="001B5E61"/>
    <w:rsid w:val="001B6D57"/>
    <w:rsid w:val="001C0255"/>
    <w:rsid w:val="001C0369"/>
    <w:rsid w:val="001C0F11"/>
    <w:rsid w:val="001C1959"/>
    <w:rsid w:val="001C1ABF"/>
    <w:rsid w:val="001C3706"/>
    <w:rsid w:val="001C51BA"/>
    <w:rsid w:val="001C6192"/>
    <w:rsid w:val="001C7FA6"/>
    <w:rsid w:val="001D0A92"/>
    <w:rsid w:val="001D7937"/>
    <w:rsid w:val="001E0AB7"/>
    <w:rsid w:val="001E1166"/>
    <w:rsid w:val="001E13D9"/>
    <w:rsid w:val="001E1F85"/>
    <w:rsid w:val="001E2578"/>
    <w:rsid w:val="001E2625"/>
    <w:rsid w:val="001E30C9"/>
    <w:rsid w:val="001E6511"/>
    <w:rsid w:val="001E6546"/>
    <w:rsid w:val="001E7AC3"/>
    <w:rsid w:val="001E7CAC"/>
    <w:rsid w:val="001F0AB6"/>
    <w:rsid w:val="001F2264"/>
    <w:rsid w:val="001F2A15"/>
    <w:rsid w:val="001F3449"/>
    <w:rsid w:val="001F42D5"/>
    <w:rsid w:val="001F5300"/>
    <w:rsid w:val="001F6839"/>
    <w:rsid w:val="001F6F43"/>
    <w:rsid w:val="00201C8D"/>
    <w:rsid w:val="00202FF9"/>
    <w:rsid w:val="00204860"/>
    <w:rsid w:val="00204E35"/>
    <w:rsid w:val="002065F8"/>
    <w:rsid w:val="00210F83"/>
    <w:rsid w:val="00212DC6"/>
    <w:rsid w:val="00212F65"/>
    <w:rsid w:val="00213252"/>
    <w:rsid w:val="002135EE"/>
    <w:rsid w:val="00217A13"/>
    <w:rsid w:val="00221111"/>
    <w:rsid w:val="002249A4"/>
    <w:rsid w:val="0022598B"/>
    <w:rsid w:val="00226828"/>
    <w:rsid w:val="002278BE"/>
    <w:rsid w:val="00227C57"/>
    <w:rsid w:val="00230E50"/>
    <w:rsid w:val="00231217"/>
    <w:rsid w:val="00231A97"/>
    <w:rsid w:val="0023439F"/>
    <w:rsid w:val="00234917"/>
    <w:rsid w:val="00235E11"/>
    <w:rsid w:val="00235FB5"/>
    <w:rsid w:val="002378EB"/>
    <w:rsid w:val="00240AC5"/>
    <w:rsid w:val="00241509"/>
    <w:rsid w:val="00242F43"/>
    <w:rsid w:val="0024394F"/>
    <w:rsid w:val="0024733D"/>
    <w:rsid w:val="00250DE4"/>
    <w:rsid w:val="00251F66"/>
    <w:rsid w:val="0025428E"/>
    <w:rsid w:val="002561B9"/>
    <w:rsid w:val="0026267E"/>
    <w:rsid w:val="00262CD0"/>
    <w:rsid w:val="00266A2C"/>
    <w:rsid w:val="00266E7E"/>
    <w:rsid w:val="00270C2D"/>
    <w:rsid w:val="00271874"/>
    <w:rsid w:val="00271B5E"/>
    <w:rsid w:val="00272B0B"/>
    <w:rsid w:val="00272FB0"/>
    <w:rsid w:val="002742F8"/>
    <w:rsid w:val="002743C5"/>
    <w:rsid w:val="002746B0"/>
    <w:rsid w:val="00275B67"/>
    <w:rsid w:val="002811C2"/>
    <w:rsid w:val="00282D4C"/>
    <w:rsid w:val="002845C8"/>
    <w:rsid w:val="00285900"/>
    <w:rsid w:val="00285E24"/>
    <w:rsid w:val="002879D0"/>
    <w:rsid w:val="00290BCE"/>
    <w:rsid w:val="002917F2"/>
    <w:rsid w:val="00293F96"/>
    <w:rsid w:val="002950C4"/>
    <w:rsid w:val="00297BCD"/>
    <w:rsid w:val="002A031A"/>
    <w:rsid w:val="002A0F68"/>
    <w:rsid w:val="002A19CE"/>
    <w:rsid w:val="002A1A33"/>
    <w:rsid w:val="002A33C5"/>
    <w:rsid w:val="002A5A1E"/>
    <w:rsid w:val="002A7273"/>
    <w:rsid w:val="002A7384"/>
    <w:rsid w:val="002A74AC"/>
    <w:rsid w:val="002B0519"/>
    <w:rsid w:val="002B100A"/>
    <w:rsid w:val="002B161E"/>
    <w:rsid w:val="002B1CFE"/>
    <w:rsid w:val="002B4251"/>
    <w:rsid w:val="002B4586"/>
    <w:rsid w:val="002B4FB3"/>
    <w:rsid w:val="002B7809"/>
    <w:rsid w:val="002C07A5"/>
    <w:rsid w:val="002C086E"/>
    <w:rsid w:val="002C18C4"/>
    <w:rsid w:val="002C6C13"/>
    <w:rsid w:val="002D0708"/>
    <w:rsid w:val="002D17DD"/>
    <w:rsid w:val="002D3EC0"/>
    <w:rsid w:val="002D664B"/>
    <w:rsid w:val="002D76B7"/>
    <w:rsid w:val="002E1048"/>
    <w:rsid w:val="002E3070"/>
    <w:rsid w:val="002E351B"/>
    <w:rsid w:val="002E689F"/>
    <w:rsid w:val="002E7966"/>
    <w:rsid w:val="002F1C6F"/>
    <w:rsid w:val="002F2BE3"/>
    <w:rsid w:val="002F3BD4"/>
    <w:rsid w:val="002F44B6"/>
    <w:rsid w:val="002F5012"/>
    <w:rsid w:val="0030006A"/>
    <w:rsid w:val="00300822"/>
    <w:rsid w:val="00301B17"/>
    <w:rsid w:val="00301E67"/>
    <w:rsid w:val="00303BB0"/>
    <w:rsid w:val="003062A6"/>
    <w:rsid w:val="003065A7"/>
    <w:rsid w:val="00307378"/>
    <w:rsid w:val="003125A5"/>
    <w:rsid w:val="003129B7"/>
    <w:rsid w:val="00314266"/>
    <w:rsid w:val="00315FF4"/>
    <w:rsid w:val="00316DF5"/>
    <w:rsid w:val="00316FCD"/>
    <w:rsid w:val="0032356E"/>
    <w:rsid w:val="003259CC"/>
    <w:rsid w:val="003268F7"/>
    <w:rsid w:val="0033161C"/>
    <w:rsid w:val="00332137"/>
    <w:rsid w:val="003323E8"/>
    <w:rsid w:val="00334229"/>
    <w:rsid w:val="003344C2"/>
    <w:rsid w:val="00335B0C"/>
    <w:rsid w:val="00336EB0"/>
    <w:rsid w:val="00340EEB"/>
    <w:rsid w:val="00342EE8"/>
    <w:rsid w:val="003435AC"/>
    <w:rsid w:val="00343633"/>
    <w:rsid w:val="00345197"/>
    <w:rsid w:val="00345F9E"/>
    <w:rsid w:val="00345FEB"/>
    <w:rsid w:val="00346F31"/>
    <w:rsid w:val="00347477"/>
    <w:rsid w:val="00350987"/>
    <w:rsid w:val="0035135A"/>
    <w:rsid w:val="00351F8A"/>
    <w:rsid w:val="00352BB1"/>
    <w:rsid w:val="00356154"/>
    <w:rsid w:val="00360789"/>
    <w:rsid w:val="00360E91"/>
    <w:rsid w:val="00363F2A"/>
    <w:rsid w:val="00366CDB"/>
    <w:rsid w:val="00371D1E"/>
    <w:rsid w:val="00373033"/>
    <w:rsid w:val="00373570"/>
    <w:rsid w:val="00374588"/>
    <w:rsid w:val="00374903"/>
    <w:rsid w:val="00376526"/>
    <w:rsid w:val="00376A5A"/>
    <w:rsid w:val="003771B0"/>
    <w:rsid w:val="00382570"/>
    <w:rsid w:val="0038365E"/>
    <w:rsid w:val="003837DC"/>
    <w:rsid w:val="00384EC2"/>
    <w:rsid w:val="00385D60"/>
    <w:rsid w:val="0039416C"/>
    <w:rsid w:val="00396084"/>
    <w:rsid w:val="003A1254"/>
    <w:rsid w:val="003A398B"/>
    <w:rsid w:val="003A39E1"/>
    <w:rsid w:val="003A669A"/>
    <w:rsid w:val="003A6733"/>
    <w:rsid w:val="003A7724"/>
    <w:rsid w:val="003A7927"/>
    <w:rsid w:val="003A7A8A"/>
    <w:rsid w:val="003B0976"/>
    <w:rsid w:val="003B10AF"/>
    <w:rsid w:val="003B15B5"/>
    <w:rsid w:val="003B2ADA"/>
    <w:rsid w:val="003B2E39"/>
    <w:rsid w:val="003B3050"/>
    <w:rsid w:val="003B3811"/>
    <w:rsid w:val="003B64C4"/>
    <w:rsid w:val="003B6891"/>
    <w:rsid w:val="003B72D6"/>
    <w:rsid w:val="003B7B80"/>
    <w:rsid w:val="003C1D57"/>
    <w:rsid w:val="003C2D44"/>
    <w:rsid w:val="003C2FD8"/>
    <w:rsid w:val="003C464C"/>
    <w:rsid w:val="003D0E13"/>
    <w:rsid w:val="003D4220"/>
    <w:rsid w:val="003D63BD"/>
    <w:rsid w:val="003E0289"/>
    <w:rsid w:val="003E551C"/>
    <w:rsid w:val="003E58B9"/>
    <w:rsid w:val="003E5D09"/>
    <w:rsid w:val="003E6404"/>
    <w:rsid w:val="003F396B"/>
    <w:rsid w:val="003F7DA8"/>
    <w:rsid w:val="00400710"/>
    <w:rsid w:val="004016C8"/>
    <w:rsid w:val="00401A00"/>
    <w:rsid w:val="00401F84"/>
    <w:rsid w:val="00402469"/>
    <w:rsid w:val="00402EF9"/>
    <w:rsid w:val="00403919"/>
    <w:rsid w:val="004043B0"/>
    <w:rsid w:val="00405B67"/>
    <w:rsid w:val="00406DCC"/>
    <w:rsid w:val="00407303"/>
    <w:rsid w:val="00407D3B"/>
    <w:rsid w:val="00410334"/>
    <w:rsid w:val="00412531"/>
    <w:rsid w:val="00412DBE"/>
    <w:rsid w:val="004138B1"/>
    <w:rsid w:val="0041483A"/>
    <w:rsid w:val="00415261"/>
    <w:rsid w:val="0041527F"/>
    <w:rsid w:val="00416141"/>
    <w:rsid w:val="0041656D"/>
    <w:rsid w:val="00416574"/>
    <w:rsid w:val="004165E0"/>
    <w:rsid w:val="00420057"/>
    <w:rsid w:val="00421987"/>
    <w:rsid w:val="0042271A"/>
    <w:rsid w:val="00422A62"/>
    <w:rsid w:val="0042332B"/>
    <w:rsid w:val="00423797"/>
    <w:rsid w:val="00424540"/>
    <w:rsid w:val="0042763B"/>
    <w:rsid w:val="00432162"/>
    <w:rsid w:val="00432DE0"/>
    <w:rsid w:val="00435004"/>
    <w:rsid w:val="00436A98"/>
    <w:rsid w:val="00437F78"/>
    <w:rsid w:val="00440332"/>
    <w:rsid w:val="00441522"/>
    <w:rsid w:val="00441FD7"/>
    <w:rsid w:val="00442E0A"/>
    <w:rsid w:val="00444249"/>
    <w:rsid w:val="004445F5"/>
    <w:rsid w:val="004458A3"/>
    <w:rsid w:val="00445B92"/>
    <w:rsid w:val="00445F9E"/>
    <w:rsid w:val="00446B83"/>
    <w:rsid w:val="00446E50"/>
    <w:rsid w:val="0045150F"/>
    <w:rsid w:val="00455C48"/>
    <w:rsid w:val="00461CD4"/>
    <w:rsid w:val="00463919"/>
    <w:rsid w:val="00463BE8"/>
    <w:rsid w:val="0046450A"/>
    <w:rsid w:val="0046773A"/>
    <w:rsid w:val="00470D9F"/>
    <w:rsid w:val="00472F2B"/>
    <w:rsid w:val="00473F5B"/>
    <w:rsid w:val="00474D12"/>
    <w:rsid w:val="00474D5B"/>
    <w:rsid w:val="00476F8F"/>
    <w:rsid w:val="00480E7D"/>
    <w:rsid w:val="00484A93"/>
    <w:rsid w:val="00485642"/>
    <w:rsid w:val="00486425"/>
    <w:rsid w:val="00486FF1"/>
    <w:rsid w:val="00487915"/>
    <w:rsid w:val="00490047"/>
    <w:rsid w:val="00490E98"/>
    <w:rsid w:val="00493863"/>
    <w:rsid w:val="0049442F"/>
    <w:rsid w:val="00496388"/>
    <w:rsid w:val="00497083"/>
    <w:rsid w:val="00497451"/>
    <w:rsid w:val="00497C8E"/>
    <w:rsid w:val="00497E8D"/>
    <w:rsid w:val="004A2118"/>
    <w:rsid w:val="004A3264"/>
    <w:rsid w:val="004A4197"/>
    <w:rsid w:val="004B3A03"/>
    <w:rsid w:val="004B42A4"/>
    <w:rsid w:val="004B4343"/>
    <w:rsid w:val="004B69A7"/>
    <w:rsid w:val="004B6AB8"/>
    <w:rsid w:val="004B6FD0"/>
    <w:rsid w:val="004B7BA0"/>
    <w:rsid w:val="004C3BAD"/>
    <w:rsid w:val="004C4E39"/>
    <w:rsid w:val="004C500E"/>
    <w:rsid w:val="004C5512"/>
    <w:rsid w:val="004C561D"/>
    <w:rsid w:val="004D14E0"/>
    <w:rsid w:val="004D1805"/>
    <w:rsid w:val="004D4FA1"/>
    <w:rsid w:val="004D60A8"/>
    <w:rsid w:val="004D6D45"/>
    <w:rsid w:val="004D7820"/>
    <w:rsid w:val="004D7E81"/>
    <w:rsid w:val="004E09A7"/>
    <w:rsid w:val="004E30CC"/>
    <w:rsid w:val="004E33F0"/>
    <w:rsid w:val="004E3B8B"/>
    <w:rsid w:val="004E3FC0"/>
    <w:rsid w:val="004E44ED"/>
    <w:rsid w:val="004E47E1"/>
    <w:rsid w:val="004E4C7C"/>
    <w:rsid w:val="004E7BFE"/>
    <w:rsid w:val="004F00E8"/>
    <w:rsid w:val="004F1278"/>
    <w:rsid w:val="004F29CC"/>
    <w:rsid w:val="004F33A8"/>
    <w:rsid w:val="004F4D83"/>
    <w:rsid w:val="004F4F32"/>
    <w:rsid w:val="004F503E"/>
    <w:rsid w:val="004F55B0"/>
    <w:rsid w:val="004F5BB5"/>
    <w:rsid w:val="004F5E10"/>
    <w:rsid w:val="004F66BF"/>
    <w:rsid w:val="004F6814"/>
    <w:rsid w:val="00500482"/>
    <w:rsid w:val="005019EB"/>
    <w:rsid w:val="00502F6C"/>
    <w:rsid w:val="00505146"/>
    <w:rsid w:val="005102AB"/>
    <w:rsid w:val="00510BCE"/>
    <w:rsid w:val="00511ACA"/>
    <w:rsid w:val="00512084"/>
    <w:rsid w:val="005124C2"/>
    <w:rsid w:val="00515DF3"/>
    <w:rsid w:val="00520004"/>
    <w:rsid w:val="00520F5D"/>
    <w:rsid w:val="00521115"/>
    <w:rsid w:val="00522127"/>
    <w:rsid w:val="0052264A"/>
    <w:rsid w:val="0052531D"/>
    <w:rsid w:val="005261B0"/>
    <w:rsid w:val="005268BF"/>
    <w:rsid w:val="005277BE"/>
    <w:rsid w:val="00531757"/>
    <w:rsid w:val="00531A0A"/>
    <w:rsid w:val="005359F0"/>
    <w:rsid w:val="00537A12"/>
    <w:rsid w:val="0054034D"/>
    <w:rsid w:val="00544340"/>
    <w:rsid w:val="005464D8"/>
    <w:rsid w:val="00546C6F"/>
    <w:rsid w:val="00547760"/>
    <w:rsid w:val="00550F31"/>
    <w:rsid w:val="00550FBE"/>
    <w:rsid w:val="00554E0B"/>
    <w:rsid w:val="0056434F"/>
    <w:rsid w:val="005645E7"/>
    <w:rsid w:val="00564FB9"/>
    <w:rsid w:val="0056500E"/>
    <w:rsid w:val="00565039"/>
    <w:rsid w:val="00567CE9"/>
    <w:rsid w:val="005713D6"/>
    <w:rsid w:val="0057332B"/>
    <w:rsid w:val="0057551A"/>
    <w:rsid w:val="00581119"/>
    <w:rsid w:val="00581329"/>
    <w:rsid w:val="005817B0"/>
    <w:rsid w:val="00584EE4"/>
    <w:rsid w:val="00585318"/>
    <w:rsid w:val="00585FD1"/>
    <w:rsid w:val="00587F8E"/>
    <w:rsid w:val="00590AAA"/>
    <w:rsid w:val="00591FF1"/>
    <w:rsid w:val="00592808"/>
    <w:rsid w:val="00592AA9"/>
    <w:rsid w:val="00594966"/>
    <w:rsid w:val="0059629D"/>
    <w:rsid w:val="0059793D"/>
    <w:rsid w:val="00597C96"/>
    <w:rsid w:val="005A21D5"/>
    <w:rsid w:val="005A5F45"/>
    <w:rsid w:val="005A6604"/>
    <w:rsid w:val="005B141F"/>
    <w:rsid w:val="005B1BF5"/>
    <w:rsid w:val="005B23B9"/>
    <w:rsid w:val="005B2E0D"/>
    <w:rsid w:val="005B2F67"/>
    <w:rsid w:val="005B3B26"/>
    <w:rsid w:val="005B4A6F"/>
    <w:rsid w:val="005B6BD4"/>
    <w:rsid w:val="005B7671"/>
    <w:rsid w:val="005C06FA"/>
    <w:rsid w:val="005C0E4A"/>
    <w:rsid w:val="005C2AA7"/>
    <w:rsid w:val="005C342A"/>
    <w:rsid w:val="005C497D"/>
    <w:rsid w:val="005C5D99"/>
    <w:rsid w:val="005C60CC"/>
    <w:rsid w:val="005C6568"/>
    <w:rsid w:val="005C65DC"/>
    <w:rsid w:val="005D5555"/>
    <w:rsid w:val="005D632D"/>
    <w:rsid w:val="005D67CE"/>
    <w:rsid w:val="005D78D8"/>
    <w:rsid w:val="005E1D6A"/>
    <w:rsid w:val="005E2DEF"/>
    <w:rsid w:val="005E3F3F"/>
    <w:rsid w:val="005E46EC"/>
    <w:rsid w:val="005E64DA"/>
    <w:rsid w:val="005E7FC6"/>
    <w:rsid w:val="005F0177"/>
    <w:rsid w:val="005F24EA"/>
    <w:rsid w:val="005F55DC"/>
    <w:rsid w:val="005F5AC1"/>
    <w:rsid w:val="005F5BCA"/>
    <w:rsid w:val="005F6C06"/>
    <w:rsid w:val="00601801"/>
    <w:rsid w:val="00602133"/>
    <w:rsid w:val="00603A41"/>
    <w:rsid w:val="00605659"/>
    <w:rsid w:val="00606BC7"/>
    <w:rsid w:val="00606C45"/>
    <w:rsid w:val="006118C2"/>
    <w:rsid w:val="0061403C"/>
    <w:rsid w:val="00614A0E"/>
    <w:rsid w:val="00617A15"/>
    <w:rsid w:val="00617D03"/>
    <w:rsid w:val="00621F65"/>
    <w:rsid w:val="00622053"/>
    <w:rsid w:val="00622D5D"/>
    <w:rsid w:val="006234E9"/>
    <w:rsid w:val="0062381D"/>
    <w:rsid w:val="006240B8"/>
    <w:rsid w:val="00624521"/>
    <w:rsid w:val="00626DF1"/>
    <w:rsid w:val="006272AC"/>
    <w:rsid w:val="00627915"/>
    <w:rsid w:val="00627C55"/>
    <w:rsid w:val="006318A8"/>
    <w:rsid w:val="00632C25"/>
    <w:rsid w:val="00632D9A"/>
    <w:rsid w:val="0063773F"/>
    <w:rsid w:val="0064122E"/>
    <w:rsid w:val="00646138"/>
    <w:rsid w:val="00647284"/>
    <w:rsid w:val="006529EB"/>
    <w:rsid w:val="00654764"/>
    <w:rsid w:val="00654F7D"/>
    <w:rsid w:val="00655336"/>
    <w:rsid w:val="0066217F"/>
    <w:rsid w:val="00664E3D"/>
    <w:rsid w:val="006653E5"/>
    <w:rsid w:val="00667E44"/>
    <w:rsid w:val="006701E1"/>
    <w:rsid w:val="00670369"/>
    <w:rsid w:val="00671192"/>
    <w:rsid w:val="00673E98"/>
    <w:rsid w:val="00674861"/>
    <w:rsid w:val="00674D70"/>
    <w:rsid w:val="00676013"/>
    <w:rsid w:val="00680492"/>
    <w:rsid w:val="006808E8"/>
    <w:rsid w:val="00683A43"/>
    <w:rsid w:val="006845DE"/>
    <w:rsid w:val="00686332"/>
    <w:rsid w:val="00691742"/>
    <w:rsid w:val="006922E9"/>
    <w:rsid w:val="006924A7"/>
    <w:rsid w:val="00696228"/>
    <w:rsid w:val="00696784"/>
    <w:rsid w:val="00696F3D"/>
    <w:rsid w:val="006A01AD"/>
    <w:rsid w:val="006A06A6"/>
    <w:rsid w:val="006A193B"/>
    <w:rsid w:val="006A1C43"/>
    <w:rsid w:val="006A2B84"/>
    <w:rsid w:val="006A3716"/>
    <w:rsid w:val="006A72C6"/>
    <w:rsid w:val="006A7D90"/>
    <w:rsid w:val="006A7E7E"/>
    <w:rsid w:val="006B22F8"/>
    <w:rsid w:val="006B2B83"/>
    <w:rsid w:val="006B48C2"/>
    <w:rsid w:val="006B5775"/>
    <w:rsid w:val="006B57CA"/>
    <w:rsid w:val="006C17A4"/>
    <w:rsid w:val="006C1D9A"/>
    <w:rsid w:val="006C402B"/>
    <w:rsid w:val="006C7AA7"/>
    <w:rsid w:val="006D01B3"/>
    <w:rsid w:val="006D0517"/>
    <w:rsid w:val="006D1373"/>
    <w:rsid w:val="006D25E0"/>
    <w:rsid w:val="006D397B"/>
    <w:rsid w:val="006D3CD3"/>
    <w:rsid w:val="006D5841"/>
    <w:rsid w:val="006D7869"/>
    <w:rsid w:val="006E0EC3"/>
    <w:rsid w:val="006E1428"/>
    <w:rsid w:val="006E1BFF"/>
    <w:rsid w:val="006E2B5F"/>
    <w:rsid w:val="006E347E"/>
    <w:rsid w:val="006E3C21"/>
    <w:rsid w:val="006E444C"/>
    <w:rsid w:val="006F003C"/>
    <w:rsid w:val="006F2863"/>
    <w:rsid w:val="006F3470"/>
    <w:rsid w:val="006F37FB"/>
    <w:rsid w:val="006F4D95"/>
    <w:rsid w:val="006F5AD2"/>
    <w:rsid w:val="00704DAD"/>
    <w:rsid w:val="00704DD0"/>
    <w:rsid w:val="00707672"/>
    <w:rsid w:val="00707BA0"/>
    <w:rsid w:val="00710673"/>
    <w:rsid w:val="0071213E"/>
    <w:rsid w:val="00712993"/>
    <w:rsid w:val="00712E1E"/>
    <w:rsid w:val="00713424"/>
    <w:rsid w:val="007140F9"/>
    <w:rsid w:val="00714312"/>
    <w:rsid w:val="007149A0"/>
    <w:rsid w:val="00715066"/>
    <w:rsid w:val="00720226"/>
    <w:rsid w:val="0072043C"/>
    <w:rsid w:val="00720FF1"/>
    <w:rsid w:val="007212E4"/>
    <w:rsid w:val="00722FD5"/>
    <w:rsid w:val="00723BDE"/>
    <w:rsid w:val="00723D3A"/>
    <w:rsid w:val="00725B2A"/>
    <w:rsid w:val="00725EE9"/>
    <w:rsid w:val="00726424"/>
    <w:rsid w:val="007337E1"/>
    <w:rsid w:val="00734D57"/>
    <w:rsid w:val="00735331"/>
    <w:rsid w:val="00736402"/>
    <w:rsid w:val="00740880"/>
    <w:rsid w:val="00740F12"/>
    <w:rsid w:val="00741EF8"/>
    <w:rsid w:val="007424DC"/>
    <w:rsid w:val="007424E5"/>
    <w:rsid w:val="00743ABB"/>
    <w:rsid w:val="007440F7"/>
    <w:rsid w:val="0074454B"/>
    <w:rsid w:val="00745494"/>
    <w:rsid w:val="007503F3"/>
    <w:rsid w:val="007523C0"/>
    <w:rsid w:val="00754921"/>
    <w:rsid w:val="00764906"/>
    <w:rsid w:val="0076696B"/>
    <w:rsid w:val="00770DD9"/>
    <w:rsid w:val="00771847"/>
    <w:rsid w:val="0077215D"/>
    <w:rsid w:val="00773348"/>
    <w:rsid w:val="00773467"/>
    <w:rsid w:val="007739D0"/>
    <w:rsid w:val="00774206"/>
    <w:rsid w:val="007745C2"/>
    <w:rsid w:val="00774619"/>
    <w:rsid w:val="00774B4C"/>
    <w:rsid w:val="00775FA5"/>
    <w:rsid w:val="007815BC"/>
    <w:rsid w:val="00783454"/>
    <w:rsid w:val="00785B45"/>
    <w:rsid w:val="007865EC"/>
    <w:rsid w:val="00787B8E"/>
    <w:rsid w:val="00790A3D"/>
    <w:rsid w:val="00792822"/>
    <w:rsid w:val="00792B80"/>
    <w:rsid w:val="007935B6"/>
    <w:rsid w:val="00793A88"/>
    <w:rsid w:val="00794630"/>
    <w:rsid w:val="0079592F"/>
    <w:rsid w:val="007A26CC"/>
    <w:rsid w:val="007A2741"/>
    <w:rsid w:val="007A29DB"/>
    <w:rsid w:val="007A390C"/>
    <w:rsid w:val="007A448C"/>
    <w:rsid w:val="007A7013"/>
    <w:rsid w:val="007B148C"/>
    <w:rsid w:val="007B3677"/>
    <w:rsid w:val="007B3B98"/>
    <w:rsid w:val="007B4FFA"/>
    <w:rsid w:val="007B66E9"/>
    <w:rsid w:val="007B76F7"/>
    <w:rsid w:val="007C0BA8"/>
    <w:rsid w:val="007C2B69"/>
    <w:rsid w:val="007C3F00"/>
    <w:rsid w:val="007C6127"/>
    <w:rsid w:val="007C712F"/>
    <w:rsid w:val="007D3246"/>
    <w:rsid w:val="007D58F3"/>
    <w:rsid w:val="007E172A"/>
    <w:rsid w:val="007E17AB"/>
    <w:rsid w:val="007E7AB8"/>
    <w:rsid w:val="007F239D"/>
    <w:rsid w:val="007F3CF1"/>
    <w:rsid w:val="007F4185"/>
    <w:rsid w:val="007F4960"/>
    <w:rsid w:val="007F4D5B"/>
    <w:rsid w:val="007F75AB"/>
    <w:rsid w:val="0080064B"/>
    <w:rsid w:val="008015ED"/>
    <w:rsid w:val="00802E4A"/>
    <w:rsid w:val="008040D2"/>
    <w:rsid w:val="0080536E"/>
    <w:rsid w:val="008066E1"/>
    <w:rsid w:val="008108EE"/>
    <w:rsid w:val="00812DB4"/>
    <w:rsid w:val="008132E4"/>
    <w:rsid w:val="008142F8"/>
    <w:rsid w:val="00815F76"/>
    <w:rsid w:val="00820A1B"/>
    <w:rsid w:val="00821291"/>
    <w:rsid w:val="0082173C"/>
    <w:rsid w:val="008232BB"/>
    <w:rsid w:val="008242EE"/>
    <w:rsid w:val="00824C74"/>
    <w:rsid w:val="00825DC7"/>
    <w:rsid w:val="008300BB"/>
    <w:rsid w:val="00832E77"/>
    <w:rsid w:val="00834503"/>
    <w:rsid w:val="00834F74"/>
    <w:rsid w:val="00835221"/>
    <w:rsid w:val="00835CD9"/>
    <w:rsid w:val="00835DE6"/>
    <w:rsid w:val="00837A8A"/>
    <w:rsid w:val="00842085"/>
    <w:rsid w:val="00842AE1"/>
    <w:rsid w:val="00843471"/>
    <w:rsid w:val="00843BD0"/>
    <w:rsid w:val="00843C1C"/>
    <w:rsid w:val="0084422F"/>
    <w:rsid w:val="0084626D"/>
    <w:rsid w:val="00850E3C"/>
    <w:rsid w:val="00851F4B"/>
    <w:rsid w:val="0085213A"/>
    <w:rsid w:val="008522D5"/>
    <w:rsid w:val="00854106"/>
    <w:rsid w:val="008566C7"/>
    <w:rsid w:val="00856F68"/>
    <w:rsid w:val="00857CCD"/>
    <w:rsid w:val="00860393"/>
    <w:rsid w:val="00861326"/>
    <w:rsid w:val="00861B18"/>
    <w:rsid w:val="00862427"/>
    <w:rsid w:val="00864E3D"/>
    <w:rsid w:val="00865B27"/>
    <w:rsid w:val="0086702F"/>
    <w:rsid w:val="00872DEB"/>
    <w:rsid w:val="0087312F"/>
    <w:rsid w:val="0087452D"/>
    <w:rsid w:val="00874C9A"/>
    <w:rsid w:val="00874D22"/>
    <w:rsid w:val="008773E5"/>
    <w:rsid w:val="00877D36"/>
    <w:rsid w:val="00880AF2"/>
    <w:rsid w:val="00890D84"/>
    <w:rsid w:val="00890EC4"/>
    <w:rsid w:val="0089171C"/>
    <w:rsid w:val="00892B80"/>
    <w:rsid w:val="008A0345"/>
    <w:rsid w:val="008A0665"/>
    <w:rsid w:val="008A2A11"/>
    <w:rsid w:val="008A2AB3"/>
    <w:rsid w:val="008A5632"/>
    <w:rsid w:val="008A6B89"/>
    <w:rsid w:val="008A6BDC"/>
    <w:rsid w:val="008A7636"/>
    <w:rsid w:val="008B0111"/>
    <w:rsid w:val="008B1BA2"/>
    <w:rsid w:val="008B3169"/>
    <w:rsid w:val="008B3913"/>
    <w:rsid w:val="008B3B13"/>
    <w:rsid w:val="008B5779"/>
    <w:rsid w:val="008B788D"/>
    <w:rsid w:val="008B7E56"/>
    <w:rsid w:val="008C217E"/>
    <w:rsid w:val="008C366B"/>
    <w:rsid w:val="008C741D"/>
    <w:rsid w:val="008C7FE3"/>
    <w:rsid w:val="008D0665"/>
    <w:rsid w:val="008D0D98"/>
    <w:rsid w:val="008D0EE1"/>
    <w:rsid w:val="008D35EC"/>
    <w:rsid w:val="008D5EF9"/>
    <w:rsid w:val="008D68E4"/>
    <w:rsid w:val="008D6AD2"/>
    <w:rsid w:val="008D6C13"/>
    <w:rsid w:val="008D7367"/>
    <w:rsid w:val="008E0022"/>
    <w:rsid w:val="008E0969"/>
    <w:rsid w:val="008E0ABC"/>
    <w:rsid w:val="008E2D8D"/>
    <w:rsid w:val="008E34EB"/>
    <w:rsid w:val="008E563D"/>
    <w:rsid w:val="008E6C03"/>
    <w:rsid w:val="008F1626"/>
    <w:rsid w:val="008F1AAF"/>
    <w:rsid w:val="008F1E81"/>
    <w:rsid w:val="008F202F"/>
    <w:rsid w:val="008F2F2A"/>
    <w:rsid w:val="008F3927"/>
    <w:rsid w:val="008F4FA6"/>
    <w:rsid w:val="008F5931"/>
    <w:rsid w:val="008F6B33"/>
    <w:rsid w:val="00903EB2"/>
    <w:rsid w:val="0090474C"/>
    <w:rsid w:val="00905325"/>
    <w:rsid w:val="009067DC"/>
    <w:rsid w:val="009106B0"/>
    <w:rsid w:val="00911338"/>
    <w:rsid w:val="00911FF4"/>
    <w:rsid w:val="009121F5"/>
    <w:rsid w:val="00912288"/>
    <w:rsid w:val="009125C0"/>
    <w:rsid w:val="009139F9"/>
    <w:rsid w:val="00916D54"/>
    <w:rsid w:val="00917295"/>
    <w:rsid w:val="00917721"/>
    <w:rsid w:val="009218EF"/>
    <w:rsid w:val="0092415A"/>
    <w:rsid w:val="0092417F"/>
    <w:rsid w:val="0092784C"/>
    <w:rsid w:val="009278D2"/>
    <w:rsid w:val="009305FF"/>
    <w:rsid w:val="00931D05"/>
    <w:rsid w:val="00932089"/>
    <w:rsid w:val="0093330D"/>
    <w:rsid w:val="009352CF"/>
    <w:rsid w:val="009375C9"/>
    <w:rsid w:val="009427AA"/>
    <w:rsid w:val="009427AF"/>
    <w:rsid w:val="00942AD9"/>
    <w:rsid w:val="00943444"/>
    <w:rsid w:val="009441C2"/>
    <w:rsid w:val="00944CA3"/>
    <w:rsid w:val="009469B2"/>
    <w:rsid w:val="00947414"/>
    <w:rsid w:val="009508D4"/>
    <w:rsid w:val="00951576"/>
    <w:rsid w:val="00951AD8"/>
    <w:rsid w:val="0095237A"/>
    <w:rsid w:val="00953040"/>
    <w:rsid w:val="00953F22"/>
    <w:rsid w:val="00953F5D"/>
    <w:rsid w:val="009546C2"/>
    <w:rsid w:val="00955864"/>
    <w:rsid w:val="0095659B"/>
    <w:rsid w:val="00960AC7"/>
    <w:rsid w:val="009629CC"/>
    <w:rsid w:val="009639BD"/>
    <w:rsid w:val="00963E18"/>
    <w:rsid w:val="009664EF"/>
    <w:rsid w:val="0097156E"/>
    <w:rsid w:val="00971C90"/>
    <w:rsid w:val="009733C1"/>
    <w:rsid w:val="00976B3D"/>
    <w:rsid w:val="00977DD8"/>
    <w:rsid w:val="009812E8"/>
    <w:rsid w:val="00983D9C"/>
    <w:rsid w:val="009878FA"/>
    <w:rsid w:val="00987D00"/>
    <w:rsid w:val="00994A14"/>
    <w:rsid w:val="0099715D"/>
    <w:rsid w:val="009A39B8"/>
    <w:rsid w:val="009A412F"/>
    <w:rsid w:val="009A5AB7"/>
    <w:rsid w:val="009A74DE"/>
    <w:rsid w:val="009A7B47"/>
    <w:rsid w:val="009B22DE"/>
    <w:rsid w:val="009B2CF5"/>
    <w:rsid w:val="009B729D"/>
    <w:rsid w:val="009C23C3"/>
    <w:rsid w:val="009C3510"/>
    <w:rsid w:val="009C47DF"/>
    <w:rsid w:val="009C587F"/>
    <w:rsid w:val="009C7E61"/>
    <w:rsid w:val="009D11B5"/>
    <w:rsid w:val="009D239C"/>
    <w:rsid w:val="009E078F"/>
    <w:rsid w:val="009E0E4E"/>
    <w:rsid w:val="009E0E77"/>
    <w:rsid w:val="009E1BDA"/>
    <w:rsid w:val="009E25A0"/>
    <w:rsid w:val="009E3D1E"/>
    <w:rsid w:val="009E5018"/>
    <w:rsid w:val="009E69FD"/>
    <w:rsid w:val="009E70AC"/>
    <w:rsid w:val="009F0367"/>
    <w:rsid w:val="009F1B52"/>
    <w:rsid w:val="009F3A87"/>
    <w:rsid w:val="009F3F47"/>
    <w:rsid w:val="009F4689"/>
    <w:rsid w:val="009F53E2"/>
    <w:rsid w:val="009F67A3"/>
    <w:rsid w:val="00A0041E"/>
    <w:rsid w:val="00A05484"/>
    <w:rsid w:val="00A0614E"/>
    <w:rsid w:val="00A06646"/>
    <w:rsid w:val="00A07756"/>
    <w:rsid w:val="00A122AB"/>
    <w:rsid w:val="00A14D80"/>
    <w:rsid w:val="00A16F26"/>
    <w:rsid w:val="00A209E1"/>
    <w:rsid w:val="00A21E56"/>
    <w:rsid w:val="00A23D4D"/>
    <w:rsid w:val="00A27E49"/>
    <w:rsid w:val="00A30A64"/>
    <w:rsid w:val="00A33D8F"/>
    <w:rsid w:val="00A34D12"/>
    <w:rsid w:val="00A34F97"/>
    <w:rsid w:val="00A34FCB"/>
    <w:rsid w:val="00A37857"/>
    <w:rsid w:val="00A37F47"/>
    <w:rsid w:val="00A405FC"/>
    <w:rsid w:val="00A40CE6"/>
    <w:rsid w:val="00A41274"/>
    <w:rsid w:val="00A41EC3"/>
    <w:rsid w:val="00A4261E"/>
    <w:rsid w:val="00A4284D"/>
    <w:rsid w:val="00A43919"/>
    <w:rsid w:val="00A47649"/>
    <w:rsid w:val="00A512C4"/>
    <w:rsid w:val="00A52DE9"/>
    <w:rsid w:val="00A535D4"/>
    <w:rsid w:val="00A54063"/>
    <w:rsid w:val="00A55EE0"/>
    <w:rsid w:val="00A56B18"/>
    <w:rsid w:val="00A57BEE"/>
    <w:rsid w:val="00A57F91"/>
    <w:rsid w:val="00A62FA3"/>
    <w:rsid w:val="00A63345"/>
    <w:rsid w:val="00A63832"/>
    <w:rsid w:val="00A645E5"/>
    <w:rsid w:val="00A64AB9"/>
    <w:rsid w:val="00A666AF"/>
    <w:rsid w:val="00A70023"/>
    <w:rsid w:val="00A7365A"/>
    <w:rsid w:val="00A74736"/>
    <w:rsid w:val="00A74C3E"/>
    <w:rsid w:val="00A74C64"/>
    <w:rsid w:val="00A77E9B"/>
    <w:rsid w:val="00A81244"/>
    <w:rsid w:val="00A827E1"/>
    <w:rsid w:val="00A82FB1"/>
    <w:rsid w:val="00A83FDA"/>
    <w:rsid w:val="00A845F3"/>
    <w:rsid w:val="00A8547D"/>
    <w:rsid w:val="00A86B00"/>
    <w:rsid w:val="00A9047E"/>
    <w:rsid w:val="00A911F2"/>
    <w:rsid w:val="00A946C6"/>
    <w:rsid w:val="00A94BCC"/>
    <w:rsid w:val="00A94E3F"/>
    <w:rsid w:val="00A94F3A"/>
    <w:rsid w:val="00A95D79"/>
    <w:rsid w:val="00AA09A3"/>
    <w:rsid w:val="00AA1CF7"/>
    <w:rsid w:val="00AA1E5D"/>
    <w:rsid w:val="00AA20AC"/>
    <w:rsid w:val="00AA2167"/>
    <w:rsid w:val="00AA295A"/>
    <w:rsid w:val="00AA7CB2"/>
    <w:rsid w:val="00AB23E2"/>
    <w:rsid w:val="00AB2B87"/>
    <w:rsid w:val="00AB4B69"/>
    <w:rsid w:val="00AB5F42"/>
    <w:rsid w:val="00AC1F2B"/>
    <w:rsid w:val="00AC1F72"/>
    <w:rsid w:val="00AC28C8"/>
    <w:rsid w:val="00AC4678"/>
    <w:rsid w:val="00AC47E7"/>
    <w:rsid w:val="00AC72B4"/>
    <w:rsid w:val="00AD1105"/>
    <w:rsid w:val="00AD3DA5"/>
    <w:rsid w:val="00AD6483"/>
    <w:rsid w:val="00AE0FBA"/>
    <w:rsid w:val="00AE198C"/>
    <w:rsid w:val="00AE3F32"/>
    <w:rsid w:val="00AE497A"/>
    <w:rsid w:val="00AE533D"/>
    <w:rsid w:val="00AE685E"/>
    <w:rsid w:val="00AE6F7C"/>
    <w:rsid w:val="00AF02F5"/>
    <w:rsid w:val="00AF0A4F"/>
    <w:rsid w:val="00AF2764"/>
    <w:rsid w:val="00AF2D85"/>
    <w:rsid w:val="00AF5963"/>
    <w:rsid w:val="00AF5B0A"/>
    <w:rsid w:val="00AF63BF"/>
    <w:rsid w:val="00B00BB1"/>
    <w:rsid w:val="00B00D58"/>
    <w:rsid w:val="00B00E27"/>
    <w:rsid w:val="00B0516F"/>
    <w:rsid w:val="00B059AC"/>
    <w:rsid w:val="00B06815"/>
    <w:rsid w:val="00B077BC"/>
    <w:rsid w:val="00B10A8B"/>
    <w:rsid w:val="00B10D6B"/>
    <w:rsid w:val="00B10E5D"/>
    <w:rsid w:val="00B1156A"/>
    <w:rsid w:val="00B12041"/>
    <w:rsid w:val="00B149D1"/>
    <w:rsid w:val="00B17E1E"/>
    <w:rsid w:val="00B218D6"/>
    <w:rsid w:val="00B21A9E"/>
    <w:rsid w:val="00B22B35"/>
    <w:rsid w:val="00B22DD4"/>
    <w:rsid w:val="00B25458"/>
    <w:rsid w:val="00B2619E"/>
    <w:rsid w:val="00B262E8"/>
    <w:rsid w:val="00B26389"/>
    <w:rsid w:val="00B26490"/>
    <w:rsid w:val="00B27475"/>
    <w:rsid w:val="00B31B82"/>
    <w:rsid w:val="00B31EEB"/>
    <w:rsid w:val="00B31FA2"/>
    <w:rsid w:val="00B33B20"/>
    <w:rsid w:val="00B35F07"/>
    <w:rsid w:val="00B35FDC"/>
    <w:rsid w:val="00B36270"/>
    <w:rsid w:val="00B36774"/>
    <w:rsid w:val="00B37E9A"/>
    <w:rsid w:val="00B4083D"/>
    <w:rsid w:val="00B41237"/>
    <w:rsid w:val="00B422D4"/>
    <w:rsid w:val="00B43CF1"/>
    <w:rsid w:val="00B44528"/>
    <w:rsid w:val="00B465DD"/>
    <w:rsid w:val="00B479CA"/>
    <w:rsid w:val="00B51968"/>
    <w:rsid w:val="00B54512"/>
    <w:rsid w:val="00B6089B"/>
    <w:rsid w:val="00B610D9"/>
    <w:rsid w:val="00B61E2F"/>
    <w:rsid w:val="00B64001"/>
    <w:rsid w:val="00B64703"/>
    <w:rsid w:val="00B6497C"/>
    <w:rsid w:val="00B66B6F"/>
    <w:rsid w:val="00B67670"/>
    <w:rsid w:val="00B70EBA"/>
    <w:rsid w:val="00B71A60"/>
    <w:rsid w:val="00B71BE9"/>
    <w:rsid w:val="00B72753"/>
    <w:rsid w:val="00B75734"/>
    <w:rsid w:val="00B80206"/>
    <w:rsid w:val="00B80384"/>
    <w:rsid w:val="00B80D9E"/>
    <w:rsid w:val="00B81419"/>
    <w:rsid w:val="00B8259D"/>
    <w:rsid w:val="00B82EC6"/>
    <w:rsid w:val="00B8326C"/>
    <w:rsid w:val="00B86445"/>
    <w:rsid w:val="00B87166"/>
    <w:rsid w:val="00B875B0"/>
    <w:rsid w:val="00B90A29"/>
    <w:rsid w:val="00B924B6"/>
    <w:rsid w:val="00B929AF"/>
    <w:rsid w:val="00B93C9A"/>
    <w:rsid w:val="00B966BC"/>
    <w:rsid w:val="00BA0F24"/>
    <w:rsid w:val="00BA297B"/>
    <w:rsid w:val="00BA2DF1"/>
    <w:rsid w:val="00BA2F67"/>
    <w:rsid w:val="00BA34CF"/>
    <w:rsid w:val="00BA43E4"/>
    <w:rsid w:val="00BA6426"/>
    <w:rsid w:val="00BA6B24"/>
    <w:rsid w:val="00BA7160"/>
    <w:rsid w:val="00BA7881"/>
    <w:rsid w:val="00BA7EB1"/>
    <w:rsid w:val="00BB0A65"/>
    <w:rsid w:val="00BB2616"/>
    <w:rsid w:val="00BB3A33"/>
    <w:rsid w:val="00BB591D"/>
    <w:rsid w:val="00BB62DB"/>
    <w:rsid w:val="00BB6E38"/>
    <w:rsid w:val="00BB7C4E"/>
    <w:rsid w:val="00BC0902"/>
    <w:rsid w:val="00BC1BAC"/>
    <w:rsid w:val="00BC1CB5"/>
    <w:rsid w:val="00BC2FCB"/>
    <w:rsid w:val="00BC458E"/>
    <w:rsid w:val="00BC5108"/>
    <w:rsid w:val="00BC5218"/>
    <w:rsid w:val="00BC553D"/>
    <w:rsid w:val="00BC5C48"/>
    <w:rsid w:val="00BC6654"/>
    <w:rsid w:val="00BC6770"/>
    <w:rsid w:val="00BC7B9C"/>
    <w:rsid w:val="00BD30F7"/>
    <w:rsid w:val="00BD37C8"/>
    <w:rsid w:val="00BD3FD8"/>
    <w:rsid w:val="00BD4054"/>
    <w:rsid w:val="00BD76B1"/>
    <w:rsid w:val="00BE0FF3"/>
    <w:rsid w:val="00BE2E57"/>
    <w:rsid w:val="00BE5A61"/>
    <w:rsid w:val="00BE5EC1"/>
    <w:rsid w:val="00BE764D"/>
    <w:rsid w:val="00BE76F0"/>
    <w:rsid w:val="00BF0414"/>
    <w:rsid w:val="00BF2453"/>
    <w:rsid w:val="00BF7140"/>
    <w:rsid w:val="00BF7940"/>
    <w:rsid w:val="00BF7A1D"/>
    <w:rsid w:val="00C0103F"/>
    <w:rsid w:val="00C024D7"/>
    <w:rsid w:val="00C02C44"/>
    <w:rsid w:val="00C02FFA"/>
    <w:rsid w:val="00C0637C"/>
    <w:rsid w:val="00C113F9"/>
    <w:rsid w:val="00C118DE"/>
    <w:rsid w:val="00C12B5D"/>
    <w:rsid w:val="00C13B57"/>
    <w:rsid w:val="00C13FC1"/>
    <w:rsid w:val="00C14218"/>
    <w:rsid w:val="00C15413"/>
    <w:rsid w:val="00C17B27"/>
    <w:rsid w:val="00C20A0C"/>
    <w:rsid w:val="00C244F7"/>
    <w:rsid w:val="00C30309"/>
    <w:rsid w:val="00C312E0"/>
    <w:rsid w:val="00C31363"/>
    <w:rsid w:val="00C322D8"/>
    <w:rsid w:val="00C3391B"/>
    <w:rsid w:val="00C35DD6"/>
    <w:rsid w:val="00C361D6"/>
    <w:rsid w:val="00C36E01"/>
    <w:rsid w:val="00C43B21"/>
    <w:rsid w:val="00C44E5E"/>
    <w:rsid w:val="00C45456"/>
    <w:rsid w:val="00C45849"/>
    <w:rsid w:val="00C45F64"/>
    <w:rsid w:val="00C4688F"/>
    <w:rsid w:val="00C47057"/>
    <w:rsid w:val="00C47415"/>
    <w:rsid w:val="00C47823"/>
    <w:rsid w:val="00C478D9"/>
    <w:rsid w:val="00C50364"/>
    <w:rsid w:val="00C50CAE"/>
    <w:rsid w:val="00C51189"/>
    <w:rsid w:val="00C534D5"/>
    <w:rsid w:val="00C53E90"/>
    <w:rsid w:val="00C5414D"/>
    <w:rsid w:val="00C5495A"/>
    <w:rsid w:val="00C54FFB"/>
    <w:rsid w:val="00C573C7"/>
    <w:rsid w:val="00C57E26"/>
    <w:rsid w:val="00C615B8"/>
    <w:rsid w:val="00C61F28"/>
    <w:rsid w:val="00C63011"/>
    <w:rsid w:val="00C649D5"/>
    <w:rsid w:val="00C65050"/>
    <w:rsid w:val="00C65F8C"/>
    <w:rsid w:val="00C70AF9"/>
    <w:rsid w:val="00C721EA"/>
    <w:rsid w:val="00C73D20"/>
    <w:rsid w:val="00C81DA0"/>
    <w:rsid w:val="00C82717"/>
    <w:rsid w:val="00C827DA"/>
    <w:rsid w:val="00C82C04"/>
    <w:rsid w:val="00C8397E"/>
    <w:rsid w:val="00C83D74"/>
    <w:rsid w:val="00C86A1C"/>
    <w:rsid w:val="00C86ADA"/>
    <w:rsid w:val="00C91B26"/>
    <w:rsid w:val="00C93879"/>
    <w:rsid w:val="00C9700A"/>
    <w:rsid w:val="00CA04D4"/>
    <w:rsid w:val="00CA0A50"/>
    <w:rsid w:val="00CA216D"/>
    <w:rsid w:val="00CA50C5"/>
    <w:rsid w:val="00CA62BF"/>
    <w:rsid w:val="00CB04E0"/>
    <w:rsid w:val="00CB0B5B"/>
    <w:rsid w:val="00CB0FE0"/>
    <w:rsid w:val="00CB2C63"/>
    <w:rsid w:val="00CB2E59"/>
    <w:rsid w:val="00CB31E8"/>
    <w:rsid w:val="00CB5CB9"/>
    <w:rsid w:val="00CB62AC"/>
    <w:rsid w:val="00CC09AE"/>
    <w:rsid w:val="00CC0D65"/>
    <w:rsid w:val="00CC11C0"/>
    <w:rsid w:val="00CC13B5"/>
    <w:rsid w:val="00CC44ED"/>
    <w:rsid w:val="00CC5050"/>
    <w:rsid w:val="00CC76D5"/>
    <w:rsid w:val="00CC78B2"/>
    <w:rsid w:val="00CC7983"/>
    <w:rsid w:val="00CD12E6"/>
    <w:rsid w:val="00CD346C"/>
    <w:rsid w:val="00CD4F9D"/>
    <w:rsid w:val="00CD5ECD"/>
    <w:rsid w:val="00CE5CA3"/>
    <w:rsid w:val="00CE6DEB"/>
    <w:rsid w:val="00CF179B"/>
    <w:rsid w:val="00CF203B"/>
    <w:rsid w:val="00CF2E7A"/>
    <w:rsid w:val="00CF5AC8"/>
    <w:rsid w:val="00CF7A50"/>
    <w:rsid w:val="00D0070E"/>
    <w:rsid w:val="00D00737"/>
    <w:rsid w:val="00D01638"/>
    <w:rsid w:val="00D02834"/>
    <w:rsid w:val="00D033B4"/>
    <w:rsid w:val="00D03FE1"/>
    <w:rsid w:val="00D050C4"/>
    <w:rsid w:val="00D06CCF"/>
    <w:rsid w:val="00D07227"/>
    <w:rsid w:val="00D1090E"/>
    <w:rsid w:val="00D13A04"/>
    <w:rsid w:val="00D16688"/>
    <w:rsid w:val="00D20C05"/>
    <w:rsid w:val="00D21A7D"/>
    <w:rsid w:val="00D21B14"/>
    <w:rsid w:val="00D253DC"/>
    <w:rsid w:val="00D265B0"/>
    <w:rsid w:val="00D325BD"/>
    <w:rsid w:val="00D33752"/>
    <w:rsid w:val="00D3516F"/>
    <w:rsid w:val="00D35835"/>
    <w:rsid w:val="00D35DB3"/>
    <w:rsid w:val="00D37335"/>
    <w:rsid w:val="00D421EB"/>
    <w:rsid w:val="00D429E8"/>
    <w:rsid w:val="00D446A8"/>
    <w:rsid w:val="00D44CB8"/>
    <w:rsid w:val="00D4783A"/>
    <w:rsid w:val="00D50C76"/>
    <w:rsid w:val="00D51133"/>
    <w:rsid w:val="00D55A12"/>
    <w:rsid w:val="00D55F96"/>
    <w:rsid w:val="00D56242"/>
    <w:rsid w:val="00D56471"/>
    <w:rsid w:val="00D60AE3"/>
    <w:rsid w:val="00D624A3"/>
    <w:rsid w:val="00D62CF5"/>
    <w:rsid w:val="00D64792"/>
    <w:rsid w:val="00D65E21"/>
    <w:rsid w:val="00D6773E"/>
    <w:rsid w:val="00D67B24"/>
    <w:rsid w:val="00D70AD1"/>
    <w:rsid w:val="00D73255"/>
    <w:rsid w:val="00D735AB"/>
    <w:rsid w:val="00D73FFA"/>
    <w:rsid w:val="00D75279"/>
    <w:rsid w:val="00D775D1"/>
    <w:rsid w:val="00D80175"/>
    <w:rsid w:val="00D80621"/>
    <w:rsid w:val="00D82101"/>
    <w:rsid w:val="00D83210"/>
    <w:rsid w:val="00D8394C"/>
    <w:rsid w:val="00D9132E"/>
    <w:rsid w:val="00D9176D"/>
    <w:rsid w:val="00D92F92"/>
    <w:rsid w:val="00D945B0"/>
    <w:rsid w:val="00D95579"/>
    <w:rsid w:val="00D96AAE"/>
    <w:rsid w:val="00D972D3"/>
    <w:rsid w:val="00DA0890"/>
    <w:rsid w:val="00DA12AA"/>
    <w:rsid w:val="00DA1323"/>
    <w:rsid w:val="00DA28D1"/>
    <w:rsid w:val="00DA4AD2"/>
    <w:rsid w:val="00DA4D04"/>
    <w:rsid w:val="00DA556A"/>
    <w:rsid w:val="00DA57AE"/>
    <w:rsid w:val="00DA5BFC"/>
    <w:rsid w:val="00DA7232"/>
    <w:rsid w:val="00DA7D48"/>
    <w:rsid w:val="00DB1356"/>
    <w:rsid w:val="00DB21EA"/>
    <w:rsid w:val="00DB23A9"/>
    <w:rsid w:val="00DB3169"/>
    <w:rsid w:val="00DB3203"/>
    <w:rsid w:val="00DB4BB7"/>
    <w:rsid w:val="00DB5A35"/>
    <w:rsid w:val="00DB5A67"/>
    <w:rsid w:val="00DB6686"/>
    <w:rsid w:val="00DB76EE"/>
    <w:rsid w:val="00DB7924"/>
    <w:rsid w:val="00DC0598"/>
    <w:rsid w:val="00DC6237"/>
    <w:rsid w:val="00DD289D"/>
    <w:rsid w:val="00DD3ABD"/>
    <w:rsid w:val="00DD3DE5"/>
    <w:rsid w:val="00DD3EE2"/>
    <w:rsid w:val="00DD69A1"/>
    <w:rsid w:val="00DE06C0"/>
    <w:rsid w:val="00DE1AEB"/>
    <w:rsid w:val="00DE3523"/>
    <w:rsid w:val="00DE39BE"/>
    <w:rsid w:val="00DE5515"/>
    <w:rsid w:val="00DE5B4E"/>
    <w:rsid w:val="00DE5C0E"/>
    <w:rsid w:val="00DE78F4"/>
    <w:rsid w:val="00DF2153"/>
    <w:rsid w:val="00DF4461"/>
    <w:rsid w:val="00DF5850"/>
    <w:rsid w:val="00DF5A69"/>
    <w:rsid w:val="00DF6C05"/>
    <w:rsid w:val="00DF760A"/>
    <w:rsid w:val="00E003CE"/>
    <w:rsid w:val="00E04908"/>
    <w:rsid w:val="00E068B6"/>
    <w:rsid w:val="00E10DC8"/>
    <w:rsid w:val="00E11B8D"/>
    <w:rsid w:val="00E127E3"/>
    <w:rsid w:val="00E14AB3"/>
    <w:rsid w:val="00E16CB8"/>
    <w:rsid w:val="00E200CC"/>
    <w:rsid w:val="00E201F5"/>
    <w:rsid w:val="00E20645"/>
    <w:rsid w:val="00E21915"/>
    <w:rsid w:val="00E2491D"/>
    <w:rsid w:val="00E25A76"/>
    <w:rsid w:val="00E276FC"/>
    <w:rsid w:val="00E27FF2"/>
    <w:rsid w:val="00E304A4"/>
    <w:rsid w:val="00E35B3A"/>
    <w:rsid w:val="00E37723"/>
    <w:rsid w:val="00E453BC"/>
    <w:rsid w:val="00E502C1"/>
    <w:rsid w:val="00E51BFA"/>
    <w:rsid w:val="00E522A9"/>
    <w:rsid w:val="00E52651"/>
    <w:rsid w:val="00E52760"/>
    <w:rsid w:val="00E5284A"/>
    <w:rsid w:val="00E53A01"/>
    <w:rsid w:val="00E567FA"/>
    <w:rsid w:val="00E56ACF"/>
    <w:rsid w:val="00E575EC"/>
    <w:rsid w:val="00E60CF5"/>
    <w:rsid w:val="00E62E6A"/>
    <w:rsid w:val="00E6531D"/>
    <w:rsid w:val="00E66F5C"/>
    <w:rsid w:val="00E74407"/>
    <w:rsid w:val="00E75161"/>
    <w:rsid w:val="00E75758"/>
    <w:rsid w:val="00E77B8C"/>
    <w:rsid w:val="00E84960"/>
    <w:rsid w:val="00E84E11"/>
    <w:rsid w:val="00E917B9"/>
    <w:rsid w:val="00E92B25"/>
    <w:rsid w:val="00E94E55"/>
    <w:rsid w:val="00E966C2"/>
    <w:rsid w:val="00E97558"/>
    <w:rsid w:val="00E9799B"/>
    <w:rsid w:val="00E97A4A"/>
    <w:rsid w:val="00E97BF3"/>
    <w:rsid w:val="00EA1C96"/>
    <w:rsid w:val="00EA5D84"/>
    <w:rsid w:val="00EA64DB"/>
    <w:rsid w:val="00EB1506"/>
    <w:rsid w:val="00EB2361"/>
    <w:rsid w:val="00EB59A4"/>
    <w:rsid w:val="00EB6ADB"/>
    <w:rsid w:val="00EB7203"/>
    <w:rsid w:val="00EC3F81"/>
    <w:rsid w:val="00EC46FD"/>
    <w:rsid w:val="00EC5749"/>
    <w:rsid w:val="00EC5B78"/>
    <w:rsid w:val="00EC76B1"/>
    <w:rsid w:val="00EC791D"/>
    <w:rsid w:val="00ED06E7"/>
    <w:rsid w:val="00ED175C"/>
    <w:rsid w:val="00ED1B2C"/>
    <w:rsid w:val="00ED30D0"/>
    <w:rsid w:val="00ED327E"/>
    <w:rsid w:val="00ED3473"/>
    <w:rsid w:val="00ED349E"/>
    <w:rsid w:val="00ED3EB2"/>
    <w:rsid w:val="00ED5FF6"/>
    <w:rsid w:val="00ED627F"/>
    <w:rsid w:val="00ED70D5"/>
    <w:rsid w:val="00EE0522"/>
    <w:rsid w:val="00EE19E4"/>
    <w:rsid w:val="00EE21F4"/>
    <w:rsid w:val="00EE40D7"/>
    <w:rsid w:val="00EE42B6"/>
    <w:rsid w:val="00EE53CA"/>
    <w:rsid w:val="00EE68B6"/>
    <w:rsid w:val="00EF1C1D"/>
    <w:rsid w:val="00EF4CC7"/>
    <w:rsid w:val="00EF4D1E"/>
    <w:rsid w:val="00F00D5E"/>
    <w:rsid w:val="00F01872"/>
    <w:rsid w:val="00F018A8"/>
    <w:rsid w:val="00F02D3A"/>
    <w:rsid w:val="00F04E51"/>
    <w:rsid w:val="00F058D8"/>
    <w:rsid w:val="00F05CC6"/>
    <w:rsid w:val="00F07E4C"/>
    <w:rsid w:val="00F12A33"/>
    <w:rsid w:val="00F160EB"/>
    <w:rsid w:val="00F16924"/>
    <w:rsid w:val="00F203E9"/>
    <w:rsid w:val="00F22951"/>
    <w:rsid w:val="00F23F93"/>
    <w:rsid w:val="00F25664"/>
    <w:rsid w:val="00F267AC"/>
    <w:rsid w:val="00F26F3C"/>
    <w:rsid w:val="00F26F46"/>
    <w:rsid w:val="00F27541"/>
    <w:rsid w:val="00F27E77"/>
    <w:rsid w:val="00F3130F"/>
    <w:rsid w:val="00F326BF"/>
    <w:rsid w:val="00F33200"/>
    <w:rsid w:val="00F33247"/>
    <w:rsid w:val="00F33452"/>
    <w:rsid w:val="00F37CEF"/>
    <w:rsid w:val="00F411E9"/>
    <w:rsid w:val="00F4130D"/>
    <w:rsid w:val="00F41404"/>
    <w:rsid w:val="00F437C0"/>
    <w:rsid w:val="00F4462E"/>
    <w:rsid w:val="00F4484E"/>
    <w:rsid w:val="00F452C3"/>
    <w:rsid w:val="00F47737"/>
    <w:rsid w:val="00F47BDB"/>
    <w:rsid w:val="00F54846"/>
    <w:rsid w:val="00F54EAB"/>
    <w:rsid w:val="00F55433"/>
    <w:rsid w:val="00F572A8"/>
    <w:rsid w:val="00F5745A"/>
    <w:rsid w:val="00F62BC9"/>
    <w:rsid w:val="00F63C28"/>
    <w:rsid w:val="00F64855"/>
    <w:rsid w:val="00F651EF"/>
    <w:rsid w:val="00F67F08"/>
    <w:rsid w:val="00F70423"/>
    <w:rsid w:val="00F70602"/>
    <w:rsid w:val="00F70ECB"/>
    <w:rsid w:val="00F728AC"/>
    <w:rsid w:val="00F73514"/>
    <w:rsid w:val="00F751BE"/>
    <w:rsid w:val="00F76619"/>
    <w:rsid w:val="00F77CF8"/>
    <w:rsid w:val="00F80011"/>
    <w:rsid w:val="00F8107D"/>
    <w:rsid w:val="00F81F21"/>
    <w:rsid w:val="00F83233"/>
    <w:rsid w:val="00F83FF7"/>
    <w:rsid w:val="00F8416D"/>
    <w:rsid w:val="00F92297"/>
    <w:rsid w:val="00F930CB"/>
    <w:rsid w:val="00F93899"/>
    <w:rsid w:val="00F96A43"/>
    <w:rsid w:val="00F97587"/>
    <w:rsid w:val="00FA0421"/>
    <w:rsid w:val="00FA24ED"/>
    <w:rsid w:val="00FA27F0"/>
    <w:rsid w:val="00FA2A00"/>
    <w:rsid w:val="00FA3BDE"/>
    <w:rsid w:val="00FA3BE1"/>
    <w:rsid w:val="00FA47DB"/>
    <w:rsid w:val="00FA521E"/>
    <w:rsid w:val="00FA69DC"/>
    <w:rsid w:val="00FB0DE5"/>
    <w:rsid w:val="00FB0EAA"/>
    <w:rsid w:val="00FB1079"/>
    <w:rsid w:val="00FB2BF4"/>
    <w:rsid w:val="00FB2DD2"/>
    <w:rsid w:val="00FB4D8D"/>
    <w:rsid w:val="00FC13D4"/>
    <w:rsid w:val="00FC2697"/>
    <w:rsid w:val="00FC3162"/>
    <w:rsid w:val="00FC39D5"/>
    <w:rsid w:val="00FC4683"/>
    <w:rsid w:val="00FC4C77"/>
    <w:rsid w:val="00FC7252"/>
    <w:rsid w:val="00FD0D5B"/>
    <w:rsid w:val="00FD1C48"/>
    <w:rsid w:val="00FD2325"/>
    <w:rsid w:val="00FD279C"/>
    <w:rsid w:val="00FD5184"/>
    <w:rsid w:val="00FD560F"/>
    <w:rsid w:val="00FD6E9D"/>
    <w:rsid w:val="00FE0BB1"/>
    <w:rsid w:val="00FE0C2F"/>
    <w:rsid w:val="00FE21E0"/>
    <w:rsid w:val="00FE309C"/>
    <w:rsid w:val="00FE5A40"/>
    <w:rsid w:val="00FE5FA4"/>
    <w:rsid w:val="00FE6995"/>
    <w:rsid w:val="00FE6DBC"/>
    <w:rsid w:val="00FE71E0"/>
    <w:rsid w:val="00FE728B"/>
    <w:rsid w:val="00FF0221"/>
    <w:rsid w:val="00FF2644"/>
    <w:rsid w:val="00FF29D8"/>
    <w:rsid w:val="00FF3616"/>
    <w:rsid w:val="00FF4D75"/>
    <w:rsid w:val="053AE1E6"/>
    <w:rsid w:val="055875F9"/>
    <w:rsid w:val="0750A28C"/>
    <w:rsid w:val="07F36911"/>
    <w:rsid w:val="08049944"/>
    <w:rsid w:val="0C5580FB"/>
    <w:rsid w:val="0CABB559"/>
    <w:rsid w:val="10339FF2"/>
    <w:rsid w:val="1142E91C"/>
    <w:rsid w:val="12060364"/>
    <w:rsid w:val="123FBA1F"/>
    <w:rsid w:val="13571D61"/>
    <w:rsid w:val="15C2E22F"/>
    <w:rsid w:val="170433FE"/>
    <w:rsid w:val="1B710BD0"/>
    <w:rsid w:val="1F1D7ABD"/>
    <w:rsid w:val="202A891E"/>
    <w:rsid w:val="22FD81DB"/>
    <w:rsid w:val="249A0D00"/>
    <w:rsid w:val="28AAD7D2"/>
    <w:rsid w:val="29F7D0DF"/>
    <w:rsid w:val="2EBC04B4"/>
    <w:rsid w:val="3090CF78"/>
    <w:rsid w:val="3232C61A"/>
    <w:rsid w:val="32BBAFB5"/>
    <w:rsid w:val="33D03436"/>
    <w:rsid w:val="344D19EE"/>
    <w:rsid w:val="3E9E1EB1"/>
    <w:rsid w:val="42CF8F3B"/>
    <w:rsid w:val="4319B2FB"/>
    <w:rsid w:val="47BAEFC1"/>
    <w:rsid w:val="47E2FCA2"/>
    <w:rsid w:val="48AEF8AE"/>
    <w:rsid w:val="48E38AF0"/>
    <w:rsid w:val="4BDCB2F9"/>
    <w:rsid w:val="4C96611F"/>
    <w:rsid w:val="4CB2314F"/>
    <w:rsid w:val="4D784509"/>
    <w:rsid w:val="4D945698"/>
    <w:rsid w:val="4E19BF4B"/>
    <w:rsid w:val="4F72E5D9"/>
    <w:rsid w:val="4FB586D3"/>
    <w:rsid w:val="50F7FFEB"/>
    <w:rsid w:val="518C65C1"/>
    <w:rsid w:val="51D54920"/>
    <w:rsid w:val="529CA748"/>
    <w:rsid w:val="534AE6DE"/>
    <w:rsid w:val="56D5DEC2"/>
    <w:rsid w:val="574790B8"/>
    <w:rsid w:val="5808A0B6"/>
    <w:rsid w:val="5AA293B9"/>
    <w:rsid w:val="5BCCF828"/>
    <w:rsid w:val="5E2F8F3C"/>
    <w:rsid w:val="61F5F924"/>
    <w:rsid w:val="620F6650"/>
    <w:rsid w:val="637398EF"/>
    <w:rsid w:val="64088A9F"/>
    <w:rsid w:val="664D3C1B"/>
    <w:rsid w:val="69592C9F"/>
    <w:rsid w:val="6C591AA9"/>
    <w:rsid w:val="6D23D319"/>
    <w:rsid w:val="6D6F4B02"/>
    <w:rsid w:val="72C8072B"/>
    <w:rsid w:val="745CF4DE"/>
    <w:rsid w:val="748E6462"/>
    <w:rsid w:val="768AC77D"/>
    <w:rsid w:val="76A0FFBD"/>
    <w:rsid w:val="76B61886"/>
    <w:rsid w:val="796074DA"/>
    <w:rsid w:val="7A90BBFC"/>
    <w:rsid w:val="7B779F10"/>
    <w:rsid w:val="7EADFC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43BA17DB-5DA9-4FED-86FE-EDA19DAA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94E"/>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unhideWhenUsed/>
    <w:rsid w:val="008015ED"/>
    <w:pPr>
      <w:keepNext/>
      <w:keepLines/>
      <w:spacing w:before="40" w:after="240"/>
      <w:outlineLvl w:val="4"/>
    </w:pPr>
    <w:rPr>
      <w:rFonts w:eastAsiaTheme="majorEastAsia" w:cstheme="majorBidi"/>
      <w:i/>
      <w:color w:val="4C6968"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numPr>
        <w:numId w:val="8"/>
      </w:numPr>
      <w:spacing w:after="120"/>
    </w:pPr>
  </w:style>
  <w:style w:type="paragraph" w:styleId="ListBullet2">
    <w:name w:val="List Bullet 2"/>
    <w:basedOn w:val="Normal"/>
    <w:uiPriority w:val="99"/>
    <w:unhideWhenUsed/>
    <w:pPr>
      <w:numPr>
        <w:ilvl w:val="1"/>
        <w:numId w:val="8"/>
      </w:numPr>
    </w:pPr>
  </w:style>
  <w:style w:type="numbering" w:customStyle="1" w:styleId="Attach">
    <w:name w:val="Attach"/>
    <w:basedOn w:val="NoList"/>
    <w:uiPriority w:val="99"/>
    <w:pPr>
      <w:numPr>
        <w:numId w:val="5"/>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numPr>
        <w:numId w:val="11"/>
      </w:numPr>
      <w:spacing w:before="120" w:after="120"/>
    </w:pPr>
  </w:style>
  <w:style w:type="paragraph" w:styleId="ListNumber2">
    <w:name w:val="List Number 2"/>
    <w:basedOn w:val="Normal"/>
    <w:uiPriority w:val="99"/>
    <w:rsid w:val="00FE0C2F"/>
    <w:pPr>
      <w:numPr>
        <w:ilvl w:val="1"/>
        <w:numId w:val="11"/>
      </w:numPr>
      <w:spacing w:after="120"/>
    </w:pPr>
    <w:rPr>
      <w:rFonts w:cs="Segoe UI"/>
    </w:rPr>
  </w:style>
  <w:style w:type="paragraph" w:styleId="ListNumber3">
    <w:name w:val="List Number 3"/>
    <w:basedOn w:val="Normal"/>
    <w:uiPriority w:val="99"/>
    <w:rsid w:val="00FE0C2F"/>
    <w:pPr>
      <w:numPr>
        <w:ilvl w:val="2"/>
        <w:numId w:val="11"/>
      </w:numPr>
      <w:spacing w:after="120"/>
      <w:ind w:left="1106"/>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5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styleId="UnresolvedMention">
    <w:name w:val="Unresolved Mention"/>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66217F"/>
    <w:pPr>
      <w:tabs>
        <w:tab w:val="right" w:leader="dot" w:pos="9628"/>
      </w:tabs>
      <w:spacing w:after="100"/>
      <w:ind w:left="200"/>
    </w:pPr>
    <w:rPr>
      <w:noProof/>
    </w:rPr>
  </w:style>
  <w:style w:type="paragraph" w:styleId="TOC1">
    <w:name w:val="toc 1"/>
    <w:basedOn w:val="Normal"/>
    <w:next w:val="Normal"/>
    <w:autoRedefine/>
    <w:uiPriority w:val="39"/>
    <w:unhideWhenUsed/>
    <w:rsid w:val="001C0F11"/>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rsid w:val="00C118DE"/>
    <w:rPr>
      <w:rFonts w:eastAsiaTheme="minorEastAsia" w:cstheme="minorBidi"/>
      <w:sz w:val="20"/>
      <w:szCs w:val="20"/>
      <w:lang w:eastAsia="en-GB"/>
    </w:rPr>
  </w:style>
  <w:style w:type="paragraph" w:styleId="FootnoteText">
    <w:name w:val="footnote text"/>
    <w:basedOn w:val="Normal"/>
    <w:link w:val="FootnoteTextChar"/>
    <w:uiPriority w:val="99"/>
    <w:unhideWhenUsed/>
    <w:qFormat/>
    <w:rsid w:val="009546C2"/>
    <w:pPr>
      <w:spacing w:after="0"/>
    </w:pPr>
    <w:rPr>
      <w:rFonts w:ascii="Calibri Light" w:eastAsia="Times New Roman" w:hAnsi="Calibri Light" w:cs="Calibri Light"/>
      <w:color w:val="4C6968" w:themeColor="text1"/>
      <w:sz w:val="16"/>
      <w:szCs w:val="20"/>
    </w:rPr>
  </w:style>
  <w:style w:type="character" w:customStyle="1" w:styleId="FootnoteTextChar">
    <w:name w:val="Footnote Text Char"/>
    <w:basedOn w:val="DefaultParagraphFont"/>
    <w:link w:val="FootnoteText"/>
    <w:uiPriority w:val="99"/>
    <w:rsid w:val="009546C2"/>
    <w:rPr>
      <w:rFonts w:ascii="Calibri Light" w:eastAsia="Times New Roman" w:hAnsi="Calibri Light" w:cs="Calibri Light"/>
      <w:color w:val="4C6968" w:themeColor="text1"/>
      <w:sz w:val="16"/>
      <w:szCs w:val="20"/>
      <w:lang w:eastAsia="en-US"/>
    </w:rPr>
  </w:style>
  <w:style w:type="character" w:styleId="FootnoteReference">
    <w:name w:val="footnote reference"/>
    <w:basedOn w:val="DefaultParagraphFont"/>
    <w:uiPriority w:val="99"/>
    <w:semiHidden/>
    <w:unhideWhenUsed/>
    <w:rsid w:val="009546C2"/>
    <w:rPr>
      <w:vertAlign w:val="superscript"/>
    </w:rPr>
  </w:style>
  <w:style w:type="paragraph" w:styleId="ListParagraph">
    <w:name w:val="List Paragraph"/>
    <w:basedOn w:val="Normal"/>
    <w:uiPriority w:val="34"/>
    <w:qFormat/>
    <w:rsid w:val="00C63011"/>
    <w:pPr>
      <w:spacing w:after="160" w:line="259" w:lineRule="auto"/>
      <w:ind w:left="720"/>
      <w:contextualSpacing/>
    </w:pPr>
    <w:rPr>
      <w:rFonts w:asciiTheme="minorHAnsi" w:eastAsiaTheme="minorHAnsi" w:hAnsiTheme="minorHAnsi" w:cstheme="minorBidi"/>
      <w:kern w:val="2"/>
      <w:sz w:val="22"/>
      <w14:ligatures w14:val="standardContextual"/>
    </w:rPr>
  </w:style>
  <w:style w:type="paragraph" w:customStyle="1" w:styleId="pf0">
    <w:name w:val="pf0"/>
    <w:basedOn w:val="Normal"/>
    <w:rsid w:val="00C63011"/>
    <w:pPr>
      <w:spacing w:before="100" w:beforeAutospacing="1" w:after="100" w:afterAutospacing="1"/>
    </w:pPr>
    <w:rPr>
      <w:rFonts w:ascii="Calibri" w:eastAsiaTheme="minorHAnsi" w:hAnsi="Calibri" w:cs="Calibri"/>
      <w:sz w:val="22"/>
      <w:lang w:eastAsia="en-AU"/>
    </w:rPr>
  </w:style>
  <w:style w:type="paragraph" w:styleId="Caption">
    <w:name w:val="caption"/>
    <w:basedOn w:val="Normal"/>
    <w:next w:val="Normal"/>
    <w:uiPriority w:val="35"/>
    <w:unhideWhenUsed/>
    <w:qFormat/>
    <w:rsid w:val="00DA28D1"/>
    <w:rPr>
      <w:i/>
      <w:iCs/>
      <w:color w:val="48555E" w:themeColor="text2"/>
      <w:sz w:val="18"/>
      <w:szCs w:val="18"/>
    </w:rPr>
  </w:style>
  <w:style w:type="table" w:styleId="GridTable4">
    <w:name w:val="Grid Table 4"/>
    <w:basedOn w:val="TableNormal"/>
    <w:uiPriority w:val="49"/>
    <w:rsid w:val="00626DF1"/>
    <w:tblPr>
      <w:tblStyleRowBandSize w:val="1"/>
      <w:tblStyleColBandSize w:val="1"/>
      <w:tblBorders>
        <w:top w:val="single" w:sz="4" w:space="0" w:color="8CACAA" w:themeColor="text1" w:themeTint="99"/>
        <w:left w:val="single" w:sz="4" w:space="0" w:color="8CACAA" w:themeColor="text1" w:themeTint="99"/>
        <w:bottom w:val="single" w:sz="4" w:space="0" w:color="8CACAA" w:themeColor="text1" w:themeTint="99"/>
        <w:right w:val="single" w:sz="4" w:space="0" w:color="8CACAA" w:themeColor="text1" w:themeTint="99"/>
        <w:insideH w:val="single" w:sz="4" w:space="0" w:color="8CACAA" w:themeColor="text1" w:themeTint="99"/>
        <w:insideV w:val="single" w:sz="4" w:space="0" w:color="8CACAA" w:themeColor="text1" w:themeTint="99"/>
      </w:tblBorders>
    </w:tblPr>
    <w:tblStylePr w:type="firstRow">
      <w:rPr>
        <w:b/>
        <w:bCs/>
        <w:color w:val="BCD8E3" w:themeColor="background1"/>
      </w:rPr>
      <w:tblPr/>
      <w:tcPr>
        <w:tcBorders>
          <w:top w:val="single" w:sz="4" w:space="0" w:color="4C6968" w:themeColor="text1"/>
          <w:left w:val="single" w:sz="4" w:space="0" w:color="4C6968" w:themeColor="text1"/>
          <w:bottom w:val="single" w:sz="4" w:space="0" w:color="4C6968" w:themeColor="text1"/>
          <w:right w:val="single" w:sz="4" w:space="0" w:color="4C6968" w:themeColor="text1"/>
          <w:insideH w:val="nil"/>
          <w:insideV w:val="nil"/>
        </w:tcBorders>
        <w:shd w:val="clear" w:color="auto" w:fill="4C6968" w:themeFill="text1"/>
      </w:tcPr>
    </w:tblStylePr>
    <w:tblStylePr w:type="lastRow">
      <w:rPr>
        <w:b/>
        <w:bCs/>
      </w:rPr>
      <w:tblPr/>
      <w:tcPr>
        <w:tcBorders>
          <w:top w:val="double" w:sz="4" w:space="0" w:color="4C6968" w:themeColor="text1"/>
        </w:tcBorders>
      </w:tcPr>
    </w:tblStylePr>
    <w:tblStylePr w:type="firstCol">
      <w:rPr>
        <w:b/>
        <w:bCs/>
      </w:rPr>
    </w:tblStylePr>
    <w:tblStylePr w:type="lastCol">
      <w:rPr>
        <w:b/>
        <w:bCs/>
      </w:rPr>
    </w:tblStylePr>
    <w:tblStylePr w:type="band1Vert">
      <w:tblPr/>
      <w:tcPr>
        <w:shd w:val="clear" w:color="auto" w:fill="D8E3E2" w:themeFill="text1" w:themeFillTint="33"/>
      </w:tcPr>
    </w:tblStylePr>
    <w:tblStylePr w:type="band1Horz">
      <w:tblPr/>
      <w:tcPr>
        <w:shd w:val="clear" w:color="auto" w:fill="D8E3E2" w:themeFill="text1" w:themeFillTint="33"/>
      </w:tcPr>
    </w:tblStylePr>
  </w:style>
  <w:style w:type="paragraph" w:styleId="BodyText">
    <w:name w:val="Body Text"/>
    <w:basedOn w:val="Normal"/>
    <w:link w:val="BodyTextChar"/>
    <w:uiPriority w:val="1"/>
    <w:qFormat/>
    <w:rsid w:val="004E4C7C"/>
    <w:pPr>
      <w:autoSpaceDE w:val="0"/>
      <w:autoSpaceDN w:val="0"/>
      <w:adjustRightInd w:val="0"/>
      <w:spacing w:after="0"/>
    </w:pPr>
    <w:rPr>
      <w:rFonts w:ascii="Arial" w:hAnsi="Arial" w:cs="Arial"/>
      <w:sz w:val="22"/>
      <w:lang w:eastAsia="en-AU"/>
    </w:rPr>
  </w:style>
  <w:style w:type="character" w:customStyle="1" w:styleId="BodyTextChar">
    <w:name w:val="Body Text Char"/>
    <w:basedOn w:val="DefaultParagraphFont"/>
    <w:link w:val="BodyText"/>
    <w:uiPriority w:val="1"/>
    <w:rsid w:val="004E4C7C"/>
    <w:rPr>
      <w:rFonts w:cs="Arial"/>
    </w:rPr>
  </w:style>
  <w:style w:type="character" w:customStyle="1" w:styleId="normaltextrun">
    <w:name w:val="normaltextrun"/>
    <w:basedOn w:val="DefaultParagraphFont"/>
    <w:rsid w:val="007E172A"/>
  </w:style>
  <w:style w:type="paragraph" w:styleId="Revision">
    <w:name w:val="Revision"/>
    <w:hidden/>
    <w:uiPriority w:val="99"/>
    <w:semiHidden/>
    <w:rsid w:val="00147906"/>
    <w:rPr>
      <w:rFonts w:ascii="Verdana" w:hAnsi="Verdana"/>
      <w:sz w:val="20"/>
      <w:lang w:eastAsia="en-US"/>
    </w:rPr>
  </w:style>
  <w:style w:type="character" w:customStyle="1" w:styleId="eop">
    <w:name w:val="eop"/>
    <w:basedOn w:val="DefaultParagraphFont"/>
    <w:rsid w:val="008E0ABC"/>
  </w:style>
  <w:style w:type="character" w:customStyle="1" w:styleId="wacimagecontainer">
    <w:name w:val="wacimagecontainer"/>
    <w:basedOn w:val="DefaultParagraphFont"/>
    <w:rsid w:val="00CC5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01875">
      <w:bodyDiv w:val="1"/>
      <w:marLeft w:val="0"/>
      <w:marRight w:val="0"/>
      <w:marTop w:val="0"/>
      <w:marBottom w:val="0"/>
      <w:divBdr>
        <w:top w:val="none" w:sz="0" w:space="0" w:color="auto"/>
        <w:left w:val="none" w:sz="0" w:space="0" w:color="auto"/>
        <w:bottom w:val="none" w:sz="0" w:space="0" w:color="auto"/>
        <w:right w:val="none" w:sz="0" w:space="0" w:color="auto"/>
      </w:divBdr>
      <w:divsChild>
        <w:div w:id="1298804127">
          <w:marLeft w:val="0"/>
          <w:marRight w:val="0"/>
          <w:marTop w:val="0"/>
          <w:marBottom w:val="0"/>
          <w:divBdr>
            <w:top w:val="none" w:sz="0" w:space="0" w:color="auto"/>
            <w:left w:val="none" w:sz="0" w:space="0" w:color="auto"/>
            <w:bottom w:val="none" w:sz="0" w:space="0" w:color="auto"/>
            <w:right w:val="none" w:sz="0" w:space="0" w:color="auto"/>
          </w:divBdr>
        </w:div>
        <w:div w:id="1418211782">
          <w:marLeft w:val="0"/>
          <w:marRight w:val="0"/>
          <w:marTop w:val="0"/>
          <w:marBottom w:val="0"/>
          <w:divBdr>
            <w:top w:val="none" w:sz="0" w:space="0" w:color="auto"/>
            <w:left w:val="none" w:sz="0" w:space="0" w:color="auto"/>
            <w:bottom w:val="none" w:sz="0" w:space="0" w:color="auto"/>
            <w:right w:val="none" w:sz="0" w:space="0" w:color="auto"/>
          </w:divBdr>
        </w:div>
      </w:divsChild>
    </w:div>
    <w:div w:id="150410540">
      <w:bodyDiv w:val="1"/>
      <w:marLeft w:val="0"/>
      <w:marRight w:val="0"/>
      <w:marTop w:val="0"/>
      <w:marBottom w:val="0"/>
      <w:divBdr>
        <w:top w:val="none" w:sz="0" w:space="0" w:color="auto"/>
        <w:left w:val="none" w:sz="0" w:space="0" w:color="auto"/>
        <w:bottom w:val="none" w:sz="0" w:space="0" w:color="auto"/>
        <w:right w:val="none" w:sz="0" w:space="0" w:color="auto"/>
      </w:divBdr>
      <w:divsChild>
        <w:div w:id="317999446">
          <w:marLeft w:val="0"/>
          <w:marRight w:val="0"/>
          <w:marTop w:val="0"/>
          <w:marBottom w:val="0"/>
          <w:divBdr>
            <w:top w:val="none" w:sz="0" w:space="0" w:color="auto"/>
            <w:left w:val="none" w:sz="0" w:space="0" w:color="auto"/>
            <w:bottom w:val="none" w:sz="0" w:space="0" w:color="auto"/>
            <w:right w:val="none" w:sz="0" w:space="0" w:color="auto"/>
          </w:divBdr>
        </w:div>
        <w:div w:id="1909460084">
          <w:marLeft w:val="0"/>
          <w:marRight w:val="0"/>
          <w:marTop w:val="0"/>
          <w:marBottom w:val="0"/>
          <w:divBdr>
            <w:top w:val="none" w:sz="0" w:space="0" w:color="auto"/>
            <w:left w:val="none" w:sz="0" w:space="0" w:color="auto"/>
            <w:bottom w:val="none" w:sz="0" w:space="0" w:color="auto"/>
            <w:right w:val="none" w:sz="0" w:space="0" w:color="auto"/>
          </w:divBdr>
          <w:divsChild>
            <w:div w:id="1128351301">
              <w:marLeft w:val="-75"/>
              <w:marRight w:val="0"/>
              <w:marTop w:val="30"/>
              <w:marBottom w:val="30"/>
              <w:divBdr>
                <w:top w:val="none" w:sz="0" w:space="0" w:color="auto"/>
                <w:left w:val="none" w:sz="0" w:space="0" w:color="auto"/>
                <w:bottom w:val="none" w:sz="0" w:space="0" w:color="auto"/>
                <w:right w:val="none" w:sz="0" w:space="0" w:color="auto"/>
              </w:divBdr>
              <w:divsChild>
                <w:div w:id="1324627000">
                  <w:marLeft w:val="0"/>
                  <w:marRight w:val="0"/>
                  <w:marTop w:val="0"/>
                  <w:marBottom w:val="0"/>
                  <w:divBdr>
                    <w:top w:val="none" w:sz="0" w:space="0" w:color="auto"/>
                    <w:left w:val="none" w:sz="0" w:space="0" w:color="auto"/>
                    <w:bottom w:val="none" w:sz="0" w:space="0" w:color="auto"/>
                    <w:right w:val="none" w:sz="0" w:space="0" w:color="auto"/>
                  </w:divBdr>
                  <w:divsChild>
                    <w:div w:id="419066963">
                      <w:marLeft w:val="0"/>
                      <w:marRight w:val="0"/>
                      <w:marTop w:val="0"/>
                      <w:marBottom w:val="0"/>
                      <w:divBdr>
                        <w:top w:val="none" w:sz="0" w:space="0" w:color="auto"/>
                        <w:left w:val="none" w:sz="0" w:space="0" w:color="auto"/>
                        <w:bottom w:val="none" w:sz="0" w:space="0" w:color="auto"/>
                        <w:right w:val="none" w:sz="0" w:space="0" w:color="auto"/>
                      </w:divBdr>
                    </w:div>
                  </w:divsChild>
                </w:div>
                <w:div w:id="199784340">
                  <w:marLeft w:val="0"/>
                  <w:marRight w:val="0"/>
                  <w:marTop w:val="0"/>
                  <w:marBottom w:val="0"/>
                  <w:divBdr>
                    <w:top w:val="none" w:sz="0" w:space="0" w:color="auto"/>
                    <w:left w:val="none" w:sz="0" w:space="0" w:color="auto"/>
                    <w:bottom w:val="none" w:sz="0" w:space="0" w:color="auto"/>
                    <w:right w:val="none" w:sz="0" w:space="0" w:color="auto"/>
                  </w:divBdr>
                  <w:divsChild>
                    <w:div w:id="1876459139">
                      <w:marLeft w:val="0"/>
                      <w:marRight w:val="0"/>
                      <w:marTop w:val="0"/>
                      <w:marBottom w:val="0"/>
                      <w:divBdr>
                        <w:top w:val="none" w:sz="0" w:space="0" w:color="auto"/>
                        <w:left w:val="none" w:sz="0" w:space="0" w:color="auto"/>
                        <w:bottom w:val="none" w:sz="0" w:space="0" w:color="auto"/>
                        <w:right w:val="none" w:sz="0" w:space="0" w:color="auto"/>
                      </w:divBdr>
                    </w:div>
                  </w:divsChild>
                </w:div>
                <w:div w:id="767389635">
                  <w:marLeft w:val="0"/>
                  <w:marRight w:val="0"/>
                  <w:marTop w:val="0"/>
                  <w:marBottom w:val="0"/>
                  <w:divBdr>
                    <w:top w:val="none" w:sz="0" w:space="0" w:color="auto"/>
                    <w:left w:val="none" w:sz="0" w:space="0" w:color="auto"/>
                    <w:bottom w:val="none" w:sz="0" w:space="0" w:color="auto"/>
                    <w:right w:val="none" w:sz="0" w:space="0" w:color="auto"/>
                  </w:divBdr>
                  <w:divsChild>
                    <w:div w:id="492843346">
                      <w:marLeft w:val="0"/>
                      <w:marRight w:val="0"/>
                      <w:marTop w:val="0"/>
                      <w:marBottom w:val="0"/>
                      <w:divBdr>
                        <w:top w:val="none" w:sz="0" w:space="0" w:color="auto"/>
                        <w:left w:val="none" w:sz="0" w:space="0" w:color="auto"/>
                        <w:bottom w:val="none" w:sz="0" w:space="0" w:color="auto"/>
                        <w:right w:val="none" w:sz="0" w:space="0" w:color="auto"/>
                      </w:divBdr>
                    </w:div>
                  </w:divsChild>
                </w:div>
                <w:div w:id="378364679">
                  <w:marLeft w:val="0"/>
                  <w:marRight w:val="0"/>
                  <w:marTop w:val="0"/>
                  <w:marBottom w:val="0"/>
                  <w:divBdr>
                    <w:top w:val="none" w:sz="0" w:space="0" w:color="auto"/>
                    <w:left w:val="none" w:sz="0" w:space="0" w:color="auto"/>
                    <w:bottom w:val="none" w:sz="0" w:space="0" w:color="auto"/>
                    <w:right w:val="none" w:sz="0" w:space="0" w:color="auto"/>
                  </w:divBdr>
                  <w:divsChild>
                    <w:div w:id="772169672">
                      <w:marLeft w:val="0"/>
                      <w:marRight w:val="0"/>
                      <w:marTop w:val="0"/>
                      <w:marBottom w:val="0"/>
                      <w:divBdr>
                        <w:top w:val="none" w:sz="0" w:space="0" w:color="auto"/>
                        <w:left w:val="none" w:sz="0" w:space="0" w:color="auto"/>
                        <w:bottom w:val="none" w:sz="0" w:space="0" w:color="auto"/>
                        <w:right w:val="none" w:sz="0" w:space="0" w:color="auto"/>
                      </w:divBdr>
                    </w:div>
                  </w:divsChild>
                </w:div>
                <w:div w:id="1851484075">
                  <w:marLeft w:val="0"/>
                  <w:marRight w:val="0"/>
                  <w:marTop w:val="0"/>
                  <w:marBottom w:val="0"/>
                  <w:divBdr>
                    <w:top w:val="none" w:sz="0" w:space="0" w:color="auto"/>
                    <w:left w:val="none" w:sz="0" w:space="0" w:color="auto"/>
                    <w:bottom w:val="none" w:sz="0" w:space="0" w:color="auto"/>
                    <w:right w:val="none" w:sz="0" w:space="0" w:color="auto"/>
                  </w:divBdr>
                  <w:divsChild>
                    <w:div w:id="799037839">
                      <w:marLeft w:val="0"/>
                      <w:marRight w:val="0"/>
                      <w:marTop w:val="0"/>
                      <w:marBottom w:val="0"/>
                      <w:divBdr>
                        <w:top w:val="none" w:sz="0" w:space="0" w:color="auto"/>
                        <w:left w:val="none" w:sz="0" w:space="0" w:color="auto"/>
                        <w:bottom w:val="none" w:sz="0" w:space="0" w:color="auto"/>
                        <w:right w:val="none" w:sz="0" w:space="0" w:color="auto"/>
                      </w:divBdr>
                    </w:div>
                  </w:divsChild>
                </w:div>
                <w:div w:id="1841047059">
                  <w:marLeft w:val="0"/>
                  <w:marRight w:val="0"/>
                  <w:marTop w:val="0"/>
                  <w:marBottom w:val="0"/>
                  <w:divBdr>
                    <w:top w:val="none" w:sz="0" w:space="0" w:color="auto"/>
                    <w:left w:val="none" w:sz="0" w:space="0" w:color="auto"/>
                    <w:bottom w:val="none" w:sz="0" w:space="0" w:color="auto"/>
                    <w:right w:val="none" w:sz="0" w:space="0" w:color="auto"/>
                  </w:divBdr>
                  <w:divsChild>
                    <w:div w:id="1075281585">
                      <w:marLeft w:val="0"/>
                      <w:marRight w:val="0"/>
                      <w:marTop w:val="0"/>
                      <w:marBottom w:val="0"/>
                      <w:divBdr>
                        <w:top w:val="none" w:sz="0" w:space="0" w:color="auto"/>
                        <w:left w:val="none" w:sz="0" w:space="0" w:color="auto"/>
                        <w:bottom w:val="none" w:sz="0" w:space="0" w:color="auto"/>
                        <w:right w:val="none" w:sz="0" w:space="0" w:color="auto"/>
                      </w:divBdr>
                    </w:div>
                  </w:divsChild>
                </w:div>
                <w:div w:id="136382282">
                  <w:marLeft w:val="0"/>
                  <w:marRight w:val="0"/>
                  <w:marTop w:val="0"/>
                  <w:marBottom w:val="0"/>
                  <w:divBdr>
                    <w:top w:val="none" w:sz="0" w:space="0" w:color="auto"/>
                    <w:left w:val="none" w:sz="0" w:space="0" w:color="auto"/>
                    <w:bottom w:val="none" w:sz="0" w:space="0" w:color="auto"/>
                    <w:right w:val="none" w:sz="0" w:space="0" w:color="auto"/>
                  </w:divBdr>
                  <w:divsChild>
                    <w:div w:id="913245734">
                      <w:marLeft w:val="0"/>
                      <w:marRight w:val="0"/>
                      <w:marTop w:val="0"/>
                      <w:marBottom w:val="0"/>
                      <w:divBdr>
                        <w:top w:val="none" w:sz="0" w:space="0" w:color="auto"/>
                        <w:left w:val="none" w:sz="0" w:space="0" w:color="auto"/>
                        <w:bottom w:val="none" w:sz="0" w:space="0" w:color="auto"/>
                        <w:right w:val="none" w:sz="0" w:space="0" w:color="auto"/>
                      </w:divBdr>
                    </w:div>
                    <w:div w:id="1513228032">
                      <w:marLeft w:val="0"/>
                      <w:marRight w:val="0"/>
                      <w:marTop w:val="0"/>
                      <w:marBottom w:val="0"/>
                      <w:divBdr>
                        <w:top w:val="none" w:sz="0" w:space="0" w:color="auto"/>
                        <w:left w:val="none" w:sz="0" w:space="0" w:color="auto"/>
                        <w:bottom w:val="none" w:sz="0" w:space="0" w:color="auto"/>
                        <w:right w:val="none" w:sz="0" w:space="0" w:color="auto"/>
                      </w:divBdr>
                    </w:div>
                  </w:divsChild>
                </w:div>
                <w:div w:id="889730036">
                  <w:marLeft w:val="0"/>
                  <w:marRight w:val="0"/>
                  <w:marTop w:val="0"/>
                  <w:marBottom w:val="0"/>
                  <w:divBdr>
                    <w:top w:val="none" w:sz="0" w:space="0" w:color="auto"/>
                    <w:left w:val="none" w:sz="0" w:space="0" w:color="auto"/>
                    <w:bottom w:val="none" w:sz="0" w:space="0" w:color="auto"/>
                    <w:right w:val="none" w:sz="0" w:space="0" w:color="auto"/>
                  </w:divBdr>
                  <w:divsChild>
                    <w:div w:id="968164416">
                      <w:marLeft w:val="0"/>
                      <w:marRight w:val="0"/>
                      <w:marTop w:val="0"/>
                      <w:marBottom w:val="0"/>
                      <w:divBdr>
                        <w:top w:val="none" w:sz="0" w:space="0" w:color="auto"/>
                        <w:left w:val="none" w:sz="0" w:space="0" w:color="auto"/>
                        <w:bottom w:val="none" w:sz="0" w:space="0" w:color="auto"/>
                        <w:right w:val="none" w:sz="0" w:space="0" w:color="auto"/>
                      </w:divBdr>
                    </w:div>
                    <w:div w:id="73167261">
                      <w:marLeft w:val="0"/>
                      <w:marRight w:val="0"/>
                      <w:marTop w:val="0"/>
                      <w:marBottom w:val="0"/>
                      <w:divBdr>
                        <w:top w:val="none" w:sz="0" w:space="0" w:color="auto"/>
                        <w:left w:val="none" w:sz="0" w:space="0" w:color="auto"/>
                        <w:bottom w:val="none" w:sz="0" w:space="0" w:color="auto"/>
                        <w:right w:val="none" w:sz="0" w:space="0" w:color="auto"/>
                      </w:divBdr>
                    </w:div>
                  </w:divsChild>
                </w:div>
                <w:div w:id="1801341369">
                  <w:marLeft w:val="0"/>
                  <w:marRight w:val="0"/>
                  <w:marTop w:val="0"/>
                  <w:marBottom w:val="0"/>
                  <w:divBdr>
                    <w:top w:val="none" w:sz="0" w:space="0" w:color="auto"/>
                    <w:left w:val="none" w:sz="0" w:space="0" w:color="auto"/>
                    <w:bottom w:val="none" w:sz="0" w:space="0" w:color="auto"/>
                    <w:right w:val="none" w:sz="0" w:space="0" w:color="auto"/>
                  </w:divBdr>
                  <w:divsChild>
                    <w:div w:id="1000890281">
                      <w:marLeft w:val="0"/>
                      <w:marRight w:val="0"/>
                      <w:marTop w:val="0"/>
                      <w:marBottom w:val="0"/>
                      <w:divBdr>
                        <w:top w:val="none" w:sz="0" w:space="0" w:color="auto"/>
                        <w:left w:val="none" w:sz="0" w:space="0" w:color="auto"/>
                        <w:bottom w:val="none" w:sz="0" w:space="0" w:color="auto"/>
                        <w:right w:val="none" w:sz="0" w:space="0" w:color="auto"/>
                      </w:divBdr>
                    </w:div>
                    <w:div w:id="1905141752">
                      <w:marLeft w:val="0"/>
                      <w:marRight w:val="0"/>
                      <w:marTop w:val="0"/>
                      <w:marBottom w:val="0"/>
                      <w:divBdr>
                        <w:top w:val="none" w:sz="0" w:space="0" w:color="auto"/>
                        <w:left w:val="none" w:sz="0" w:space="0" w:color="auto"/>
                        <w:bottom w:val="none" w:sz="0" w:space="0" w:color="auto"/>
                        <w:right w:val="none" w:sz="0" w:space="0" w:color="auto"/>
                      </w:divBdr>
                    </w:div>
                  </w:divsChild>
                </w:div>
                <w:div w:id="781920784">
                  <w:marLeft w:val="0"/>
                  <w:marRight w:val="0"/>
                  <w:marTop w:val="0"/>
                  <w:marBottom w:val="0"/>
                  <w:divBdr>
                    <w:top w:val="none" w:sz="0" w:space="0" w:color="auto"/>
                    <w:left w:val="none" w:sz="0" w:space="0" w:color="auto"/>
                    <w:bottom w:val="none" w:sz="0" w:space="0" w:color="auto"/>
                    <w:right w:val="none" w:sz="0" w:space="0" w:color="auto"/>
                  </w:divBdr>
                  <w:divsChild>
                    <w:div w:id="1283196868">
                      <w:marLeft w:val="0"/>
                      <w:marRight w:val="0"/>
                      <w:marTop w:val="0"/>
                      <w:marBottom w:val="0"/>
                      <w:divBdr>
                        <w:top w:val="none" w:sz="0" w:space="0" w:color="auto"/>
                        <w:left w:val="none" w:sz="0" w:space="0" w:color="auto"/>
                        <w:bottom w:val="none" w:sz="0" w:space="0" w:color="auto"/>
                        <w:right w:val="none" w:sz="0" w:space="0" w:color="auto"/>
                      </w:divBdr>
                    </w:div>
                    <w:div w:id="18707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4115">
          <w:marLeft w:val="0"/>
          <w:marRight w:val="0"/>
          <w:marTop w:val="0"/>
          <w:marBottom w:val="0"/>
          <w:divBdr>
            <w:top w:val="none" w:sz="0" w:space="0" w:color="auto"/>
            <w:left w:val="none" w:sz="0" w:space="0" w:color="auto"/>
            <w:bottom w:val="none" w:sz="0" w:space="0" w:color="auto"/>
            <w:right w:val="none" w:sz="0" w:space="0" w:color="auto"/>
          </w:divBdr>
        </w:div>
        <w:div w:id="1181702786">
          <w:marLeft w:val="0"/>
          <w:marRight w:val="0"/>
          <w:marTop w:val="0"/>
          <w:marBottom w:val="0"/>
          <w:divBdr>
            <w:top w:val="none" w:sz="0" w:space="0" w:color="auto"/>
            <w:left w:val="none" w:sz="0" w:space="0" w:color="auto"/>
            <w:bottom w:val="none" w:sz="0" w:space="0" w:color="auto"/>
            <w:right w:val="none" w:sz="0" w:space="0" w:color="auto"/>
          </w:divBdr>
        </w:div>
        <w:div w:id="1136096491">
          <w:marLeft w:val="0"/>
          <w:marRight w:val="0"/>
          <w:marTop w:val="0"/>
          <w:marBottom w:val="0"/>
          <w:divBdr>
            <w:top w:val="none" w:sz="0" w:space="0" w:color="auto"/>
            <w:left w:val="none" w:sz="0" w:space="0" w:color="auto"/>
            <w:bottom w:val="none" w:sz="0" w:space="0" w:color="auto"/>
            <w:right w:val="none" w:sz="0" w:space="0" w:color="auto"/>
          </w:divBdr>
        </w:div>
        <w:div w:id="44067920">
          <w:marLeft w:val="0"/>
          <w:marRight w:val="0"/>
          <w:marTop w:val="0"/>
          <w:marBottom w:val="0"/>
          <w:divBdr>
            <w:top w:val="none" w:sz="0" w:space="0" w:color="auto"/>
            <w:left w:val="none" w:sz="0" w:space="0" w:color="auto"/>
            <w:bottom w:val="none" w:sz="0" w:space="0" w:color="auto"/>
            <w:right w:val="none" w:sz="0" w:space="0" w:color="auto"/>
          </w:divBdr>
        </w:div>
        <w:div w:id="1619026209">
          <w:marLeft w:val="0"/>
          <w:marRight w:val="0"/>
          <w:marTop w:val="0"/>
          <w:marBottom w:val="0"/>
          <w:divBdr>
            <w:top w:val="none" w:sz="0" w:space="0" w:color="auto"/>
            <w:left w:val="none" w:sz="0" w:space="0" w:color="auto"/>
            <w:bottom w:val="none" w:sz="0" w:space="0" w:color="auto"/>
            <w:right w:val="none" w:sz="0" w:space="0" w:color="auto"/>
          </w:divBdr>
          <w:divsChild>
            <w:div w:id="449252295">
              <w:marLeft w:val="-75"/>
              <w:marRight w:val="0"/>
              <w:marTop w:val="30"/>
              <w:marBottom w:val="30"/>
              <w:divBdr>
                <w:top w:val="none" w:sz="0" w:space="0" w:color="auto"/>
                <w:left w:val="none" w:sz="0" w:space="0" w:color="auto"/>
                <w:bottom w:val="none" w:sz="0" w:space="0" w:color="auto"/>
                <w:right w:val="none" w:sz="0" w:space="0" w:color="auto"/>
              </w:divBdr>
              <w:divsChild>
                <w:div w:id="1656371447">
                  <w:marLeft w:val="0"/>
                  <w:marRight w:val="0"/>
                  <w:marTop w:val="0"/>
                  <w:marBottom w:val="0"/>
                  <w:divBdr>
                    <w:top w:val="none" w:sz="0" w:space="0" w:color="auto"/>
                    <w:left w:val="none" w:sz="0" w:space="0" w:color="auto"/>
                    <w:bottom w:val="none" w:sz="0" w:space="0" w:color="auto"/>
                    <w:right w:val="none" w:sz="0" w:space="0" w:color="auto"/>
                  </w:divBdr>
                  <w:divsChild>
                    <w:div w:id="1921401303">
                      <w:marLeft w:val="0"/>
                      <w:marRight w:val="0"/>
                      <w:marTop w:val="0"/>
                      <w:marBottom w:val="0"/>
                      <w:divBdr>
                        <w:top w:val="none" w:sz="0" w:space="0" w:color="auto"/>
                        <w:left w:val="none" w:sz="0" w:space="0" w:color="auto"/>
                        <w:bottom w:val="none" w:sz="0" w:space="0" w:color="auto"/>
                        <w:right w:val="none" w:sz="0" w:space="0" w:color="auto"/>
                      </w:divBdr>
                    </w:div>
                  </w:divsChild>
                </w:div>
                <w:div w:id="268784282">
                  <w:marLeft w:val="0"/>
                  <w:marRight w:val="0"/>
                  <w:marTop w:val="0"/>
                  <w:marBottom w:val="0"/>
                  <w:divBdr>
                    <w:top w:val="none" w:sz="0" w:space="0" w:color="auto"/>
                    <w:left w:val="none" w:sz="0" w:space="0" w:color="auto"/>
                    <w:bottom w:val="none" w:sz="0" w:space="0" w:color="auto"/>
                    <w:right w:val="none" w:sz="0" w:space="0" w:color="auto"/>
                  </w:divBdr>
                  <w:divsChild>
                    <w:div w:id="1799519865">
                      <w:marLeft w:val="0"/>
                      <w:marRight w:val="0"/>
                      <w:marTop w:val="0"/>
                      <w:marBottom w:val="0"/>
                      <w:divBdr>
                        <w:top w:val="none" w:sz="0" w:space="0" w:color="auto"/>
                        <w:left w:val="none" w:sz="0" w:space="0" w:color="auto"/>
                        <w:bottom w:val="none" w:sz="0" w:space="0" w:color="auto"/>
                        <w:right w:val="none" w:sz="0" w:space="0" w:color="auto"/>
                      </w:divBdr>
                    </w:div>
                  </w:divsChild>
                </w:div>
                <w:div w:id="58721168">
                  <w:marLeft w:val="0"/>
                  <w:marRight w:val="0"/>
                  <w:marTop w:val="0"/>
                  <w:marBottom w:val="0"/>
                  <w:divBdr>
                    <w:top w:val="none" w:sz="0" w:space="0" w:color="auto"/>
                    <w:left w:val="none" w:sz="0" w:space="0" w:color="auto"/>
                    <w:bottom w:val="none" w:sz="0" w:space="0" w:color="auto"/>
                    <w:right w:val="none" w:sz="0" w:space="0" w:color="auto"/>
                  </w:divBdr>
                  <w:divsChild>
                    <w:div w:id="226840672">
                      <w:marLeft w:val="0"/>
                      <w:marRight w:val="0"/>
                      <w:marTop w:val="0"/>
                      <w:marBottom w:val="0"/>
                      <w:divBdr>
                        <w:top w:val="none" w:sz="0" w:space="0" w:color="auto"/>
                        <w:left w:val="none" w:sz="0" w:space="0" w:color="auto"/>
                        <w:bottom w:val="none" w:sz="0" w:space="0" w:color="auto"/>
                        <w:right w:val="none" w:sz="0" w:space="0" w:color="auto"/>
                      </w:divBdr>
                    </w:div>
                  </w:divsChild>
                </w:div>
                <w:div w:id="571623903">
                  <w:marLeft w:val="0"/>
                  <w:marRight w:val="0"/>
                  <w:marTop w:val="0"/>
                  <w:marBottom w:val="0"/>
                  <w:divBdr>
                    <w:top w:val="none" w:sz="0" w:space="0" w:color="auto"/>
                    <w:left w:val="none" w:sz="0" w:space="0" w:color="auto"/>
                    <w:bottom w:val="none" w:sz="0" w:space="0" w:color="auto"/>
                    <w:right w:val="none" w:sz="0" w:space="0" w:color="auto"/>
                  </w:divBdr>
                  <w:divsChild>
                    <w:div w:id="919294846">
                      <w:marLeft w:val="0"/>
                      <w:marRight w:val="0"/>
                      <w:marTop w:val="0"/>
                      <w:marBottom w:val="0"/>
                      <w:divBdr>
                        <w:top w:val="none" w:sz="0" w:space="0" w:color="auto"/>
                        <w:left w:val="none" w:sz="0" w:space="0" w:color="auto"/>
                        <w:bottom w:val="none" w:sz="0" w:space="0" w:color="auto"/>
                        <w:right w:val="none" w:sz="0" w:space="0" w:color="auto"/>
                      </w:divBdr>
                    </w:div>
                  </w:divsChild>
                </w:div>
                <w:div w:id="1862354731">
                  <w:marLeft w:val="0"/>
                  <w:marRight w:val="0"/>
                  <w:marTop w:val="0"/>
                  <w:marBottom w:val="0"/>
                  <w:divBdr>
                    <w:top w:val="none" w:sz="0" w:space="0" w:color="auto"/>
                    <w:left w:val="none" w:sz="0" w:space="0" w:color="auto"/>
                    <w:bottom w:val="none" w:sz="0" w:space="0" w:color="auto"/>
                    <w:right w:val="none" w:sz="0" w:space="0" w:color="auto"/>
                  </w:divBdr>
                  <w:divsChild>
                    <w:div w:id="454182186">
                      <w:marLeft w:val="0"/>
                      <w:marRight w:val="0"/>
                      <w:marTop w:val="0"/>
                      <w:marBottom w:val="0"/>
                      <w:divBdr>
                        <w:top w:val="none" w:sz="0" w:space="0" w:color="auto"/>
                        <w:left w:val="none" w:sz="0" w:space="0" w:color="auto"/>
                        <w:bottom w:val="none" w:sz="0" w:space="0" w:color="auto"/>
                        <w:right w:val="none" w:sz="0" w:space="0" w:color="auto"/>
                      </w:divBdr>
                    </w:div>
                  </w:divsChild>
                </w:div>
                <w:div w:id="229776839">
                  <w:marLeft w:val="0"/>
                  <w:marRight w:val="0"/>
                  <w:marTop w:val="0"/>
                  <w:marBottom w:val="0"/>
                  <w:divBdr>
                    <w:top w:val="none" w:sz="0" w:space="0" w:color="auto"/>
                    <w:left w:val="none" w:sz="0" w:space="0" w:color="auto"/>
                    <w:bottom w:val="none" w:sz="0" w:space="0" w:color="auto"/>
                    <w:right w:val="none" w:sz="0" w:space="0" w:color="auto"/>
                  </w:divBdr>
                  <w:divsChild>
                    <w:div w:id="1258756458">
                      <w:marLeft w:val="0"/>
                      <w:marRight w:val="0"/>
                      <w:marTop w:val="0"/>
                      <w:marBottom w:val="0"/>
                      <w:divBdr>
                        <w:top w:val="none" w:sz="0" w:space="0" w:color="auto"/>
                        <w:left w:val="none" w:sz="0" w:space="0" w:color="auto"/>
                        <w:bottom w:val="none" w:sz="0" w:space="0" w:color="auto"/>
                        <w:right w:val="none" w:sz="0" w:space="0" w:color="auto"/>
                      </w:divBdr>
                    </w:div>
                  </w:divsChild>
                </w:div>
                <w:div w:id="618028871">
                  <w:marLeft w:val="0"/>
                  <w:marRight w:val="0"/>
                  <w:marTop w:val="0"/>
                  <w:marBottom w:val="0"/>
                  <w:divBdr>
                    <w:top w:val="none" w:sz="0" w:space="0" w:color="auto"/>
                    <w:left w:val="none" w:sz="0" w:space="0" w:color="auto"/>
                    <w:bottom w:val="none" w:sz="0" w:space="0" w:color="auto"/>
                    <w:right w:val="none" w:sz="0" w:space="0" w:color="auto"/>
                  </w:divBdr>
                  <w:divsChild>
                    <w:div w:id="1611890062">
                      <w:marLeft w:val="0"/>
                      <w:marRight w:val="0"/>
                      <w:marTop w:val="0"/>
                      <w:marBottom w:val="0"/>
                      <w:divBdr>
                        <w:top w:val="none" w:sz="0" w:space="0" w:color="auto"/>
                        <w:left w:val="none" w:sz="0" w:space="0" w:color="auto"/>
                        <w:bottom w:val="none" w:sz="0" w:space="0" w:color="auto"/>
                        <w:right w:val="none" w:sz="0" w:space="0" w:color="auto"/>
                      </w:divBdr>
                    </w:div>
                    <w:div w:id="1681081543">
                      <w:marLeft w:val="0"/>
                      <w:marRight w:val="0"/>
                      <w:marTop w:val="0"/>
                      <w:marBottom w:val="0"/>
                      <w:divBdr>
                        <w:top w:val="none" w:sz="0" w:space="0" w:color="auto"/>
                        <w:left w:val="none" w:sz="0" w:space="0" w:color="auto"/>
                        <w:bottom w:val="none" w:sz="0" w:space="0" w:color="auto"/>
                        <w:right w:val="none" w:sz="0" w:space="0" w:color="auto"/>
                      </w:divBdr>
                    </w:div>
                  </w:divsChild>
                </w:div>
                <w:div w:id="1868641248">
                  <w:marLeft w:val="0"/>
                  <w:marRight w:val="0"/>
                  <w:marTop w:val="0"/>
                  <w:marBottom w:val="0"/>
                  <w:divBdr>
                    <w:top w:val="none" w:sz="0" w:space="0" w:color="auto"/>
                    <w:left w:val="none" w:sz="0" w:space="0" w:color="auto"/>
                    <w:bottom w:val="none" w:sz="0" w:space="0" w:color="auto"/>
                    <w:right w:val="none" w:sz="0" w:space="0" w:color="auto"/>
                  </w:divBdr>
                  <w:divsChild>
                    <w:div w:id="1153908876">
                      <w:marLeft w:val="0"/>
                      <w:marRight w:val="0"/>
                      <w:marTop w:val="0"/>
                      <w:marBottom w:val="0"/>
                      <w:divBdr>
                        <w:top w:val="none" w:sz="0" w:space="0" w:color="auto"/>
                        <w:left w:val="none" w:sz="0" w:space="0" w:color="auto"/>
                        <w:bottom w:val="none" w:sz="0" w:space="0" w:color="auto"/>
                        <w:right w:val="none" w:sz="0" w:space="0" w:color="auto"/>
                      </w:divBdr>
                    </w:div>
                    <w:div w:id="1191334093">
                      <w:marLeft w:val="0"/>
                      <w:marRight w:val="0"/>
                      <w:marTop w:val="0"/>
                      <w:marBottom w:val="0"/>
                      <w:divBdr>
                        <w:top w:val="none" w:sz="0" w:space="0" w:color="auto"/>
                        <w:left w:val="none" w:sz="0" w:space="0" w:color="auto"/>
                        <w:bottom w:val="none" w:sz="0" w:space="0" w:color="auto"/>
                        <w:right w:val="none" w:sz="0" w:space="0" w:color="auto"/>
                      </w:divBdr>
                    </w:div>
                  </w:divsChild>
                </w:div>
                <w:div w:id="2001762615">
                  <w:marLeft w:val="0"/>
                  <w:marRight w:val="0"/>
                  <w:marTop w:val="0"/>
                  <w:marBottom w:val="0"/>
                  <w:divBdr>
                    <w:top w:val="none" w:sz="0" w:space="0" w:color="auto"/>
                    <w:left w:val="none" w:sz="0" w:space="0" w:color="auto"/>
                    <w:bottom w:val="none" w:sz="0" w:space="0" w:color="auto"/>
                    <w:right w:val="none" w:sz="0" w:space="0" w:color="auto"/>
                  </w:divBdr>
                  <w:divsChild>
                    <w:div w:id="615865285">
                      <w:marLeft w:val="0"/>
                      <w:marRight w:val="0"/>
                      <w:marTop w:val="0"/>
                      <w:marBottom w:val="0"/>
                      <w:divBdr>
                        <w:top w:val="none" w:sz="0" w:space="0" w:color="auto"/>
                        <w:left w:val="none" w:sz="0" w:space="0" w:color="auto"/>
                        <w:bottom w:val="none" w:sz="0" w:space="0" w:color="auto"/>
                        <w:right w:val="none" w:sz="0" w:space="0" w:color="auto"/>
                      </w:divBdr>
                    </w:div>
                    <w:div w:id="1011179096">
                      <w:marLeft w:val="0"/>
                      <w:marRight w:val="0"/>
                      <w:marTop w:val="0"/>
                      <w:marBottom w:val="0"/>
                      <w:divBdr>
                        <w:top w:val="none" w:sz="0" w:space="0" w:color="auto"/>
                        <w:left w:val="none" w:sz="0" w:space="0" w:color="auto"/>
                        <w:bottom w:val="none" w:sz="0" w:space="0" w:color="auto"/>
                        <w:right w:val="none" w:sz="0" w:space="0" w:color="auto"/>
                      </w:divBdr>
                    </w:div>
                  </w:divsChild>
                </w:div>
                <w:div w:id="641159238">
                  <w:marLeft w:val="0"/>
                  <w:marRight w:val="0"/>
                  <w:marTop w:val="0"/>
                  <w:marBottom w:val="0"/>
                  <w:divBdr>
                    <w:top w:val="none" w:sz="0" w:space="0" w:color="auto"/>
                    <w:left w:val="none" w:sz="0" w:space="0" w:color="auto"/>
                    <w:bottom w:val="none" w:sz="0" w:space="0" w:color="auto"/>
                    <w:right w:val="none" w:sz="0" w:space="0" w:color="auto"/>
                  </w:divBdr>
                  <w:divsChild>
                    <w:div w:id="1676031374">
                      <w:marLeft w:val="0"/>
                      <w:marRight w:val="0"/>
                      <w:marTop w:val="0"/>
                      <w:marBottom w:val="0"/>
                      <w:divBdr>
                        <w:top w:val="none" w:sz="0" w:space="0" w:color="auto"/>
                        <w:left w:val="none" w:sz="0" w:space="0" w:color="auto"/>
                        <w:bottom w:val="none" w:sz="0" w:space="0" w:color="auto"/>
                        <w:right w:val="none" w:sz="0" w:space="0" w:color="auto"/>
                      </w:divBdr>
                    </w:div>
                    <w:div w:id="2851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3090">
          <w:marLeft w:val="0"/>
          <w:marRight w:val="0"/>
          <w:marTop w:val="0"/>
          <w:marBottom w:val="0"/>
          <w:divBdr>
            <w:top w:val="none" w:sz="0" w:space="0" w:color="auto"/>
            <w:left w:val="none" w:sz="0" w:space="0" w:color="auto"/>
            <w:bottom w:val="none" w:sz="0" w:space="0" w:color="auto"/>
            <w:right w:val="none" w:sz="0" w:space="0" w:color="auto"/>
          </w:divBdr>
        </w:div>
        <w:div w:id="377165832">
          <w:marLeft w:val="0"/>
          <w:marRight w:val="0"/>
          <w:marTop w:val="0"/>
          <w:marBottom w:val="0"/>
          <w:divBdr>
            <w:top w:val="none" w:sz="0" w:space="0" w:color="auto"/>
            <w:left w:val="none" w:sz="0" w:space="0" w:color="auto"/>
            <w:bottom w:val="none" w:sz="0" w:space="0" w:color="auto"/>
            <w:right w:val="none" w:sz="0" w:space="0" w:color="auto"/>
          </w:divBdr>
        </w:div>
      </w:divsChild>
    </w:div>
    <w:div w:id="169148621">
      <w:bodyDiv w:val="1"/>
      <w:marLeft w:val="0"/>
      <w:marRight w:val="0"/>
      <w:marTop w:val="0"/>
      <w:marBottom w:val="0"/>
      <w:divBdr>
        <w:top w:val="none" w:sz="0" w:space="0" w:color="auto"/>
        <w:left w:val="none" w:sz="0" w:space="0" w:color="auto"/>
        <w:bottom w:val="none" w:sz="0" w:space="0" w:color="auto"/>
        <w:right w:val="none" w:sz="0" w:space="0" w:color="auto"/>
      </w:divBdr>
      <w:divsChild>
        <w:div w:id="1540895481">
          <w:marLeft w:val="0"/>
          <w:marRight w:val="0"/>
          <w:marTop w:val="0"/>
          <w:marBottom w:val="0"/>
          <w:divBdr>
            <w:top w:val="none" w:sz="0" w:space="0" w:color="auto"/>
            <w:left w:val="none" w:sz="0" w:space="0" w:color="auto"/>
            <w:bottom w:val="none" w:sz="0" w:space="0" w:color="auto"/>
            <w:right w:val="none" w:sz="0" w:space="0" w:color="auto"/>
          </w:divBdr>
        </w:div>
        <w:div w:id="428434803">
          <w:marLeft w:val="0"/>
          <w:marRight w:val="0"/>
          <w:marTop w:val="0"/>
          <w:marBottom w:val="0"/>
          <w:divBdr>
            <w:top w:val="none" w:sz="0" w:space="0" w:color="auto"/>
            <w:left w:val="none" w:sz="0" w:space="0" w:color="auto"/>
            <w:bottom w:val="none" w:sz="0" w:space="0" w:color="auto"/>
            <w:right w:val="none" w:sz="0" w:space="0" w:color="auto"/>
          </w:divBdr>
        </w:div>
      </w:divsChild>
    </w:div>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727954">
      <w:bodyDiv w:val="1"/>
      <w:marLeft w:val="0"/>
      <w:marRight w:val="0"/>
      <w:marTop w:val="0"/>
      <w:marBottom w:val="0"/>
      <w:divBdr>
        <w:top w:val="none" w:sz="0" w:space="0" w:color="auto"/>
        <w:left w:val="none" w:sz="0" w:space="0" w:color="auto"/>
        <w:bottom w:val="none" w:sz="0" w:space="0" w:color="auto"/>
        <w:right w:val="none" w:sz="0" w:space="0" w:color="auto"/>
      </w:divBdr>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541020061">
      <w:bodyDiv w:val="1"/>
      <w:marLeft w:val="0"/>
      <w:marRight w:val="0"/>
      <w:marTop w:val="0"/>
      <w:marBottom w:val="0"/>
      <w:divBdr>
        <w:top w:val="none" w:sz="0" w:space="0" w:color="auto"/>
        <w:left w:val="none" w:sz="0" w:space="0" w:color="auto"/>
        <w:bottom w:val="none" w:sz="0" w:space="0" w:color="auto"/>
        <w:right w:val="none" w:sz="0" w:space="0" w:color="auto"/>
      </w:divBdr>
      <w:divsChild>
        <w:div w:id="1158570590">
          <w:marLeft w:val="0"/>
          <w:marRight w:val="0"/>
          <w:marTop w:val="0"/>
          <w:marBottom w:val="0"/>
          <w:divBdr>
            <w:top w:val="none" w:sz="0" w:space="0" w:color="auto"/>
            <w:left w:val="none" w:sz="0" w:space="0" w:color="auto"/>
            <w:bottom w:val="none" w:sz="0" w:space="0" w:color="auto"/>
            <w:right w:val="none" w:sz="0" w:space="0" w:color="auto"/>
          </w:divBdr>
        </w:div>
        <w:div w:id="1390418824">
          <w:marLeft w:val="0"/>
          <w:marRight w:val="0"/>
          <w:marTop w:val="0"/>
          <w:marBottom w:val="0"/>
          <w:divBdr>
            <w:top w:val="none" w:sz="0" w:space="0" w:color="auto"/>
            <w:left w:val="none" w:sz="0" w:space="0" w:color="auto"/>
            <w:bottom w:val="none" w:sz="0" w:space="0" w:color="auto"/>
            <w:right w:val="none" w:sz="0" w:space="0" w:color="auto"/>
          </w:divBdr>
          <w:divsChild>
            <w:div w:id="2030451778">
              <w:marLeft w:val="-75"/>
              <w:marRight w:val="0"/>
              <w:marTop w:val="30"/>
              <w:marBottom w:val="30"/>
              <w:divBdr>
                <w:top w:val="none" w:sz="0" w:space="0" w:color="auto"/>
                <w:left w:val="none" w:sz="0" w:space="0" w:color="auto"/>
                <w:bottom w:val="none" w:sz="0" w:space="0" w:color="auto"/>
                <w:right w:val="none" w:sz="0" w:space="0" w:color="auto"/>
              </w:divBdr>
              <w:divsChild>
                <w:div w:id="2031829936">
                  <w:marLeft w:val="0"/>
                  <w:marRight w:val="0"/>
                  <w:marTop w:val="0"/>
                  <w:marBottom w:val="0"/>
                  <w:divBdr>
                    <w:top w:val="none" w:sz="0" w:space="0" w:color="auto"/>
                    <w:left w:val="none" w:sz="0" w:space="0" w:color="auto"/>
                    <w:bottom w:val="none" w:sz="0" w:space="0" w:color="auto"/>
                    <w:right w:val="none" w:sz="0" w:space="0" w:color="auto"/>
                  </w:divBdr>
                  <w:divsChild>
                    <w:div w:id="1679844756">
                      <w:marLeft w:val="0"/>
                      <w:marRight w:val="0"/>
                      <w:marTop w:val="0"/>
                      <w:marBottom w:val="0"/>
                      <w:divBdr>
                        <w:top w:val="none" w:sz="0" w:space="0" w:color="auto"/>
                        <w:left w:val="none" w:sz="0" w:space="0" w:color="auto"/>
                        <w:bottom w:val="none" w:sz="0" w:space="0" w:color="auto"/>
                        <w:right w:val="none" w:sz="0" w:space="0" w:color="auto"/>
                      </w:divBdr>
                    </w:div>
                  </w:divsChild>
                </w:div>
                <w:div w:id="1423725233">
                  <w:marLeft w:val="0"/>
                  <w:marRight w:val="0"/>
                  <w:marTop w:val="0"/>
                  <w:marBottom w:val="0"/>
                  <w:divBdr>
                    <w:top w:val="none" w:sz="0" w:space="0" w:color="auto"/>
                    <w:left w:val="none" w:sz="0" w:space="0" w:color="auto"/>
                    <w:bottom w:val="none" w:sz="0" w:space="0" w:color="auto"/>
                    <w:right w:val="none" w:sz="0" w:space="0" w:color="auto"/>
                  </w:divBdr>
                  <w:divsChild>
                    <w:div w:id="1103378345">
                      <w:marLeft w:val="0"/>
                      <w:marRight w:val="0"/>
                      <w:marTop w:val="0"/>
                      <w:marBottom w:val="0"/>
                      <w:divBdr>
                        <w:top w:val="none" w:sz="0" w:space="0" w:color="auto"/>
                        <w:left w:val="none" w:sz="0" w:space="0" w:color="auto"/>
                        <w:bottom w:val="none" w:sz="0" w:space="0" w:color="auto"/>
                        <w:right w:val="none" w:sz="0" w:space="0" w:color="auto"/>
                      </w:divBdr>
                    </w:div>
                  </w:divsChild>
                </w:div>
                <w:div w:id="1519394018">
                  <w:marLeft w:val="0"/>
                  <w:marRight w:val="0"/>
                  <w:marTop w:val="0"/>
                  <w:marBottom w:val="0"/>
                  <w:divBdr>
                    <w:top w:val="none" w:sz="0" w:space="0" w:color="auto"/>
                    <w:left w:val="none" w:sz="0" w:space="0" w:color="auto"/>
                    <w:bottom w:val="none" w:sz="0" w:space="0" w:color="auto"/>
                    <w:right w:val="none" w:sz="0" w:space="0" w:color="auto"/>
                  </w:divBdr>
                  <w:divsChild>
                    <w:div w:id="1750422526">
                      <w:marLeft w:val="0"/>
                      <w:marRight w:val="0"/>
                      <w:marTop w:val="0"/>
                      <w:marBottom w:val="0"/>
                      <w:divBdr>
                        <w:top w:val="none" w:sz="0" w:space="0" w:color="auto"/>
                        <w:left w:val="none" w:sz="0" w:space="0" w:color="auto"/>
                        <w:bottom w:val="none" w:sz="0" w:space="0" w:color="auto"/>
                        <w:right w:val="none" w:sz="0" w:space="0" w:color="auto"/>
                      </w:divBdr>
                    </w:div>
                  </w:divsChild>
                </w:div>
                <w:div w:id="908659084">
                  <w:marLeft w:val="0"/>
                  <w:marRight w:val="0"/>
                  <w:marTop w:val="0"/>
                  <w:marBottom w:val="0"/>
                  <w:divBdr>
                    <w:top w:val="none" w:sz="0" w:space="0" w:color="auto"/>
                    <w:left w:val="none" w:sz="0" w:space="0" w:color="auto"/>
                    <w:bottom w:val="none" w:sz="0" w:space="0" w:color="auto"/>
                    <w:right w:val="none" w:sz="0" w:space="0" w:color="auto"/>
                  </w:divBdr>
                  <w:divsChild>
                    <w:div w:id="179860433">
                      <w:marLeft w:val="0"/>
                      <w:marRight w:val="0"/>
                      <w:marTop w:val="0"/>
                      <w:marBottom w:val="0"/>
                      <w:divBdr>
                        <w:top w:val="none" w:sz="0" w:space="0" w:color="auto"/>
                        <w:left w:val="none" w:sz="0" w:space="0" w:color="auto"/>
                        <w:bottom w:val="none" w:sz="0" w:space="0" w:color="auto"/>
                        <w:right w:val="none" w:sz="0" w:space="0" w:color="auto"/>
                      </w:divBdr>
                    </w:div>
                  </w:divsChild>
                </w:div>
                <w:div w:id="1047602549">
                  <w:marLeft w:val="0"/>
                  <w:marRight w:val="0"/>
                  <w:marTop w:val="0"/>
                  <w:marBottom w:val="0"/>
                  <w:divBdr>
                    <w:top w:val="none" w:sz="0" w:space="0" w:color="auto"/>
                    <w:left w:val="none" w:sz="0" w:space="0" w:color="auto"/>
                    <w:bottom w:val="none" w:sz="0" w:space="0" w:color="auto"/>
                    <w:right w:val="none" w:sz="0" w:space="0" w:color="auto"/>
                  </w:divBdr>
                  <w:divsChild>
                    <w:div w:id="1409420520">
                      <w:marLeft w:val="0"/>
                      <w:marRight w:val="0"/>
                      <w:marTop w:val="0"/>
                      <w:marBottom w:val="0"/>
                      <w:divBdr>
                        <w:top w:val="none" w:sz="0" w:space="0" w:color="auto"/>
                        <w:left w:val="none" w:sz="0" w:space="0" w:color="auto"/>
                        <w:bottom w:val="none" w:sz="0" w:space="0" w:color="auto"/>
                        <w:right w:val="none" w:sz="0" w:space="0" w:color="auto"/>
                      </w:divBdr>
                    </w:div>
                  </w:divsChild>
                </w:div>
                <w:div w:id="2072850894">
                  <w:marLeft w:val="0"/>
                  <w:marRight w:val="0"/>
                  <w:marTop w:val="0"/>
                  <w:marBottom w:val="0"/>
                  <w:divBdr>
                    <w:top w:val="none" w:sz="0" w:space="0" w:color="auto"/>
                    <w:left w:val="none" w:sz="0" w:space="0" w:color="auto"/>
                    <w:bottom w:val="none" w:sz="0" w:space="0" w:color="auto"/>
                    <w:right w:val="none" w:sz="0" w:space="0" w:color="auto"/>
                  </w:divBdr>
                  <w:divsChild>
                    <w:div w:id="109857947">
                      <w:marLeft w:val="0"/>
                      <w:marRight w:val="0"/>
                      <w:marTop w:val="0"/>
                      <w:marBottom w:val="0"/>
                      <w:divBdr>
                        <w:top w:val="none" w:sz="0" w:space="0" w:color="auto"/>
                        <w:left w:val="none" w:sz="0" w:space="0" w:color="auto"/>
                        <w:bottom w:val="none" w:sz="0" w:space="0" w:color="auto"/>
                        <w:right w:val="none" w:sz="0" w:space="0" w:color="auto"/>
                      </w:divBdr>
                    </w:div>
                  </w:divsChild>
                </w:div>
                <w:div w:id="46496782">
                  <w:marLeft w:val="0"/>
                  <w:marRight w:val="0"/>
                  <w:marTop w:val="0"/>
                  <w:marBottom w:val="0"/>
                  <w:divBdr>
                    <w:top w:val="none" w:sz="0" w:space="0" w:color="auto"/>
                    <w:left w:val="none" w:sz="0" w:space="0" w:color="auto"/>
                    <w:bottom w:val="none" w:sz="0" w:space="0" w:color="auto"/>
                    <w:right w:val="none" w:sz="0" w:space="0" w:color="auto"/>
                  </w:divBdr>
                  <w:divsChild>
                    <w:div w:id="991565981">
                      <w:marLeft w:val="0"/>
                      <w:marRight w:val="0"/>
                      <w:marTop w:val="0"/>
                      <w:marBottom w:val="0"/>
                      <w:divBdr>
                        <w:top w:val="none" w:sz="0" w:space="0" w:color="auto"/>
                        <w:left w:val="none" w:sz="0" w:space="0" w:color="auto"/>
                        <w:bottom w:val="none" w:sz="0" w:space="0" w:color="auto"/>
                        <w:right w:val="none" w:sz="0" w:space="0" w:color="auto"/>
                      </w:divBdr>
                    </w:div>
                    <w:div w:id="1569803993">
                      <w:marLeft w:val="0"/>
                      <w:marRight w:val="0"/>
                      <w:marTop w:val="0"/>
                      <w:marBottom w:val="0"/>
                      <w:divBdr>
                        <w:top w:val="none" w:sz="0" w:space="0" w:color="auto"/>
                        <w:left w:val="none" w:sz="0" w:space="0" w:color="auto"/>
                        <w:bottom w:val="none" w:sz="0" w:space="0" w:color="auto"/>
                        <w:right w:val="none" w:sz="0" w:space="0" w:color="auto"/>
                      </w:divBdr>
                    </w:div>
                  </w:divsChild>
                </w:div>
                <w:div w:id="591667898">
                  <w:marLeft w:val="0"/>
                  <w:marRight w:val="0"/>
                  <w:marTop w:val="0"/>
                  <w:marBottom w:val="0"/>
                  <w:divBdr>
                    <w:top w:val="none" w:sz="0" w:space="0" w:color="auto"/>
                    <w:left w:val="none" w:sz="0" w:space="0" w:color="auto"/>
                    <w:bottom w:val="none" w:sz="0" w:space="0" w:color="auto"/>
                    <w:right w:val="none" w:sz="0" w:space="0" w:color="auto"/>
                  </w:divBdr>
                  <w:divsChild>
                    <w:div w:id="1429888461">
                      <w:marLeft w:val="0"/>
                      <w:marRight w:val="0"/>
                      <w:marTop w:val="0"/>
                      <w:marBottom w:val="0"/>
                      <w:divBdr>
                        <w:top w:val="none" w:sz="0" w:space="0" w:color="auto"/>
                        <w:left w:val="none" w:sz="0" w:space="0" w:color="auto"/>
                        <w:bottom w:val="none" w:sz="0" w:space="0" w:color="auto"/>
                        <w:right w:val="none" w:sz="0" w:space="0" w:color="auto"/>
                      </w:divBdr>
                    </w:div>
                    <w:div w:id="551844727">
                      <w:marLeft w:val="0"/>
                      <w:marRight w:val="0"/>
                      <w:marTop w:val="0"/>
                      <w:marBottom w:val="0"/>
                      <w:divBdr>
                        <w:top w:val="none" w:sz="0" w:space="0" w:color="auto"/>
                        <w:left w:val="none" w:sz="0" w:space="0" w:color="auto"/>
                        <w:bottom w:val="none" w:sz="0" w:space="0" w:color="auto"/>
                        <w:right w:val="none" w:sz="0" w:space="0" w:color="auto"/>
                      </w:divBdr>
                    </w:div>
                  </w:divsChild>
                </w:div>
                <w:div w:id="1961719981">
                  <w:marLeft w:val="0"/>
                  <w:marRight w:val="0"/>
                  <w:marTop w:val="0"/>
                  <w:marBottom w:val="0"/>
                  <w:divBdr>
                    <w:top w:val="none" w:sz="0" w:space="0" w:color="auto"/>
                    <w:left w:val="none" w:sz="0" w:space="0" w:color="auto"/>
                    <w:bottom w:val="none" w:sz="0" w:space="0" w:color="auto"/>
                    <w:right w:val="none" w:sz="0" w:space="0" w:color="auto"/>
                  </w:divBdr>
                  <w:divsChild>
                    <w:div w:id="1119880891">
                      <w:marLeft w:val="0"/>
                      <w:marRight w:val="0"/>
                      <w:marTop w:val="0"/>
                      <w:marBottom w:val="0"/>
                      <w:divBdr>
                        <w:top w:val="none" w:sz="0" w:space="0" w:color="auto"/>
                        <w:left w:val="none" w:sz="0" w:space="0" w:color="auto"/>
                        <w:bottom w:val="none" w:sz="0" w:space="0" w:color="auto"/>
                        <w:right w:val="none" w:sz="0" w:space="0" w:color="auto"/>
                      </w:divBdr>
                    </w:div>
                    <w:div w:id="1125587039">
                      <w:marLeft w:val="0"/>
                      <w:marRight w:val="0"/>
                      <w:marTop w:val="0"/>
                      <w:marBottom w:val="0"/>
                      <w:divBdr>
                        <w:top w:val="none" w:sz="0" w:space="0" w:color="auto"/>
                        <w:left w:val="none" w:sz="0" w:space="0" w:color="auto"/>
                        <w:bottom w:val="none" w:sz="0" w:space="0" w:color="auto"/>
                        <w:right w:val="none" w:sz="0" w:space="0" w:color="auto"/>
                      </w:divBdr>
                    </w:div>
                  </w:divsChild>
                </w:div>
                <w:div w:id="311761861">
                  <w:marLeft w:val="0"/>
                  <w:marRight w:val="0"/>
                  <w:marTop w:val="0"/>
                  <w:marBottom w:val="0"/>
                  <w:divBdr>
                    <w:top w:val="none" w:sz="0" w:space="0" w:color="auto"/>
                    <w:left w:val="none" w:sz="0" w:space="0" w:color="auto"/>
                    <w:bottom w:val="none" w:sz="0" w:space="0" w:color="auto"/>
                    <w:right w:val="none" w:sz="0" w:space="0" w:color="auto"/>
                  </w:divBdr>
                  <w:divsChild>
                    <w:div w:id="1108966118">
                      <w:marLeft w:val="0"/>
                      <w:marRight w:val="0"/>
                      <w:marTop w:val="0"/>
                      <w:marBottom w:val="0"/>
                      <w:divBdr>
                        <w:top w:val="none" w:sz="0" w:space="0" w:color="auto"/>
                        <w:left w:val="none" w:sz="0" w:space="0" w:color="auto"/>
                        <w:bottom w:val="none" w:sz="0" w:space="0" w:color="auto"/>
                        <w:right w:val="none" w:sz="0" w:space="0" w:color="auto"/>
                      </w:divBdr>
                    </w:div>
                    <w:div w:id="20289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29765">
          <w:marLeft w:val="0"/>
          <w:marRight w:val="0"/>
          <w:marTop w:val="0"/>
          <w:marBottom w:val="0"/>
          <w:divBdr>
            <w:top w:val="none" w:sz="0" w:space="0" w:color="auto"/>
            <w:left w:val="none" w:sz="0" w:space="0" w:color="auto"/>
            <w:bottom w:val="none" w:sz="0" w:space="0" w:color="auto"/>
            <w:right w:val="none" w:sz="0" w:space="0" w:color="auto"/>
          </w:divBdr>
        </w:div>
        <w:div w:id="1388608488">
          <w:marLeft w:val="0"/>
          <w:marRight w:val="0"/>
          <w:marTop w:val="0"/>
          <w:marBottom w:val="0"/>
          <w:divBdr>
            <w:top w:val="none" w:sz="0" w:space="0" w:color="auto"/>
            <w:left w:val="none" w:sz="0" w:space="0" w:color="auto"/>
            <w:bottom w:val="none" w:sz="0" w:space="0" w:color="auto"/>
            <w:right w:val="none" w:sz="0" w:space="0" w:color="auto"/>
          </w:divBdr>
        </w:div>
        <w:div w:id="366372488">
          <w:marLeft w:val="0"/>
          <w:marRight w:val="0"/>
          <w:marTop w:val="0"/>
          <w:marBottom w:val="0"/>
          <w:divBdr>
            <w:top w:val="none" w:sz="0" w:space="0" w:color="auto"/>
            <w:left w:val="none" w:sz="0" w:space="0" w:color="auto"/>
            <w:bottom w:val="none" w:sz="0" w:space="0" w:color="auto"/>
            <w:right w:val="none" w:sz="0" w:space="0" w:color="auto"/>
          </w:divBdr>
        </w:div>
        <w:div w:id="569971149">
          <w:marLeft w:val="0"/>
          <w:marRight w:val="0"/>
          <w:marTop w:val="0"/>
          <w:marBottom w:val="0"/>
          <w:divBdr>
            <w:top w:val="none" w:sz="0" w:space="0" w:color="auto"/>
            <w:left w:val="none" w:sz="0" w:space="0" w:color="auto"/>
            <w:bottom w:val="none" w:sz="0" w:space="0" w:color="auto"/>
            <w:right w:val="none" w:sz="0" w:space="0" w:color="auto"/>
          </w:divBdr>
        </w:div>
        <w:div w:id="1170828382">
          <w:marLeft w:val="0"/>
          <w:marRight w:val="0"/>
          <w:marTop w:val="0"/>
          <w:marBottom w:val="0"/>
          <w:divBdr>
            <w:top w:val="none" w:sz="0" w:space="0" w:color="auto"/>
            <w:left w:val="none" w:sz="0" w:space="0" w:color="auto"/>
            <w:bottom w:val="none" w:sz="0" w:space="0" w:color="auto"/>
            <w:right w:val="none" w:sz="0" w:space="0" w:color="auto"/>
          </w:divBdr>
          <w:divsChild>
            <w:div w:id="1488935307">
              <w:marLeft w:val="-75"/>
              <w:marRight w:val="0"/>
              <w:marTop w:val="30"/>
              <w:marBottom w:val="30"/>
              <w:divBdr>
                <w:top w:val="none" w:sz="0" w:space="0" w:color="auto"/>
                <w:left w:val="none" w:sz="0" w:space="0" w:color="auto"/>
                <w:bottom w:val="none" w:sz="0" w:space="0" w:color="auto"/>
                <w:right w:val="none" w:sz="0" w:space="0" w:color="auto"/>
              </w:divBdr>
              <w:divsChild>
                <w:div w:id="250312042">
                  <w:marLeft w:val="0"/>
                  <w:marRight w:val="0"/>
                  <w:marTop w:val="0"/>
                  <w:marBottom w:val="0"/>
                  <w:divBdr>
                    <w:top w:val="none" w:sz="0" w:space="0" w:color="auto"/>
                    <w:left w:val="none" w:sz="0" w:space="0" w:color="auto"/>
                    <w:bottom w:val="none" w:sz="0" w:space="0" w:color="auto"/>
                    <w:right w:val="none" w:sz="0" w:space="0" w:color="auto"/>
                  </w:divBdr>
                  <w:divsChild>
                    <w:div w:id="97725537">
                      <w:marLeft w:val="0"/>
                      <w:marRight w:val="0"/>
                      <w:marTop w:val="0"/>
                      <w:marBottom w:val="0"/>
                      <w:divBdr>
                        <w:top w:val="none" w:sz="0" w:space="0" w:color="auto"/>
                        <w:left w:val="none" w:sz="0" w:space="0" w:color="auto"/>
                        <w:bottom w:val="none" w:sz="0" w:space="0" w:color="auto"/>
                        <w:right w:val="none" w:sz="0" w:space="0" w:color="auto"/>
                      </w:divBdr>
                    </w:div>
                  </w:divsChild>
                </w:div>
                <w:div w:id="1324048174">
                  <w:marLeft w:val="0"/>
                  <w:marRight w:val="0"/>
                  <w:marTop w:val="0"/>
                  <w:marBottom w:val="0"/>
                  <w:divBdr>
                    <w:top w:val="none" w:sz="0" w:space="0" w:color="auto"/>
                    <w:left w:val="none" w:sz="0" w:space="0" w:color="auto"/>
                    <w:bottom w:val="none" w:sz="0" w:space="0" w:color="auto"/>
                    <w:right w:val="none" w:sz="0" w:space="0" w:color="auto"/>
                  </w:divBdr>
                  <w:divsChild>
                    <w:div w:id="557863296">
                      <w:marLeft w:val="0"/>
                      <w:marRight w:val="0"/>
                      <w:marTop w:val="0"/>
                      <w:marBottom w:val="0"/>
                      <w:divBdr>
                        <w:top w:val="none" w:sz="0" w:space="0" w:color="auto"/>
                        <w:left w:val="none" w:sz="0" w:space="0" w:color="auto"/>
                        <w:bottom w:val="none" w:sz="0" w:space="0" w:color="auto"/>
                        <w:right w:val="none" w:sz="0" w:space="0" w:color="auto"/>
                      </w:divBdr>
                    </w:div>
                  </w:divsChild>
                </w:div>
                <w:div w:id="1801456334">
                  <w:marLeft w:val="0"/>
                  <w:marRight w:val="0"/>
                  <w:marTop w:val="0"/>
                  <w:marBottom w:val="0"/>
                  <w:divBdr>
                    <w:top w:val="none" w:sz="0" w:space="0" w:color="auto"/>
                    <w:left w:val="none" w:sz="0" w:space="0" w:color="auto"/>
                    <w:bottom w:val="none" w:sz="0" w:space="0" w:color="auto"/>
                    <w:right w:val="none" w:sz="0" w:space="0" w:color="auto"/>
                  </w:divBdr>
                  <w:divsChild>
                    <w:div w:id="56320490">
                      <w:marLeft w:val="0"/>
                      <w:marRight w:val="0"/>
                      <w:marTop w:val="0"/>
                      <w:marBottom w:val="0"/>
                      <w:divBdr>
                        <w:top w:val="none" w:sz="0" w:space="0" w:color="auto"/>
                        <w:left w:val="none" w:sz="0" w:space="0" w:color="auto"/>
                        <w:bottom w:val="none" w:sz="0" w:space="0" w:color="auto"/>
                        <w:right w:val="none" w:sz="0" w:space="0" w:color="auto"/>
                      </w:divBdr>
                    </w:div>
                  </w:divsChild>
                </w:div>
                <w:div w:id="1683586648">
                  <w:marLeft w:val="0"/>
                  <w:marRight w:val="0"/>
                  <w:marTop w:val="0"/>
                  <w:marBottom w:val="0"/>
                  <w:divBdr>
                    <w:top w:val="none" w:sz="0" w:space="0" w:color="auto"/>
                    <w:left w:val="none" w:sz="0" w:space="0" w:color="auto"/>
                    <w:bottom w:val="none" w:sz="0" w:space="0" w:color="auto"/>
                    <w:right w:val="none" w:sz="0" w:space="0" w:color="auto"/>
                  </w:divBdr>
                  <w:divsChild>
                    <w:div w:id="2073771498">
                      <w:marLeft w:val="0"/>
                      <w:marRight w:val="0"/>
                      <w:marTop w:val="0"/>
                      <w:marBottom w:val="0"/>
                      <w:divBdr>
                        <w:top w:val="none" w:sz="0" w:space="0" w:color="auto"/>
                        <w:left w:val="none" w:sz="0" w:space="0" w:color="auto"/>
                        <w:bottom w:val="none" w:sz="0" w:space="0" w:color="auto"/>
                        <w:right w:val="none" w:sz="0" w:space="0" w:color="auto"/>
                      </w:divBdr>
                    </w:div>
                  </w:divsChild>
                </w:div>
                <w:div w:id="557320815">
                  <w:marLeft w:val="0"/>
                  <w:marRight w:val="0"/>
                  <w:marTop w:val="0"/>
                  <w:marBottom w:val="0"/>
                  <w:divBdr>
                    <w:top w:val="none" w:sz="0" w:space="0" w:color="auto"/>
                    <w:left w:val="none" w:sz="0" w:space="0" w:color="auto"/>
                    <w:bottom w:val="none" w:sz="0" w:space="0" w:color="auto"/>
                    <w:right w:val="none" w:sz="0" w:space="0" w:color="auto"/>
                  </w:divBdr>
                  <w:divsChild>
                    <w:div w:id="288434707">
                      <w:marLeft w:val="0"/>
                      <w:marRight w:val="0"/>
                      <w:marTop w:val="0"/>
                      <w:marBottom w:val="0"/>
                      <w:divBdr>
                        <w:top w:val="none" w:sz="0" w:space="0" w:color="auto"/>
                        <w:left w:val="none" w:sz="0" w:space="0" w:color="auto"/>
                        <w:bottom w:val="none" w:sz="0" w:space="0" w:color="auto"/>
                        <w:right w:val="none" w:sz="0" w:space="0" w:color="auto"/>
                      </w:divBdr>
                    </w:div>
                  </w:divsChild>
                </w:div>
                <w:div w:id="1036739110">
                  <w:marLeft w:val="0"/>
                  <w:marRight w:val="0"/>
                  <w:marTop w:val="0"/>
                  <w:marBottom w:val="0"/>
                  <w:divBdr>
                    <w:top w:val="none" w:sz="0" w:space="0" w:color="auto"/>
                    <w:left w:val="none" w:sz="0" w:space="0" w:color="auto"/>
                    <w:bottom w:val="none" w:sz="0" w:space="0" w:color="auto"/>
                    <w:right w:val="none" w:sz="0" w:space="0" w:color="auto"/>
                  </w:divBdr>
                  <w:divsChild>
                    <w:div w:id="1561089639">
                      <w:marLeft w:val="0"/>
                      <w:marRight w:val="0"/>
                      <w:marTop w:val="0"/>
                      <w:marBottom w:val="0"/>
                      <w:divBdr>
                        <w:top w:val="none" w:sz="0" w:space="0" w:color="auto"/>
                        <w:left w:val="none" w:sz="0" w:space="0" w:color="auto"/>
                        <w:bottom w:val="none" w:sz="0" w:space="0" w:color="auto"/>
                        <w:right w:val="none" w:sz="0" w:space="0" w:color="auto"/>
                      </w:divBdr>
                    </w:div>
                  </w:divsChild>
                </w:div>
                <w:div w:id="1938559314">
                  <w:marLeft w:val="0"/>
                  <w:marRight w:val="0"/>
                  <w:marTop w:val="0"/>
                  <w:marBottom w:val="0"/>
                  <w:divBdr>
                    <w:top w:val="none" w:sz="0" w:space="0" w:color="auto"/>
                    <w:left w:val="none" w:sz="0" w:space="0" w:color="auto"/>
                    <w:bottom w:val="none" w:sz="0" w:space="0" w:color="auto"/>
                    <w:right w:val="none" w:sz="0" w:space="0" w:color="auto"/>
                  </w:divBdr>
                  <w:divsChild>
                    <w:div w:id="1962154120">
                      <w:marLeft w:val="0"/>
                      <w:marRight w:val="0"/>
                      <w:marTop w:val="0"/>
                      <w:marBottom w:val="0"/>
                      <w:divBdr>
                        <w:top w:val="none" w:sz="0" w:space="0" w:color="auto"/>
                        <w:left w:val="none" w:sz="0" w:space="0" w:color="auto"/>
                        <w:bottom w:val="none" w:sz="0" w:space="0" w:color="auto"/>
                        <w:right w:val="none" w:sz="0" w:space="0" w:color="auto"/>
                      </w:divBdr>
                    </w:div>
                    <w:div w:id="779452378">
                      <w:marLeft w:val="0"/>
                      <w:marRight w:val="0"/>
                      <w:marTop w:val="0"/>
                      <w:marBottom w:val="0"/>
                      <w:divBdr>
                        <w:top w:val="none" w:sz="0" w:space="0" w:color="auto"/>
                        <w:left w:val="none" w:sz="0" w:space="0" w:color="auto"/>
                        <w:bottom w:val="none" w:sz="0" w:space="0" w:color="auto"/>
                        <w:right w:val="none" w:sz="0" w:space="0" w:color="auto"/>
                      </w:divBdr>
                    </w:div>
                  </w:divsChild>
                </w:div>
                <w:div w:id="1221941689">
                  <w:marLeft w:val="0"/>
                  <w:marRight w:val="0"/>
                  <w:marTop w:val="0"/>
                  <w:marBottom w:val="0"/>
                  <w:divBdr>
                    <w:top w:val="none" w:sz="0" w:space="0" w:color="auto"/>
                    <w:left w:val="none" w:sz="0" w:space="0" w:color="auto"/>
                    <w:bottom w:val="none" w:sz="0" w:space="0" w:color="auto"/>
                    <w:right w:val="none" w:sz="0" w:space="0" w:color="auto"/>
                  </w:divBdr>
                  <w:divsChild>
                    <w:div w:id="174154704">
                      <w:marLeft w:val="0"/>
                      <w:marRight w:val="0"/>
                      <w:marTop w:val="0"/>
                      <w:marBottom w:val="0"/>
                      <w:divBdr>
                        <w:top w:val="none" w:sz="0" w:space="0" w:color="auto"/>
                        <w:left w:val="none" w:sz="0" w:space="0" w:color="auto"/>
                        <w:bottom w:val="none" w:sz="0" w:space="0" w:color="auto"/>
                        <w:right w:val="none" w:sz="0" w:space="0" w:color="auto"/>
                      </w:divBdr>
                    </w:div>
                    <w:div w:id="992223256">
                      <w:marLeft w:val="0"/>
                      <w:marRight w:val="0"/>
                      <w:marTop w:val="0"/>
                      <w:marBottom w:val="0"/>
                      <w:divBdr>
                        <w:top w:val="none" w:sz="0" w:space="0" w:color="auto"/>
                        <w:left w:val="none" w:sz="0" w:space="0" w:color="auto"/>
                        <w:bottom w:val="none" w:sz="0" w:space="0" w:color="auto"/>
                        <w:right w:val="none" w:sz="0" w:space="0" w:color="auto"/>
                      </w:divBdr>
                    </w:div>
                  </w:divsChild>
                </w:div>
                <w:div w:id="987824129">
                  <w:marLeft w:val="0"/>
                  <w:marRight w:val="0"/>
                  <w:marTop w:val="0"/>
                  <w:marBottom w:val="0"/>
                  <w:divBdr>
                    <w:top w:val="none" w:sz="0" w:space="0" w:color="auto"/>
                    <w:left w:val="none" w:sz="0" w:space="0" w:color="auto"/>
                    <w:bottom w:val="none" w:sz="0" w:space="0" w:color="auto"/>
                    <w:right w:val="none" w:sz="0" w:space="0" w:color="auto"/>
                  </w:divBdr>
                  <w:divsChild>
                    <w:div w:id="661274659">
                      <w:marLeft w:val="0"/>
                      <w:marRight w:val="0"/>
                      <w:marTop w:val="0"/>
                      <w:marBottom w:val="0"/>
                      <w:divBdr>
                        <w:top w:val="none" w:sz="0" w:space="0" w:color="auto"/>
                        <w:left w:val="none" w:sz="0" w:space="0" w:color="auto"/>
                        <w:bottom w:val="none" w:sz="0" w:space="0" w:color="auto"/>
                        <w:right w:val="none" w:sz="0" w:space="0" w:color="auto"/>
                      </w:divBdr>
                    </w:div>
                    <w:div w:id="735931915">
                      <w:marLeft w:val="0"/>
                      <w:marRight w:val="0"/>
                      <w:marTop w:val="0"/>
                      <w:marBottom w:val="0"/>
                      <w:divBdr>
                        <w:top w:val="none" w:sz="0" w:space="0" w:color="auto"/>
                        <w:left w:val="none" w:sz="0" w:space="0" w:color="auto"/>
                        <w:bottom w:val="none" w:sz="0" w:space="0" w:color="auto"/>
                        <w:right w:val="none" w:sz="0" w:space="0" w:color="auto"/>
                      </w:divBdr>
                    </w:div>
                  </w:divsChild>
                </w:div>
                <w:div w:id="35665984">
                  <w:marLeft w:val="0"/>
                  <w:marRight w:val="0"/>
                  <w:marTop w:val="0"/>
                  <w:marBottom w:val="0"/>
                  <w:divBdr>
                    <w:top w:val="none" w:sz="0" w:space="0" w:color="auto"/>
                    <w:left w:val="none" w:sz="0" w:space="0" w:color="auto"/>
                    <w:bottom w:val="none" w:sz="0" w:space="0" w:color="auto"/>
                    <w:right w:val="none" w:sz="0" w:space="0" w:color="auto"/>
                  </w:divBdr>
                  <w:divsChild>
                    <w:div w:id="1057124267">
                      <w:marLeft w:val="0"/>
                      <w:marRight w:val="0"/>
                      <w:marTop w:val="0"/>
                      <w:marBottom w:val="0"/>
                      <w:divBdr>
                        <w:top w:val="none" w:sz="0" w:space="0" w:color="auto"/>
                        <w:left w:val="none" w:sz="0" w:space="0" w:color="auto"/>
                        <w:bottom w:val="none" w:sz="0" w:space="0" w:color="auto"/>
                        <w:right w:val="none" w:sz="0" w:space="0" w:color="auto"/>
                      </w:divBdr>
                    </w:div>
                    <w:div w:id="2643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8685">
          <w:marLeft w:val="0"/>
          <w:marRight w:val="0"/>
          <w:marTop w:val="0"/>
          <w:marBottom w:val="0"/>
          <w:divBdr>
            <w:top w:val="none" w:sz="0" w:space="0" w:color="auto"/>
            <w:left w:val="none" w:sz="0" w:space="0" w:color="auto"/>
            <w:bottom w:val="none" w:sz="0" w:space="0" w:color="auto"/>
            <w:right w:val="none" w:sz="0" w:space="0" w:color="auto"/>
          </w:divBdr>
        </w:div>
        <w:div w:id="2144500949">
          <w:marLeft w:val="0"/>
          <w:marRight w:val="0"/>
          <w:marTop w:val="0"/>
          <w:marBottom w:val="0"/>
          <w:divBdr>
            <w:top w:val="none" w:sz="0" w:space="0" w:color="auto"/>
            <w:left w:val="none" w:sz="0" w:space="0" w:color="auto"/>
            <w:bottom w:val="none" w:sz="0" w:space="0" w:color="auto"/>
            <w:right w:val="none" w:sz="0" w:space="0" w:color="auto"/>
          </w:divBdr>
        </w:div>
      </w:divsChild>
    </w:div>
    <w:div w:id="1031422349">
      <w:bodyDiv w:val="1"/>
      <w:marLeft w:val="0"/>
      <w:marRight w:val="0"/>
      <w:marTop w:val="0"/>
      <w:marBottom w:val="0"/>
      <w:divBdr>
        <w:top w:val="none" w:sz="0" w:space="0" w:color="auto"/>
        <w:left w:val="none" w:sz="0" w:space="0" w:color="auto"/>
        <w:bottom w:val="none" w:sz="0" w:space="0" w:color="auto"/>
        <w:right w:val="none" w:sz="0" w:space="0" w:color="auto"/>
      </w:divBdr>
    </w:div>
    <w:div w:id="1316372475">
      <w:bodyDiv w:val="1"/>
      <w:marLeft w:val="0"/>
      <w:marRight w:val="0"/>
      <w:marTop w:val="0"/>
      <w:marBottom w:val="0"/>
      <w:divBdr>
        <w:top w:val="none" w:sz="0" w:space="0" w:color="auto"/>
        <w:left w:val="none" w:sz="0" w:space="0" w:color="auto"/>
        <w:bottom w:val="none" w:sz="0" w:space="0" w:color="auto"/>
        <w:right w:val="none" w:sz="0" w:space="0" w:color="auto"/>
      </w:divBdr>
      <w:divsChild>
        <w:div w:id="1353647071">
          <w:marLeft w:val="0"/>
          <w:marRight w:val="0"/>
          <w:marTop w:val="0"/>
          <w:marBottom w:val="0"/>
          <w:divBdr>
            <w:top w:val="none" w:sz="0" w:space="0" w:color="auto"/>
            <w:left w:val="none" w:sz="0" w:space="0" w:color="auto"/>
            <w:bottom w:val="none" w:sz="0" w:space="0" w:color="auto"/>
            <w:right w:val="none" w:sz="0" w:space="0" w:color="auto"/>
          </w:divBdr>
        </w:div>
        <w:div w:id="1711033628">
          <w:marLeft w:val="0"/>
          <w:marRight w:val="0"/>
          <w:marTop w:val="0"/>
          <w:marBottom w:val="0"/>
          <w:divBdr>
            <w:top w:val="none" w:sz="0" w:space="0" w:color="auto"/>
            <w:left w:val="none" w:sz="0" w:space="0" w:color="auto"/>
            <w:bottom w:val="none" w:sz="0" w:space="0" w:color="auto"/>
            <w:right w:val="none" w:sz="0" w:space="0" w:color="auto"/>
          </w:divBdr>
          <w:divsChild>
            <w:div w:id="1686202701">
              <w:marLeft w:val="-75"/>
              <w:marRight w:val="0"/>
              <w:marTop w:val="30"/>
              <w:marBottom w:val="30"/>
              <w:divBdr>
                <w:top w:val="none" w:sz="0" w:space="0" w:color="auto"/>
                <w:left w:val="none" w:sz="0" w:space="0" w:color="auto"/>
                <w:bottom w:val="none" w:sz="0" w:space="0" w:color="auto"/>
                <w:right w:val="none" w:sz="0" w:space="0" w:color="auto"/>
              </w:divBdr>
              <w:divsChild>
                <w:div w:id="744641952">
                  <w:marLeft w:val="0"/>
                  <w:marRight w:val="0"/>
                  <w:marTop w:val="0"/>
                  <w:marBottom w:val="0"/>
                  <w:divBdr>
                    <w:top w:val="none" w:sz="0" w:space="0" w:color="auto"/>
                    <w:left w:val="none" w:sz="0" w:space="0" w:color="auto"/>
                    <w:bottom w:val="none" w:sz="0" w:space="0" w:color="auto"/>
                    <w:right w:val="none" w:sz="0" w:space="0" w:color="auto"/>
                  </w:divBdr>
                  <w:divsChild>
                    <w:div w:id="500660130">
                      <w:marLeft w:val="0"/>
                      <w:marRight w:val="0"/>
                      <w:marTop w:val="0"/>
                      <w:marBottom w:val="0"/>
                      <w:divBdr>
                        <w:top w:val="none" w:sz="0" w:space="0" w:color="auto"/>
                        <w:left w:val="none" w:sz="0" w:space="0" w:color="auto"/>
                        <w:bottom w:val="none" w:sz="0" w:space="0" w:color="auto"/>
                        <w:right w:val="none" w:sz="0" w:space="0" w:color="auto"/>
                      </w:divBdr>
                    </w:div>
                  </w:divsChild>
                </w:div>
                <w:div w:id="33192633">
                  <w:marLeft w:val="0"/>
                  <w:marRight w:val="0"/>
                  <w:marTop w:val="0"/>
                  <w:marBottom w:val="0"/>
                  <w:divBdr>
                    <w:top w:val="none" w:sz="0" w:space="0" w:color="auto"/>
                    <w:left w:val="none" w:sz="0" w:space="0" w:color="auto"/>
                    <w:bottom w:val="none" w:sz="0" w:space="0" w:color="auto"/>
                    <w:right w:val="none" w:sz="0" w:space="0" w:color="auto"/>
                  </w:divBdr>
                  <w:divsChild>
                    <w:div w:id="2027709590">
                      <w:marLeft w:val="0"/>
                      <w:marRight w:val="0"/>
                      <w:marTop w:val="0"/>
                      <w:marBottom w:val="0"/>
                      <w:divBdr>
                        <w:top w:val="none" w:sz="0" w:space="0" w:color="auto"/>
                        <w:left w:val="none" w:sz="0" w:space="0" w:color="auto"/>
                        <w:bottom w:val="none" w:sz="0" w:space="0" w:color="auto"/>
                        <w:right w:val="none" w:sz="0" w:space="0" w:color="auto"/>
                      </w:divBdr>
                    </w:div>
                  </w:divsChild>
                </w:div>
                <w:div w:id="732043624">
                  <w:marLeft w:val="0"/>
                  <w:marRight w:val="0"/>
                  <w:marTop w:val="0"/>
                  <w:marBottom w:val="0"/>
                  <w:divBdr>
                    <w:top w:val="none" w:sz="0" w:space="0" w:color="auto"/>
                    <w:left w:val="none" w:sz="0" w:space="0" w:color="auto"/>
                    <w:bottom w:val="none" w:sz="0" w:space="0" w:color="auto"/>
                    <w:right w:val="none" w:sz="0" w:space="0" w:color="auto"/>
                  </w:divBdr>
                  <w:divsChild>
                    <w:div w:id="628317955">
                      <w:marLeft w:val="0"/>
                      <w:marRight w:val="0"/>
                      <w:marTop w:val="0"/>
                      <w:marBottom w:val="0"/>
                      <w:divBdr>
                        <w:top w:val="none" w:sz="0" w:space="0" w:color="auto"/>
                        <w:left w:val="none" w:sz="0" w:space="0" w:color="auto"/>
                        <w:bottom w:val="none" w:sz="0" w:space="0" w:color="auto"/>
                        <w:right w:val="none" w:sz="0" w:space="0" w:color="auto"/>
                      </w:divBdr>
                    </w:div>
                  </w:divsChild>
                </w:div>
                <w:div w:id="214123991">
                  <w:marLeft w:val="0"/>
                  <w:marRight w:val="0"/>
                  <w:marTop w:val="0"/>
                  <w:marBottom w:val="0"/>
                  <w:divBdr>
                    <w:top w:val="none" w:sz="0" w:space="0" w:color="auto"/>
                    <w:left w:val="none" w:sz="0" w:space="0" w:color="auto"/>
                    <w:bottom w:val="none" w:sz="0" w:space="0" w:color="auto"/>
                    <w:right w:val="none" w:sz="0" w:space="0" w:color="auto"/>
                  </w:divBdr>
                  <w:divsChild>
                    <w:div w:id="808059688">
                      <w:marLeft w:val="0"/>
                      <w:marRight w:val="0"/>
                      <w:marTop w:val="0"/>
                      <w:marBottom w:val="0"/>
                      <w:divBdr>
                        <w:top w:val="none" w:sz="0" w:space="0" w:color="auto"/>
                        <w:left w:val="none" w:sz="0" w:space="0" w:color="auto"/>
                        <w:bottom w:val="none" w:sz="0" w:space="0" w:color="auto"/>
                        <w:right w:val="none" w:sz="0" w:space="0" w:color="auto"/>
                      </w:divBdr>
                    </w:div>
                  </w:divsChild>
                </w:div>
                <w:div w:id="1416243043">
                  <w:marLeft w:val="0"/>
                  <w:marRight w:val="0"/>
                  <w:marTop w:val="0"/>
                  <w:marBottom w:val="0"/>
                  <w:divBdr>
                    <w:top w:val="none" w:sz="0" w:space="0" w:color="auto"/>
                    <w:left w:val="none" w:sz="0" w:space="0" w:color="auto"/>
                    <w:bottom w:val="none" w:sz="0" w:space="0" w:color="auto"/>
                    <w:right w:val="none" w:sz="0" w:space="0" w:color="auto"/>
                  </w:divBdr>
                  <w:divsChild>
                    <w:div w:id="1762292749">
                      <w:marLeft w:val="0"/>
                      <w:marRight w:val="0"/>
                      <w:marTop w:val="0"/>
                      <w:marBottom w:val="0"/>
                      <w:divBdr>
                        <w:top w:val="none" w:sz="0" w:space="0" w:color="auto"/>
                        <w:left w:val="none" w:sz="0" w:space="0" w:color="auto"/>
                        <w:bottom w:val="none" w:sz="0" w:space="0" w:color="auto"/>
                        <w:right w:val="none" w:sz="0" w:space="0" w:color="auto"/>
                      </w:divBdr>
                    </w:div>
                  </w:divsChild>
                </w:div>
                <w:div w:id="1273902050">
                  <w:marLeft w:val="0"/>
                  <w:marRight w:val="0"/>
                  <w:marTop w:val="0"/>
                  <w:marBottom w:val="0"/>
                  <w:divBdr>
                    <w:top w:val="none" w:sz="0" w:space="0" w:color="auto"/>
                    <w:left w:val="none" w:sz="0" w:space="0" w:color="auto"/>
                    <w:bottom w:val="none" w:sz="0" w:space="0" w:color="auto"/>
                    <w:right w:val="none" w:sz="0" w:space="0" w:color="auto"/>
                  </w:divBdr>
                  <w:divsChild>
                    <w:div w:id="170678760">
                      <w:marLeft w:val="0"/>
                      <w:marRight w:val="0"/>
                      <w:marTop w:val="0"/>
                      <w:marBottom w:val="0"/>
                      <w:divBdr>
                        <w:top w:val="none" w:sz="0" w:space="0" w:color="auto"/>
                        <w:left w:val="none" w:sz="0" w:space="0" w:color="auto"/>
                        <w:bottom w:val="none" w:sz="0" w:space="0" w:color="auto"/>
                        <w:right w:val="none" w:sz="0" w:space="0" w:color="auto"/>
                      </w:divBdr>
                    </w:div>
                  </w:divsChild>
                </w:div>
                <w:div w:id="834494813">
                  <w:marLeft w:val="0"/>
                  <w:marRight w:val="0"/>
                  <w:marTop w:val="0"/>
                  <w:marBottom w:val="0"/>
                  <w:divBdr>
                    <w:top w:val="none" w:sz="0" w:space="0" w:color="auto"/>
                    <w:left w:val="none" w:sz="0" w:space="0" w:color="auto"/>
                    <w:bottom w:val="none" w:sz="0" w:space="0" w:color="auto"/>
                    <w:right w:val="none" w:sz="0" w:space="0" w:color="auto"/>
                  </w:divBdr>
                  <w:divsChild>
                    <w:div w:id="239948112">
                      <w:marLeft w:val="0"/>
                      <w:marRight w:val="0"/>
                      <w:marTop w:val="0"/>
                      <w:marBottom w:val="0"/>
                      <w:divBdr>
                        <w:top w:val="none" w:sz="0" w:space="0" w:color="auto"/>
                        <w:left w:val="none" w:sz="0" w:space="0" w:color="auto"/>
                        <w:bottom w:val="none" w:sz="0" w:space="0" w:color="auto"/>
                        <w:right w:val="none" w:sz="0" w:space="0" w:color="auto"/>
                      </w:divBdr>
                    </w:div>
                    <w:div w:id="362485412">
                      <w:marLeft w:val="0"/>
                      <w:marRight w:val="0"/>
                      <w:marTop w:val="0"/>
                      <w:marBottom w:val="0"/>
                      <w:divBdr>
                        <w:top w:val="none" w:sz="0" w:space="0" w:color="auto"/>
                        <w:left w:val="none" w:sz="0" w:space="0" w:color="auto"/>
                        <w:bottom w:val="none" w:sz="0" w:space="0" w:color="auto"/>
                        <w:right w:val="none" w:sz="0" w:space="0" w:color="auto"/>
                      </w:divBdr>
                    </w:div>
                  </w:divsChild>
                </w:div>
                <w:div w:id="1366296546">
                  <w:marLeft w:val="0"/>
                  <w:marRight w:val="0"/>
                  <w:marTop w:val="0"/>
                  <w:marBottom w:val="0"/>
                  <w:divBdr>
                    <w:top w:val="none" w:sz="0" w:space="0" w:color="auto"/>
                    <w:left w:val="none" w:sz="0" w:space="0" w:color="auto"/>
                    <w:bottom w:val="none" w:sz="0" w:space="0" w:color="auto"/>
                    <w:right w:val="none" w:sz="0" w:space="0" w:color="auto"/>
                  </w:divBdr>
                  <w:divsChild>
                    <w:div w:id="1299795555">
                      <w:marLeft w:val="0"/>
                      <w:marRight w:val="0"/>
                      <w:marTop w:val="0"/>
                      <w:marBottom w:val="0"/>
                      <w:divBdr>
                        <w:top w:val="none" w:sz="0" w:space="0" w:color="auto"/>
                        <w:left w:val="none" w:sz="0" w:space="0" w:color="auto"/>
                        <w:bottom w:val="none" w:sz="0" w:space="0" w:color="auto"/>
                        <w:right w:val="none" w:sz="0" w:space="0" w:color="auto"/>
                      </w:divBdr>
                    </w:div>
                    <w:div w:id="1532305646">
                      <w:marLeft w:val="0"/>
                      <w:marRight w:val="0"/>
                      <w:marTop w:val="0"/>
                      <w:marBottom w:val="0"/>
                      <w:divBdr>
                        <w:top w:val="none" w:sz="0" w:space="0" w:color="auto"/>
                        <w:left w:val="none" w:sz="0" w:space="0" w:color="auto"/>
                        <w:bottom w:val="none" w:sz="0" w:space="0" w:color="auto"/>
                        <w:right w:val="none" w:sz="0" w:space="0" w:color="auto"/>
                      </w:divBdr>
                    </w:div>
                  </w:divsChild>
                </w:div>
                <w:div w:id="1399858905">
                  <w:marLeft w:val="0"/>
                  <w:marRight w:val="0"/>
                  <w:marTop w:val="0"/>
                  <w:marBottom w:val="0"/>
                  <w:divBdr>
                    <w:top w:val="none" w:sz="0" w:space="0" w:color="auto"/>
                    <w:left w:val="none" w:sz="0" w:space="0" w:color="auto"/>
                    <w:bottom w:val="none" w:sz="0" w:space="0" w:color="auto"/>
                    <w:right w:val="none" w:sz="0" w:space="0" w:color="auto"/>
                  </w:divBdr>
                  <w:divsChild>
                    <w:div w:id="1668053317">
                      <w:marLeft w:val="0"/>
                      <w:marRight w:val="0"/>
                      <w:marTop w:val="0"/>
                      <w:marBottom w:val="0"/>
                      <w:divBdr>
                        <w:top w:val="none" w:sz="0" w:space="0" w:color="auto"/>
                        <w:left w:val="none" w:sz="0" w:space="0" w:color="auto"/>
                        <w:bottom w:val="none" w:sz="0" w:space="0" w:color="auto"/>
                        <w:right w:val="none" w:sz="0" w:space="0" w:color="auto"/>
                      </w:divBdr>
                    </w:div>
                    <w:div w:id="1783917885">
                      <w:marLeft w:val="0"/>
                      <w:marRight w:val="0"/>
                      <w:marTop w:val="0"/>
                      <w:marBottom w:val="0"/>
                      <w:divBdr>
                        <w:top w:val="none" w:sz="0" w:space="0" w:color="auto"/>
                        <w:left w:val="none" w:sz="0" w:space="0" w:color="auto"/>
                        <w:bottom w:val="none" w:sz="0" w:space="0" w:color="auto"/>
                        <w:right w:val="none" w:sz="0" w:space="0" w:color="auto"/>
                      </w:divBdr>
                    </w:div>
                  </w:divsChild>
                </w:div>
                <w:div w:id="1755977836">
                  <w:marLeft w:val="0"/>
                  <w:marRight w:val="0"/>
                  <w:marTop w:val="0"/>
                  <w:marBottom w:val="0"/>
                  <w:divBdr>
                    <w:top w:val="none" w:sz="0" w:space="0" w:color="auto"/>
                    <w:left w:val="none" w:sz="0" w:space="0" w:color="auto"/>
                    <w:bottom w:val="none" w:sz="0" w:space="0" w:color="auto"/>
                    <w:right w:val="none" w:sz="0" w:space="0" w:color="auto"/>
                  </w:divBdr>
                  <w:divsChild>
                    <w:div w:id="1611888955">
                      <w:marLeft w:val="0"/>
                      <w:marRight w:val="0"/>
                      <w:marTop w:val="0"/>
                      <w:marBottom w:val="0"/>
                      <w:divBdr>
                        <w:top w:val="none" w:sz="0" w:space="0" w:color="auto"/>
                        <w:left w:val="none" w:sz="0" w:space="0" w:color="auto"/>
                        <w:bottom w:val="none" w:sz="0" w:space="0" w:color="auto"/>
                        <w:right w:val="none" w:sz="0" w:space="0" w:color="auto"/>
                      </w:divBdr>
                    </w:div>
                    <w:div w:id="17066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2901">
          <w:marLeft w:val="0"/>
          <w:marRight w:val="0"/>
          <w:marTop w:val="0"/>
          <w:marBottom w:val="0"/>
          <w:divBdr>
            <w:top w:val="none" w:sz="0" w:space="0" w:color="auto"/>
            <w:left w:val="none" w:sz="0" w:space="0" w:color="auto"/>
            <w:bottom w:val="none" w:sz="0" w:space="0" w:color="auto"/>
            <w:right w:val="none" w:sz="0" w:space="0" w:color="auto"/>
          </w:divBdr>
        </w:div>
        <w:div w:id="1627858108">
          <w:marLeft w:val="0"/>
          <w:marRight w:val="0"/>
          <w:marTop w:val="0"/>
          <w:marBottom w:val="0"/>
          <w:divBdr>
            <w:top w:val="none" w:sz="0" w:space="0" w:color="auto"/>
            <w:left w:val="none" w:sz="0" w:space="0" w:color="auto"/>
            <w:bottom w:val="none" w:sz="0" w:space="0" w:color="auto"/>
            <w:right w:val="none" w:sz="0" w:space="0" w:color="auto"/>
          </w:divBdr>
        </w:div>
        <w:div w:id="1502576285">
          <w:marLeft w:val="0"/>
          <w:marRight w:val="0"/>
          <w:marTop w:val="0"/>
          <w:marBottom w:val="0"/>
          <w:divBdr>
            <w:top w:val="none" w:sz="0" w:space="0" w:color="auto"/>
            <w:left w:val="none" w:sz="0" w:space="0" w:color="auto"/>
            <w:bottom w:val="none" w:sz="0" w:space="0" w:color="auto"/>
            <w:right w:val="none" w:sz="0" w:space="0" w:color="auto"/>
          </w:divBdr>
        </w:div>
        <w:div w:id="1924102687">
          <w:marLeft w:val="0"/>
          <w:marRight w:val="0"/>
          <w:marTop w:val="0"/>
          <w:marBottom w:val="0"/>
          <w:divBdr>
            <w:top w:val="none" w:sz="0" w:space="0" w:color="auto"/>
            <w:left w:val="none" w:sz="0" w:space="0" w:color="auto"/>
            <w:bottom w:val="none" w:sz="0" w:space="0" w:color="auto"/>
            <w:right w:val="none" w:sz="0" w:space="0" w:color="auto"/>
          </w:divBdr>
        </w:div>
        <w:div w:id="658733366">
          <w:marLeft w:val="0"/>
          <w:marRight w:val="0"/>
          <w:marTop w:val="0"/>
          <w:marBottom w:val="0"/>
          <w:divBdr>
            <w:top w:val="none" w:sz="0" w:space="0" w:color="auto"/>
            <w:left w:val="none" w:sz="0" w:space="0" w:color="auto"/>
            <w:bottom w:val="none" w:sz="0" w:space="0" w:color="auto"/>
            <w:right w:val="none" w:sz="0" w:space="0" w:color="auto"/>
          </w:divBdr>
          <w:divsChild>
            <w:div w:id="1387878864">
              <w:marLeft w:val="-75"/>
              <w:marRight w:val="0"/>
              <w:marTop w:val="30"/>
              <w:marBottom w:val="30"/>
              <w:divBdr>
                <w:top w:val="none" w:sz="0" w:space="0" w:color="auto"/>
                <w:left w:val="none" w:sz="0" w:space="0" w:color="auto"/>
                <w:bottom w:val="none" w:sz="0" w:space="0" w:color="auto"/>
                <w:right w:val="none" w:sz="0" w:space="0" w:color="auto"/>
              </w:divBdr>
              <w:divsChild>
                <w:div w:id="921135362">
                  <w:marLeft w:val="0"/>
                  <w:marRight w:val="0"/>
                  <w:marTop w:val="0"/>
                  <w:marBottom w:val="0"/>
                  <w:divBdr>
                    <w:top w:val="none" w:sz="0" w:space="0" w:color="auto"/>
                    <w:left w:val="none" w:sz="0" w:space="0" w:color="auto"/>
                    <w:bottom w:val="none" w:sz="0" w:space="0" w:color="auto"/>
                    <w:right w:val="none" w:sz="0" w:space="0" w:color="auto"/>
                  </w:divBdr>
                  <w:divsChild>
                    <w:div w:id="748507076">
                      <w:marLeft w:val="0"/>
                      <w:marRight w:val="0"/>
                      <w:marTop w:val="0"/>
                      <w:marBottom w:val="0"/>
                      <w:divBdr>
                        <w:top w:val="none" w:sz="0" w:space="0" w:color="auto"/>
                        <w:left w:val="none" w:sz="0" w:space="0" w:color="auto"/>
                        <w:bottom w:val="none" w:sz="0" w:space="0" w:color="auto"/>
                        <w:right w:val="none" w:sz="0" w:space="0" w:color="auto"/>
                      </w:divBdr>
                    </w:div>
                  </w:divsChild>
                </w:div>
                <w:div w:id="1098327422">
                  <w:marLeft w:val="0"/>
                  <w:marRight w:val="0"/>
                  <w:marTop w:val="0"/>
                  <w:marBottom w:val="0"/>
                  <w:divBdr>
                    <w:top w:val="none" w:sz="0" w:space="0" w:color="auto"/>
                    <w:left w:val="none" w:sz="0" w:space="0" w:color="auto"/>
                    <w:bottom w:val="none" w:sz="0" w:space="0" w:color="auto"/>
                    <w:right w:val="none" w:sz="0" w:space="0" w:color="auto"/>
                  </w:divBdr>
                  <w:divsChild>
                    <w:div w:id="676273986">
                      <w:marLeft w:val="0"/>
                      <w:marRight w:val="0"/>
                      <w:marTop w:val="0"/>
                      <w:marBottom w:val="0"/>
                      <w:divBdr>
                        <w:top w:val="none" w:sz="0" w:space="0" w:color="auto"/>
                        <w:left w:val="none" w:sz="0" w:space="0" w:color="auto"/>
                        <w:bottom w:val="none" w:sz="0" w:space="0" w:color="auto"/>
                        <w:right w:val="none" w:sz="0" w:space="0" w:color="auto"/>
                      </w:divBdr>
                    </w:div>
                  </w:divsChild>
                </w:div>
                <w:div w:id="499350482">
                  <w:marLeft w:val="0"/>
                  <w:marRight w:val="0"/>
                  <w:marTop w:val="0"/>
                  <w:marBottom w:val="0"/>
                  <w:divBdr>
                    <w:top w:val="none" w:sz="0" w:space="0" w:color="auto"/>
                    <w:left w:val="none" w:sz="0" w:space="0" w:color="auto"/>
                    <w:bottom w:val="none" w:sz="0" w:space="0" w:color="auto"/>
                    <w:right w:val="none" w:sz="0" w:space="0" w:color="auto"/>
                  </w:divBdr>
                  <w:divsChild>
                    <w:div w:id="1644234883">
                      <w:marLeft w:val="0"/>
                      <w:marRight w:val="0"/>
                      <w:marTop w:val="0"/>
                      <w:marBottom w:val="0"/>
                      <w:divBdr>
                        <w:top w:val="none" w:sz="0" w:space="0" w:color="auto"/>
                        <w:left w:val="none" w:sz="0" w:space="0" w:color="auto"/>
                        <w:bottom w:val="none" w:sz="0" w:space="0" w:color="auto"/>
                        <w:right w:val="none" w:sz="0" w:space="0" w:color="auto"/>
                      </w:divBdr>
                    </w:div>
                  </w:divsChild>
                </w:div>
                <w:div w:id="703598933">
                  <w:marLeft w:val="0"/>
                  <w:marRight w:val="0"/>
                  <w:marTop w:val="0"/>
                  <w:marBottom w:val="0"/>
                  <w:divBdr>
                    <w:top w:val="none" w:sz="0" w:space="0" w:color="auto"/>
                    <w:left w:val="none" w:sz="0" w:space="0" w:color="auto"/>
                    <w:bottom w:val="none" w:sz="0" w:space="0" w:color="auto"/>
                    <w:right w:val="none" w:sz="0" w:space="0" w:color="auto"/>
                  </w:divBdr>
                  <w:divsChild>
                    <w:div w:id="1643266741">
                      <w:marLeft w:val="0"/>
                      <w:marRight w:val="0"/>
                      <w:marTop w:val="0"/>
                      <w:marBottom w:val="0"/>
                      <w:divBdr>
                        <w:top w:val="none" w:sz="0" w:space="0" w:color="auto"/>
                        <w:left w:val="none" w:sz="0" w:space="0" w:color="auto"/>
                        <w:bottom w:val="none" w:sz="0" w:space="0" w:color="auto"/>
                        <w:right w:val="none" w:sz="0" w:space="0" w:color="auto"/>
                      </w:divBdr>
                    </w:div>
                  </w:divsChild>
                </w:div>
                <w:div w:id="698821046">
                  <w:marLeft w:val="0"/>
                  <w:marRight w:val="0"/>
                  <w:marTop w:val="0"/>
                  <w:marBottom w:val="0"/>
                  <w:divBdr>
                    <w:top w:val="none" w:sz="0" w:space="0" w:color="auto"/>
                    <w:left w:val="none" w:sz="0" w:space="0" w:color="auto"/>
                    <w:bottom w:val="none" w:sz="0" w:space="0" w:color="auto"/>
                    <w:right w:val="none" w:sz="0" w:space="0" w:color="auto"/>
                  </w:divBdr>
                  <w:divsChild>
                    <w:div w:id="2090417768">
                      <w:marLeft w:val="0"/>
                      <w:marRight w:val="0"/>
                      <w:marTop w:val="0"/>
                      <w:marBottom w:val="0"/>
                      <w:divBdr>
                        <w:top w:val="none" w:sz="0" w:space="0" w:color="auto"/>
                        <w:left w:val="none" w:sz="0" w:space="0" w:color="auto"/>
                        <w:bottom w:val="none" w:sz="0" w:space="0" w:color="auto"/>
                        <w:right w:val="none" w:sz="0" w:space="0" w:color="auto"/>
                      </w:divBdr>
                    </w:div>
                  </w:divsChild>
                </w:div>
                <w:div w:id="1295138606">
                  <w:marLeft w:val="0"/>
                  <w:marRight w:val="0"/>
                  <w:marTop w:val="0"/>
                  <w:marBottom w:val="0"/>
                  <w:divBdr>
                    <w:top w:val="none" w:sz="0" w:space="0" w:color="auto"/>
                    <w:left w:val="none" w:sz="0" w:space="0" w:color="auto"/>
                    <w:bottom w:val="none" w:sz="0" w:space="0" w:color="auto"/>
                    <w:right w:val="none" w:sz="0" w:space="0" w:color="auto"/>
                  </w:divBdr>
                  <w:divsChild>
                    <w:div w:id="885525750">
                      <w:marLeft w:val="0"/>
                      <w:marRight w:val="0"/>
                      <w:marTop w:val="0"/>
                      <w:marBottom w:val="0"/>
                      <w:divBdr>
                        <w:top w:val="none" w:sz="0" w:space="0" w:color="auto"/>
                        <w:left w:val="none" w:sz="0" w:space="0" w:color="auto"/>
                        <w:bottom w:val="none" w:sz="0" w:space="0" w:color="auto"/>
                        <w:right w:val="none" w:sz="0" w:space="0" w:color="auto"/>
                      </w:divBdr>
                    </w:div>
                  </w:divsChild>
                </w:div>
                <w:div w:id="1755931677">
                  <w:marLeft w:val="0"/>
                  <w:marRight w:val="0"/>
                  <w:marTop w:val="0"/>
                  <w:marBottom w:val="0"/>
                  <w:divBdr>
                    <w:top w:val="none" w:sz="0" w:space="0" w:color="auto"/>
                    <w:left w:val="none" w:sz="0" w:space="0" w:color="auto"/>
                    <w:bottom w:val="none" w:sz="0" w:space="0" w:color="auto"/>
                    <w:right w:val="none" w:sz="0" w:space="0" w:color="auto"/>
                  </w:divBdr>
                  <w:divsChild>
                    <w:div w:id="1949846153">
                      <w:marLeft w:val="0"/>
                      <w:marRight w:val="0"/>
                      <w:marTop w:val="0"/>
                      <w:marBottom w:val="0"/>
                      <w:divBdr>
                        <w:top w:val="none" w:sz="0" w:space="0" w:color="auto"/>
                        <w:left w:val="none" w:sz="0" w:space="0" w:color="auto"/>
                        <w:bottom w:val="none" w:sz="0" w:space="0" w:color="auto"/>
                        <w:right w:val="none" w:sz="0" w:space="0" w:color="auto"/>
                      </w:divBdr>
                    </w:div>
                    <w:div w:id="1989437009">
                      <w:marLeft w:val="0"/>
                      <w:marRight w:val="0"/>
                      <w:marTop w:val="0"/>
                      <w:marBottom w:val="0"/>
                      <w:divBdr>
                        <w:top w:val="none" w:sz="0" w:space="0" w:color="auto"/>
                        <w:left w:val="none" w:sz="0" w:space="0" w:color="auto"/>
                        <w:bottom w:val="none" w:sz="0" w:space="0" w:color="auto"/>
                        <w:right w:val="none" w:sz="0" w:space="0" w:color="auto"/>
                      </w:divBdr>
                    </w:div>
                  </w:divsChild>
                </w:div>
                <w:div w:id="2064406908">
                  <w:marLeft w:val="0"/>
                  <w:marRight w:val="0"/>
                  <w:marTop w:val="0"/>
                  <w:marBottom w:val="0"/>
                  <w:divBdr>
                    <w:top w:val="none" w:sz="0" w:space="0" w:color="auto"/>
                    <w:left w:val="none" w:sz="0" w:space="0" w:color="auto"/>
                    <w:bottom w:val="none" w:sz="0" w:space="0" w:color="auto"/>
                    <w:right w:val="none" w:sz="0" w:space="0" w:color="auto"/>
                  </w:divBdr>
                  <w:divsChild>
                    <w:div w:id="1202283656">
                      <w:marLeft w:val="0"/>
                      <w:marRight w:val="0"/>
                      <w:marTop w:val="0"/>
                      <w:marBottom w:val="0"/>
                      <w:divBdr>
                        <w:top w:val="none" w:sz="0" w:space="0" w:color="auto"/>
                        <w:left w:val="none" w:sz="0" w:space="0" w:color="auto"/>
                        <w:bottom w:val="none" w:sz="0" w:space="0" w:color="auto"/>
                        <w:right w:val="none" w:sz="0" w:space="0" w:color="auto"/>
                      </w:divBdr>
                    </w:div>
                    <w:div w:id="1433747307">
                      <w:marLeft w:val="0"/>
                      <w:marRight w:val="0"/>
                      <w:marTop w:val="0"/>
                      <w:marBottom w:val="0"/>
                      <w:divBdr>
                        <w:top w:val="none" w:sz="0" w:space="0" w:color="auto"/>
                        <w:left w:val="none" w:sz="0" w:space="0" w:color="auto"/>
                        <w:bottom w:val="none" w:sz="0" w:space="0" w:color="auto"/>
                        <w:right w:val="none" w:sz="0" w:space="0" w:color="auto"/>
                      </w:divBdr>
                    </w:div>
                  </w:divsChild>
                </w:div>
                <w:div w:id="1709530015">
                  <w:marLeft w:val="0"/>
                  <w:marRight w:val="0"/>
                  <w:marTop w:val="0"/>
                  <w:marBottom w:val="0"/>
                  <w:divBdr>
                    <w:top w:val="none" w:sz="0" w:space="0" w:color="auto"/>
                    <w:left w:val="none" w:sz="0" w:space="0" w:color="auto"/>
                    <w:bottom w:val="none" w:sz="0" w:space="0" w:color="auto"/>
                    <w:right w:val="none" w:sz="0" w:space="0" w:color="auto"/>
                  </w:divBdr>
                  <w:divsChild>
                    <w:div w:id="324238599">
                      <w:marLeft w:val="0"/>
                      <w:marRight w:val="0"/>
                      <w:marTop w:val="0"/>
                      <w:marBottom w:val="0"/>
                      <w:divBdr>
                        <w:top w:val="none" w:sz="0" w:space="0" w:color="auto"/>
                        <w:left w:val="none" w:sz="0" w:space="0" w:color="auto"/>
                        <w:bottom w:val="none" w:sz="0" w:space="0" w:color="auto"/>
                        <w:right w:val="none" w:sz="0" w:space="0" w:color="auto"/>
                      </w:divBdr>
                    </w:div>
                    <w:div w:id="632909234">
                      <w:marLeft w:val="0"/>
                      <w:marRight w:val="0"/>
                      <w:marTop w:val="0"/>
                      <w:marBottom w:val="0"/>
                      <w:divBdr>
                        <w:top w:val="none" w:sz="0" w:space="0" w:color="auto"/>
                        <w:left w:val="none" w:sz="0" w:space="0" w:color="auto"/>
                        <w:bottom w:val="none" w:sz="0" w:space="0" w:color="auto"/>
                        <w:right w:val="none" w:sz="0" w:space="0" w:color="auto"/>
                      </w:divBdr>
                    </w:div>
                  </w:divsChild>
                </w:div>
                <w:div w:id="2143888076">
                  <w:marLeft w:val="0"/>
                  <w:marRight w:val="0"/>
                  <w:marTop w:val="0"/>
                  <w:marBottom w:val="0"/>
                  <w:divBdr>
                    <w:top w:val="none" w:sz="0" w:space="0" w:color="auto"/>
                    <w:left w:val="none" w:sz="0" w:space="0" w:color="auto"/>
                    <w:bottom w:val="none" w:sz="0" w:space="0" w:color="auto"/>
                    <w:right w:val="none" w:sz="0" w:space="0" w:color="auto"/>
                  </w:divBdr>
                  <w:divsChild>
                    <w:div w:id="292489595">
                      <w:marLeft w:val="0"/>
                      <w:marRight w:val="0"/>
                      <w:marTop w:val="0"/>
                      <w:marBottom w:val="0"/>
                      <w:divBdr>
                        <w:top w:val="none" w:sz="0" w:space="0" w:color="auto"/>
                        <w:left w:val="none" w:sz="0" w:space="0" w:color="auto"/>
                        <w:bottom w:val="none" w:sz="0" w:space="0" w:color="auto"/>
                        <w:right w:val="none" w:sz="0" w:space="0" w:color="auto"/>
                      </w:divBdr>
                    </w:div>
                    <w:div w:id="11046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728147">
          <w:marLeft w:val="0"/>
          <w:marRight w:val="0"/>
          <w:marTop w:val="0"/>
          <w:marBottom w:val="0"/>
          <w:divBdr>
            <w:top w:val="none" w:sz="0" w:space="0" w:color="auto"/>
            <w:left w:val="none" w:sz="0" w:space="0" w:color="auto"/>
            <w:bottom w:val="none" w:sz="0" w:space="0" w:color="auto"/>
            <w:right w:val="none" w:sz="0" w:space="0" w:color="auto"/>
          </w:divBdr>
        </w:div>
        <w:div w:id="1307123549">
          <w:marLeft w:val="0"/>
          <w:marRight w:val="0"/>
          <w:marTop w:val="0"/>
          <w:marBottom w:val="0"/>
          <w:divBdr>
            <w:top w:val="none" w:sz="0" w:space="0" w:color="auto"/>
            <w:left w:val="none" w:sz="0" w:space="0" w:color="auto"/>
            <w:bottom w:val="none" w:sz="0" w:space="0" w:color="auto"/>
            <w:right w:val="none" w:sz="0" w:space="0" w:color="auto"/>
          </w:divBdr>
        </w:div>
      </w:divsChild>
    </w:div>
    <w:div w:id="1511139885">
      <w:bodyDiv w:val="1"/>
      <w:marLeft w:val="0"/>
      <w:marRight w:val="0"/>
      <w:marTop w:val="0"/>
      <w:marBottom w:val="0"/>
      <w:divBdr>
        <w:top w:val="none" w:sz="0" w:space="0" w:color="auto"/>
        <w:left w:val="none" w:sz="0" w:space="0" w:color="auto"/>
        <w:bottom w:val="none" w:sz="0" w:space="0" w:color="auto"/>
        <w:right w:val="none" w:sz="0" w:space="0" w:color="auto"/>
      </w:divBdr>
      <w:divsChild>
        <w:div w:id="176892640">
          <w:marLeft w:val="0"/>
          <w:marRight w:val="0"/>
          <w:marTop w:val="0"/>
          <w:marBottom w:val="0"/>
          <w:divBdr>
            <w:top w:val="none" w:sz="0" w:space="0" w:color="auto"/>
            <w:left w:val="none" w:sz="0" w:space="0" w:color="auto"/>
            <w:bottom w:val="none" w:sz="0" w:space="0" w:color="auto"/>
            <w:right w:val="none" w:sz="0" w:space="0" w:color="auto"/>
          </w:divBdr>
        </w:div>
        <w:div w:id="876282976">
          <w:marLeft w:val="0"/>
          <w:marRight w:val="0"/>
          <w:marTop w:val="0"/>
          <w:marBottom w:val="0"/>
          <w:divBdr>
            <w:top w:val="none" w:sz="0" w:space="0" w:color="auto"/>
            <w:left w:val="none" w:sz="0" w:space="0" w:color="auto"/>
            <w:bottom w:val="none" w:sz="0" w:space="0" w:color="auto"/>
            <w:right w:val="none" w:sz="0" w:space="0" w:color="auto"/>
          </w:divBdr>
          <w:divsChild>
            <w:div w:id="1872692312">
              <w:marLeft w:val="-75"/>
              <w:marRight w:val="0"/>
              <w:marTop w:val="30"/>
              <w:marBottom w:val="30"/>
              <w:divBdr>
                <w:top w:val="none" w:sz="0" w:space="0" w:color="auto"/>
                <w:left w:val="none" w:sz="0" w:space="0" w:color="auto"/>
                <w:bottom w:val="none" w:sz="0" w:space="0" w:color="auto"/>
                <w:right w:val="none" w:sz="0" w:space="0" w:color="auto"/>
              </w:divBdr>
              <w:divsChild>
                <w:div w:id="2117947156">
                  <w:marLeft w:val="0"/>
                  <w:marRight w:val="0"/>
                  <w:marTop w:val="0"/>
                  <w:marBottom w:val="0"/>
                  <w:divBdr>
                    <w:top w:val="none" w:sz="0" w:space="0" w:color="auto"/>
                    <w:left w:val="none" w:sz="0" w:space="0" w:color="auto"/>
                    <w:bottom w:val="none" w:sz="0" w:space="0" w:color="auto"/>
                    <w:right w:val="none" w:sz="0" w:space="0" w:color="auto"/>
                  </w:divBdr>
                  <w:divsChild>
                    <w:div w:id="1901136376">
                      <w:marLeft w:val="0"/>
                      <w:marRight w:val="0"/>
                      <w:marTop w:val="0"/>
                      <w:marBottom w:val="0"/>
                      <w:divBdr>
                        <w:top w:val="none" w:sz="0" w:space="0" w:color="auto"/>
                        <w:left w:val="none" w:sz="0" w:space="0" w:color="auto"/>
                        <w:bottom w:val="none" w:sz="0" w:space="0" w:color="auto"/>
                        <w:right w:val="none" w:sz="0" w:space="0" w:color="auto"/>
                      </w:divBdr>
                    </w:div>
                  </w:divsChild>
                </w:div>
                <w:div w:id="762073278">
                  <w:marLeft w:val="0"/>
                  <w:marRight w:val="0"/>
                  <w:marTop w:val="0"/>
                  <w:marBottom w:val="0"/>
                  <w:divBdr>
                    <w:top w:val="none" w:sz="0" w:space="0" w:color="auto"/>
                    <w:left w:val="none" w:sz="0" w:space="0" w:color="auto"/>
                    <w:bottom w:val="none" w:sz="0" w:space="0" w:color="auto"/>
                    <w:right w:val="none" w:sz="0" w:space="0" w:color="auto"/>
                  </w:divBdr>
                  <w:divsChild>
                    <w:div w:id="1215577487">
                      <w:marLeft w:val="0"/>
                      <w:marRight w:val="0"/>
                      <w:marTop w:val="0"/>
                      <w:marBottom w:val="0"/>
                      <w:divBdr>
                        <w:top w:val="none" w:sz="0" w:space="0" w:color="auto"/>
                        <w:left w:val="none" w:sz="0" w:space="0" w:color="auto"/>
                        <w:bottom w:val="none" w:sz="0" w:space="0" w:color="auto"/>
                        <w:right w:val="none" w:sz="0" w:space="0" w:color="auto"/>
                      </w:divBdr>
                    </w:div>
                  </w:divsChild>
                </w:div>
                <w:div w:id="165941587">
                  <w:marLeft w:val="0"/>
                  <w:marRight w:val="0"/>
                  <w:marTop w:val="0"/>
                  <w:marBottom w:val="0"/>
                  <w:divBdr>
                    <w:top w:val="none" w:sz="0" w:space="0" w:color="auto"/>
                    <w:left w:val="none" w:sz="0" w:space="0" w:color="auto"/>
                    <w:bottom w:val="none" w:sz="0" w:space="0" w:color="auto"/>
                    <w:right w:val="none" w:sz="0" w:space="0" w:color="auto"/>
                  </w:divBdr>
                  <w:divsChild>
                    <w:div w:id="402025320">
                      <w:marLeft w:val="0"/>
                      <w:marRight w:val="0"/>
                      <w:marTop w:val="0"/>
                      <w:marBottom w:val="0"/>
                      <w:divBdr>
                        <w:top w:val="none" w:sz="0" w:space="0" w:color="auto"/>
                        <w:left w:val="none" w:sz="0" w:space="0" w:color="auto"/>
                        <w:bottom w:val="none" w:sz="0" w:space="0" w:color="auto"/>
                        <w:right w:val="none" w:sz="0" w:space="0" w:color="auto"/>
                      </w:divBdr>
                    </w:div>
                  </w:divsChild>
                </w:div>
                <w:div w:id="1067679388">
                  <w:marLeft w:val="0"/>
                  <w:marRight w:val="0"/>
                  <w:marTop w:val="0"/>
                  <w:marBottom w:val="0"/>
                  <w:divBdr>
                    <w:top w:val="none" w:sz="0" w:space="0" w:color="auto"/>
                    <w:left w:val="none" w:sz="0" w:space="0" w:color="auto"/>
                    <w:bottom w:val="none" w:sz="0" w:space="0" w:color="auto"/>
                    <w:right w:val="none" w:sz="0" w:space="0" w:color="auto"/>
                  </w:divBdr>
                  <w:divsChild>
                    <w:div w:id="500202503">
                      <w:marLeft w:val="0"/>
                      <w:marRight w:val="0"/>
                      <w:marTop w:val="0"/>
                      <w:marBottom w:val="0"/>
                      <w:divBdr>
                        <w:top w:val="none" w:sz="0" w:space="0" w:color="auto"/>
                        <w:left w:val="none" w:sz="0" w:space="0" w:color="auto"/>
                        <w:bottom w:val="none" w:sz="0" w:space="0" w:color="auto"/>
                        <w:right w:val="none" w:sz="0" w:space="0" w:color="auto"/>
                      </w:divBdr>
                    </w:div>
                  </w:divsChild>
                </w:div>
                <w:div w:id="44918857">
                  <w:marLeft w:val="0"/>
                  <w:marRight w:val="0"/>
                  <w:marTop w:val="0"/>
                  <w:marBottom w:val="0"/>
                  <w:divBdr>
                    <w:top w:val="none" w:sz="0" w:space="0" w:color="auto"/>
                    <w:left w:val="none" w:sz="0" w:space="0" w:color="auto"/>
                    <w:bottom w:val="none" w:sz="0" w:space="0" w:color="auto"/>
                    <w:right w:val="none" w:sz="0" w:space="0" w:color="auto"/>
                  </w:divBdr>
                  <w:divsChild>
                    <w:div w:id="1182815501">
                      <w:marLeft w:val="0"/>
                      <w:marRight w:val="0"/>
                      <w:marTop w:val="0"/>
                      <w:marBottom w:val="0"/>
                      <w:divBdr>
                        <w:top w:val="none" w:sz="0" w:space="0" w:color="auto"/>
                        <w:left w:val="none" w:sz="0" w:space="0" w:color="auto"/>
                        <w:bottom w:val="none" w:sz="0" w:space="0" w:color="auto"/>
                        <w:right w:val="none" w:sz="0" w:space="0" w:color="auto"/>
                      </w:divBdr>
                    </w:div>
                  </w:divsChild>
                </w:div>
                <w:div w:id="1092360448">
                  <w:marLeft w:val="0"/>
                  <w:marRight w:val="0"/>
                  <w:marTop w:val="0"/>
                  <w:marBottom w:val="0"/>
                  <w:divBdr>
                    <w:top w:val="none" w:sz="0" w:space="0" w:color="auto"/>
                    <w:left w:val="none" w:sz="0" w:space="0" w:color="auto"/>
                    <w:bottom w:val="none" w:sz="0" w:space="0" w:color="auto"/>
                    <w:right w:val="none" w:sz="0" w:space="0" w:color="auto"/>
                  </w:divBdr>
                  <w:divsChild>
                    <w:div w:id="1765415099">
                      <w:marLeft w:val="0"/>
                      <w:marRight w:val="0"/>
                      <w:marTop w:val="0"/>
                      <w:marBottom w:val="0"/>
                      <w:divBdr>
                        <w:top w:val="none" w:sz="0" w:space="0" w:color="auto"/>
                        <w:left w:val="none" w:sz="0" w:space="0" w:color="auto"/>
                        <w:bottom w:val="none" w:sz="0" w:space="0" w:color="auto"/>
                        <w:right w:val="none" w:sz="0" w:space="0" w:color="auto"/>
                      </w:divBdr>
                    </w:div>
                  </w:divsChild>
                </w:div>
                <w:div w:id="1689404346">
                  <w:marLeft w:val="0"/>
                  <w:marRight w:val="0"/>
                  <w:marTop w:val="0"/>
                  <w:marBottom w:val="0"/>
                  <w:divBdr>
                    <w:top w:val="none" w:sz="0" w:space="0" w:color="auto"/>
                    <w:left w:val="none" w:sz="0" w:space="0" w:color="auto"/>
                    <w:bottom w:val="none" w:sz="0" w:space="0" w:color="auto"/>
                    <w:right w:val="none" w:sz="0" w:space="0" w:color="auto"/>
                  </w:divBdr>
                  <w:divsChild>
                    <w:div w:id="832987191">
                      <w:marLeft w:val="0"/>
                      <w:marRight w:val="0"/>
                      <w:marTop w:val="0"/>
                      <w:marBottom w:val="0"/>
                      <w:divBdr>
                        <w:top w:val="none" w:sz="0" w:space="0" w:color="auto"/>
                        <w:left w:val="none" w:sz="0" w:space="0" w:color="auto"/>
                        <w:bottom w:val="none" w:sz="0" w:space="0" w:color="auto"/>
                        <w:right w:val="none" w:sz="0" w:space="0" w:color="auto"/>
                      </w:divBdr>
                    </w:div>
                    <w:div w:id="1347631691">
                      <w:marLeft w:val="0"/>
                      <w:marRight w:val="0"/>
                      <w:marTop w:val="0"/>
                      <w:marBottom w:val="0"/>
                      <w:divBdr>
                        <w:top w:val="none" w:sz="0" w:space="0" w:color="auto"/>
                        <w:left w:val="none" w:sz="0" w:space="0" w:color="auto"/>
                        <w:bottom w:val="none" w:sz="0" w:space="0" w:color="auto"/>
                        <w:right w:val="none" w:sz="0" w:space="0" w:color="auto"/>
                      </w:divBdr>
                    </w:div>
                  </w:divsChild>
                </w:div>
                <w:div w:id="566763576">
                  <w:marLeft w:val="0"/>
                  <w:marRight w:val="0"/>
                  <w:marTop w:val="0"/>
                  <w:marBottom w:val="0"/>
                  <w:divBdr>
                    <w:top w:val="none" w:sz="0" w:space="0" w:color="auto"/>
                    <w:left w:val="none" w:sz="0" w:space="0" w:color="auto"/>
                    <w:bottom w:val="none" w:sz="0" w:space="0" w:color="auto"/>
                    <w:right w:val="none" w:sz="0" w:space="0" w:color="auto"/>
                  </w:divBdr>
                  <w:divsChild>
                    <w:div w:id="1620263801">
                      <w:marLeft w:val="0"/>
                      <w:marRight w:val="0"/>
                      <w:marTop w:val="0"/>
                      <w:marBottom w:val="0"/>
                      <w:divBdr>
                        <w:top w:val="none" w:sz="0" w:space="0" w:color="auto"/>
                        <w:left w:val="none" w:sz="0" w:space="0" w:color="auto"/>
                        <w:bottom w:val="none" w:sz="0" w:space="0" w:color="auto"/>
                        <w:right w:val="none" w:sz="0" w:space="0" w:color="auto"/>
                      </w:divBdr>
                    </w:div>
                    <w:div w:id="224683813">
                      <w:marLeft w:val="0"/>
                      <w:marRight w:val="0"/>
                      <w:marTop w:val="0"/>
                      <w:marBottom w:val="0"/>
                      <w:divBdr>
                        <w:top w:val="none" w:sz="0" w:space="0" w:color="auto"/>
                        <w:left w:val="none" w:sz="0" w:space="0" w:color="auto"/>
                        <w:bottom w:val="none" w:sz="0" w:space="0" w:color="auto"/>
                        <w:right w:val="none" w:sz="0" w:space="0" w:color="auto"/>
                      </w:divBdr>
                    </w:div>
                  </w:divsChild>
                </w:div>
                <w:div w:id="1397821728">
                  <w:marLeft w:val="0"/>
                  <w:marRight w:val="0"/>
                  <w:marTop w:val="0"/>
                  <w:marBottom w:val="0"/>
                  <w:divBdr>
                    <w:top w:val="none" w:sz="0" w:space="0" w:color="auto"/>
                    <w:left w:val="none" w:sz="0" w:space="0" w:color="auto"/>
                    <w:bottom w:val="none" w:sz="0" w:space="0" w:color="auto"/>
                    <w:right w:val="none" w:sz="0" w:space="0" w:color="auto"/>
                  </w:divBdr>
                  <w:divsChild>
                    <w:div w:id="53430726">
                      <w:marLeft w:val="0"/>
                      <w:marRight w:val="0"/>
                      <w:marTop w:val="0"/>
                      <w:marBottom w:val="0"/>
                      <w:divBdr>
                        <w:top w:val="none" w:sz="0" w:space="0" w:color="auto"/>
                        <w:left w:val="none" w:sz="0" w:space="0" w:color="auto"/>
                        <w:bottom w:val="none" w:sz="0" w:space="0" w:color="auto"/>
                        <w:right w:val="none" w:sz="0" w:space="0" w:color="auto"/>
                      </w:divBdr>
                    </w:div>
                    <w:div w:id="1070074476">
                      <w:marLeft w:val="0"/>
                      <w:marRight w:val="0"/>
                      <w:marTop w:val="0"/>
                      <w:marBottom w:val="0"/>
                      <w:divBdr>
                        <w:top w:val="none" w:sz="0" w:space="0" w:color="auto"/>
                        <w:left w:val="none" w:sz="0" w:space="0" w:color="auto"/>
                        <w:bottom w:val="none" w:sz="0" w:space="0" w:color="auto"/>
                        <w:right w:val="none" w:sz="0" w:space="0" w:color="auto"/>
                      </w:divBdr>
                    </w:div>
                  </w:divsChild>
                </w:div>
                <w:div w:id="1120995189">
                  <w:marLeft w:val="0"/>
                  <w:marRight w:val="0"/>
                  <w:marTop w:val="0"/>
                  <w:marBottom w:val="0"/>
                  <w:divBdr>
                    <w:top w:val="none" w:sz="0" w:space="0" w:color="auto"/>
                    <w:left w:val="none" w:sz="0" w:space="0" w:color="auto"/>
                    <w:bottom w:val="none" w:sz="0" w:space="0" w:color="auto"/>
                    <w:right w:val="none" w:sz="0" w:space="0" w:color="auto"/>
                  </w:divBdr>
                  <w:divsChild>
                    <w:div w:id="2050302191">
                      <w:marLeft w:val="0"/>
                      <w:marRight w:val="0"/>
                      <w:marTop w:val="0"/>
                      <w:marBottom w:val="0"/>
                      <w:divBdr>
                        <w:top w:val="none" w:sz="0" w:space="0" w:color="auto"/>
                        <w:left w:val="none" w:sz="0" w:space="0" w:color="auto"/>
                        <w:bottom w:val="none" w:sz="0" w:space="0" w:color="auto"/>
                        <w:right w:val="none" w:sz="0" w:space="0" w:color="auto"/>
                      </w:divBdr>
                    </w:div>
                    <w:div w:id="1861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6342">
          <w:marLeft w:val="0"/>
          <w:marRight w:val="0"/>
          <w:marTop w:val="0"/>
          <w:marBottom w:val="0"/>
          <w:divBdr>
            <w:top w:val="none" w:sz="0" w:space="0" w:color="auto"/>
            <w:left w:val="none" w:sz="0" w:space="0" w:color="auto"/>
            <w:bottom w:val="none" w:sz="0" w:space="0" w:color="auto"/>
            <w:right w:val="none" w:sz="0" w:space="0" w:color="auto"/>
          </w:divBdr>
        </w:div>
        <w:div w:id="55057064">
          <w:marLeft w:val="0"/>
          <w:marRight w:val="0"/>
          <w:marTop w:val="0"/>
          <w:marBottom w:val="0"/>
          <w:divBdr>
            <w:top w:val="none" w:sz="0" w:space="0" w:color="auto"/>
            <w:left w:val="none" w:sz="0" w:space="0" w:color="auto"/>
            <w:bottom w:val="none" w:sz="0" w:space="0" w:color="auto"/>
            <w:right w:val="none" w:sz="0" w:space="0" w:color="auto"/>
          </w:divBdr>
        </w:div>
        <w:div w:id="479539336">
          <w:marLeft w:val="0"/>
          <w:marRight w:val="0"/>
          <w:marTop w:val="0"/>
          <w:marBottom w:val="0"/>
          <w:divBdr>
            <w:top w:val="none" w:sz="0" w:space="0" w:color="auto"/>
            <w:left w:val="none" w:sz="0" w:space="0" w:color="auto"/>
            <w:bottom w:val="none" w:sz="0" w:space="0" w:color="auto"/>
            <w:right w:val="none" w:sz="0" w:space="0" w:color="auto"/>
          </w:divBdr>
        </w:div>
        <w:div w:id="1712538749">
          <w:marLeft w:val="0"/>
          <w:marRight w:val="0"/>
          <w:marTop w:val="0"/>
          <w:marBottom w:val="0"/>
          <w:divBdr>
            <w:top w:val="none" w:sz="0" w:space="0" w:color="auto"/>
            <w:left w:val="none" w:sz="0" w:space="0" w:color="auto"/>
            <w:bottom w:val="none" w:sz="0" w:space="0" w:color="auto"/>
            <w:right w:val="none" w:sz="0" w:space="0" w:color="auto"/>
          </w:divBdr>
        </w:div>
        <w:div w:id="237056101">
          <w:marLeft w:val="0"/>
          <w:marRight w:val="0"/>
          <w:marTop w:val="0"/>
          <w:marBottom w:val="0"/>
          <w:divBdr>
            <w:top w:val="none" w:sz="0" w:space="0" w:color="auto"/>
            <w:left w:val="none" w:sz="0" w:space="0" w:color="auto"/>
            <w:bottom w:val="none" w:sz="0" w:space="0" w:color="auto"/>
            <w:right w:val="none" w:sz="0" w:space="0" w:color="auto"/>
          </w:divBdr>
          <w:divsChild>
            <w:div w:id="1953511141">
              <w:marLeft w:val="-75"/>
              <w:marRight w:val="0"/>
              <w:marTop w:val="30"/>
              <w:marBottom w:val="30"/>
              <w:divBdr>
                <w:top w:val="none" w:sz="0" w:space="0" w:color="auto"/>
                <w:left w:val="none" w:sz="0" w:space="0" w:color="auto"/>
                <w:bottom w:val="none" w:sz="0" w:space="0" w:color="auto"/>
                <w:right w:val="none" w:sz="0" w:space="0" w:color="auto"/>
              </w:divBdr>
              <w:divsChild>
                <w:div w:id="525141172">
                  <w:marLeft w:val="0"/>
                  <w:marRight w:val="0"/>
                  <w:marTop w:val="0"/>
                  <w:marBottom w:val="0"/>
                  <w:divBdr>
                    <w:top w:val="none" w:sz="0" w:space="0" w:color="auto"/>
                    <w:left w:val="none" w:sz="0" w:space="0" w:color="auto"/>
                    <w:bottom w:val="none" w:sz="0" w:space="0" w:color="auto"/>
                    <w:right w:val="none" w:sz="0" w:space="0" w:color="auto"/>
                  </w:divBdr>
                  <w:divsChild>
                    <w:div w:id="269314947">
                      <w:marLeft w:val="0"/>
                      <w:marRight w:val="0"/>
                      <w:marTop w:val="0"/>
                      <w:marBottom w:val="0"/>
                      <w:divBdr>
                        <w:top w:val="none" w:sz="0" w:space="0" w:color="auto"/>
                        <w:left w:val="none" w:sz="0" w:space="0" w:color="auto"/>
                        <w:bottom w:val="none" w:sz="0" w:space="0" w:color="auto"/>
                        <w:right w:val="none" w:sz="0" w:space="0" w:color="auto"/>
                      </w:divBdr>
                    </w:div>
                  </w:divsChild>
                </w:div>
                <w:div w:id="1732191619">
                  <w:marLeft w:val="0"/>
                  <w:marRight w:val="0"/>
                  <w:marTop w:val="0"/>
                  <w:marBottom w:val="0"/>
                  <w:divBdr>
                    <w:top w:val="none" w:sz="0" w:space="0" w:color="auto"/>
                    <w:left w:val="none" w:sz="0" w:space="0" w:color="auto"/>
                    <w:bottom w:val="none" w:sz="0" w:space="0" w:color="auto"/>
                    <w:right w:val="none" w:sz="0" w:space="0" w:color="auto"/>
                  </w:divBdr>
                  <w:divsChild>
                    <w:div w:id="22681651">
                      <w:marLeft w:val="0"/>
                      <w:marRight w:val="0"/>
                      <w:marTop w:val="0"/>
                      <w:marBottom w:val="0"/>
                      <w:divBdr>
                        <w:top w:val="none" w:sz="0" w:space="0" w:color="auto"/>
                        <w:left w:val="none" w:sz="0" w:space="0" w:color="auto"/>
                        <w:bottom w:val="none" w:sz="0" w:space="0" w:color="auto"/>
                        <w:right w:val="none" w:sz="0" w:space="0" w:color="auto"/>
                      </w:divBdr>
                    </w:div>
                  </w:divsChild>
                </w:div>
                <w:div w:id="149297614">
                  <w:marLeft w:val="0"/>
                  <w:marRight w:val="0"/>
                  <w:marTop w:val="0"/>
                  <w:marBottom w:val="0"/>
                  <w:divBdr>
                    <w:top w:val="none" w:sz="0" w:space="0" w:color="auto"/>
                    <w:left w:val="none" w:sz="0" w:space="0" w:color="auto"/>
                    <w:bottom w:val="none" w:sz="0" w:space="0" w:color="auto"/>
                    <w:right w:val="none" w:sz="0" w:space="0" w:color="auto"/>
                  </w:divBdr>
                  <w:divsChild>
                    <w:div w:id="491482994">
                      <w:marLeft w:val="0"/>
                      <w:marRight w:val="0"/>
                      <w:marTop w:val="0"/>
                      <w:marBottom w:val="0"/>
                      <w:divBdr>
                        <w:top w:val="none" w:sz="0" w:space="0" w:color="auto"/>
                        <w:left w:val="none" w:sz="0" w:space="0" w:color="auto"/>
                        <w:bottom w:val="none" w:sz="0" w:space="0" w:color="auto"/>
                        <w:right w:val="none" w:sz="0" w:space="0" w:color="auto"/>
                      </w:divBdr>
                    </w:div>
                  </w:divsChild>
                </w:div>
                <w:div w:id="60833454">
                  <w:marLeft w:val="0"/>
                  <w:marRight w:val="0"/>
                  <w:marTop w:val="0"/>
                  <w:marBottom w:val="0"/>
                  <w:divBdr>
                    <w:top w:val="none" w:sz="0" w:space="0" w:color="auto"/>
                    <w:left w:val="none" w:sz="0" w:space="0" w:color="auto"/>
                    <w:bottom w:val="none" w:sz="0" w:space="0" w:color="auto"/>
                    <w:right w:val="none" w:sz="0" w:space="0" w:color="auto"/>
                  </w:divBdr>
                  <w:divsChild>
                    <w:div w:id="233857905">
                      <w:marLeft w:val="0"/>
                      <w:marRight w:val="0"/>
                      <w:marTop w:val="0"/>
                      <w:marBottom w:val="0"/>
                      <w:divBdr>
                        <w:top w:val="none" w:sz="0" w:space="0" w:color="auto"/>
                        <w:left w:val="none" w:sz="0" w:space="0" w:color="auto"/>
                        <w:bottom w:val="none" w:sz="0" w:space="0" w:color="auto"/>
                        <w:right w:val="none" w:sz="0" w:space="0" w:color="auto"/>
                      </w:divBdr>
                    </w:div>
                  </w:divsChild>
                </w:div>
                <w:div w:id="1583292744">
                  <w:marLeft w:val="0"/>
                  <w:marRight w:val="0"/>
                  <w:marTop w:val="0"/>
                  <w:marBottom w:val="0"/>
                  <w:divBdr>
                    <w:top w:val="none" w:sz="0" w:space="0" w:color="auto"/>
                    <w:left w:val="none" w:sz="0" w:space="0" w:color="auto"/>
                    <w:bottom w:val="none" w:sz="0" w:space="0" w:color="auto"/>
                    <w:right w:val="none" w:sz="0" w:space="0" w:color="auto"/>
                  </w:divBdr>
                  <w:divsChild>
                    <w:div w:id="659507478">
                      <w:marLeft w:val="0"/>
                      <w:marRight w:val="0"/>
                      <w:marTop w:val="0"/>
                      <w:marBottom w:val="0"/>
                      <w:divBdr>
                        <w:top w:val="none" w:sz="0" w:space="0" w:color="auto"/>
                        <w:left w:val="none" w:sz="0" w:space="0" w:color="auto"/>
                        <w:bottom w:val="none" w:sz="0" w:space="0" w:color="auto"/>
                        <w:right w:val="none" w:sz="0" w:space="0" w:color="auto"/>
                      </w:divBdr>
                    </w:div>
                  </w:divsChild>
                </w:div>
                <w:div w:id="1994944637">
                  <w:marLeft w:val="0"/>
                  <w:marRight w:val="0"/>
                  <w:marTop w:val="0"/>
                  <w:marBottom w:val="0"/>
                  <w:divBdr>
                    <w:top w:val="none" w:sz="0" w:space="0" w:color="auto"/>
                    <w:left w:val="none" w:sz="0" w:space="0" w:color="auto"/>
                    <w:bottom w:val="none" w:sz="0" w:space="0" w:color="auto"/>
                    <w:right w:val="none" w:sz="0" w:space="0" w:color="auto"/>
                  </w:divBdr>
                  <w:divsChild>
                    <w:div w:id="1238630463">
                      <w:marLeft w:val="0"/>
                      <w:marRight w:val="0"/>
                      <w:marTop w:val="0"/>
                      <w:marBottom w:val="0"/>
                      <w:divBdr>
                        <w:top w:val="none" w:sz="0" w:space="0" w:color="auto"/>
                        <w:left w:val="none" w:sz="0" w:space="0" w:color="auto"/>
                        <w:bottom w:val="none" w:sz="0" w:space="0" w:color="auto"/>
                        <w:right w:val="none" w:sz="0" w:space="0" w:color="auto"/>
                      </w:divBdr>
                    </w:div>
                  </w:divsChild>
                </w:div>
                <w:div w:id="1705666728">
                  <w:marLeft w:val="0"/>
                  <w:marRight w:val="0"/>
                  <w:marTop w:val="0"/>
                  <w:marBottom w:val="0"/>
                  <w:divBdr>
                    <w:top w:val="none" w:sz="0" w:space="0" w:color="auto"/>
                    <w:left w:val="none" w:sz="0" w:space="0" w:color="auto"/>
                    <w:bottom w:val="none" w:sz="0" w:space="0" w:color="auto"/>
                    <w:right w:val="none" w:sz="0" w:space="0" w:color="auto"/>
                  </w:divBdr>
                  <w:divsChild>
                    <w:div w:id="73086739">
                      <w:marLeft w:val="0"/>
                      <w:marRight w:val="0"/>
                      <w:marTop w:val="0"/>
                      <w:marBottom w:val="0"/>
                      <w:divBdr>
                        <w:top w:val="none" w:sz="0" w:space="0" w:color="auto"/>
                        <w:left w:val="none" w:sz="0" w:space="0" w:color="auto"/>
                        <w:bottom w:val="none" w:sz="0" w:space="0" w:color="auto"/>
                        <w:right w:val="none" w:sz="0" w:space="0" w:color="auto"/>
                      </w:divBdr>
                    </w:div>
                    <w:div w:id="1990939570">
                      <w:marLeft w:val="0"/>
                      <w:marRight w:val="0"/>
                      <w:marTop w:val="0"/>
                      <w:marBottom w:val="0"/>
                      <w:divBdr>
                        <w:top w:val="none" w:sz="0" w:space="0" w:color="auto"/>
                        <w:left w:val="none" w:sz="0" w:space="0" w:color="auto"/>
                        <w:bottom w:val="none" w:sz="0" w:space="0" w:color="auto"/>
                        <w:right w:val="none" w:sz="0" w:space="0" w:color="auto"/>
                      </w:divBdr>
                    </w:div>
                  </w:divsChild>
                </w:div>
                <w:div w:id="526019207">
                  <w:marLeft w:val="0"/>
                  <w:marRight w:val="0"/>
                  <w:marTop w:val="0"/>
                  <w:marBottom w:val="0"/>
                  <w:divBdr>
                    <w:top w:val="none" w:sz="0" w:space="0" w:color="auto"/>
                    <w:left w:val="none" w:sz="0" w:space="0" w:color="auto"/>
                    <w:bottom w:val="none" w:sz="0" w:space="0" w:color="auto"/>
                    <w:right w:val="none" w:sz="0" w:space="0" w:color="auto"/>
                  </w:divBdr>
                  <w:divsChild>
                    <w:div w:id="544029874">
                      <w:marLeft w:val="0"/>
                      <w:marRight w:val="0"/>
                      <w:marTop w:val="0"/>
                      <w:marBottom w:val="0"/>
                      <w:divBdr>
                        <w:top w:val="none" w:sz="0" w:space="0" w:color="auto"/>
                        <w:left w:val="none" w:sz="0" w:space="0" w:color="auto"/>
                        <w:bottom w:val="none" w:sz="0" w:space="0" w:color="auto"/>
                        <w:right w:val="none" w:sz="0" w:space="0" w:color="auto"/>
                      </w:divBdr>
                    </w:div>
                    <w:div w:id="373699879">
                      <w:marLeft w:val="0"/>
                      <w:marRight w:val="0"/>
                      <w:marTop w:val="0"/>
                      <w:marBottom w:val="0"/>
                      <w:divBdr>
                        <w:top w:val="none" w:sz="0" w:space="0" w:color="auto"/>
                        <w:left w:val="none" w:sz="0" w:space="0" w:color="auto"/>
                        <w:bottom w:val="none" w:sz="0" w:space="0" w:color="auto"/>
                        <w:right w:val="none" w:sz="0" w:space="0" w:color="auto"/>
                      </w:divBdr>
                    </w:div>
                  </w:divsChild>
                </w:div>
                <w:div w:id="457190811">
                  <w:marLeft w:val="0"/>
                  <w:marRight w:val="0"/>
                  <w:marTop w:val="0"/>
                  <w:marBottom w:val="0"/>
                  <w:divBdr>
                    <w:top w:val="none" w:sz="0" w:space="0" w:color="auto"/>
                    <w:left w:val="none" w:sz="0" w:space="0" w:color="auto"/>
                    <w:bottom w:val="none" w:sz="0" w:space="0" w:color="auto"/>
                    <w:right w:val="none" w:sz="0" w:space="0" w:color="auto"/>
                  </w:divBdr>
                  <w:divsChild>
                    <w:div w:id="1908956310">
                      <w:marLeft w:val="0"/>
                      <w:marRight w:val="0"/>
                      <w:marTop w:val="0"/>
                      <w:marBottom w:val="0"/>
                      <w:divBdr>
                        <w:top w:val="none" w:sz="0" w:space="0" w:color="auto"/>
                        <w:left w:val="none" w:sz="0" w:space="0" w:color="auto"/>
                        <w:bottom w:val="none" w:sz="0" w:space="0" w:color="auto"/>
                        <w:right w:val="none" w:sz="0" w:space="0" w:color="auto"/>
                      </w:divBdr>
                    </w:div>
                    <w:div w:id="41101909">
                      <w:marLeft w:val="0"/>
                      <w:marRight w:val="0"/>
                      <w:marTop w:val="0"/>
                      <w:marBottom w:val="0"/>
                      <w:divBdr>
                        <w:top w:val="none" w:sz="0" w:space="0" w:color="auto"/>
                        <w:left w:val="none" w:sz="0" w:space="0" w:color="auto"/>
                        <w:bottom w:val="none" w:sz="0" w:space="0" w:color="auto"/>
                        <w:right w:val="none" w:sz="0" w:space="0" w:color="auto"/>
                      </w:divBdr>
                    </w:div>
                  </w:divsChild>
                </w:div>
                <w:div w:id="1829589923">
                  <w:marLeft w:val="0"/>
                  <w:marRight w:val="0"/>
                  <w:marTop w:val="0"/>
                  <w:marBottom w:val="0"/>
                  <w:divBdr>
                    <w:top w:val="none" w:sz="0" w:space="0" w:color="auto"/>
                    <w:left w:val="none" w:sz="0" w:space="0" w:color="auto"/>
                    <w:bottom w:val="none" w:sz="0" w:space="0" w:color="auto"/>
                    <w:right w:val="none" w:sz="0" w:space="0" w:color="auto"/>
                  </w:divBdr>
                  <w:divsChild>
                    <w:div w:id="824710774">
                      <w:marLeft w:val="0"/>
                      <w:marRight w:val="0"/>
                      <w:marTop w:val="0"/>
                      <w:marBottom w:val="0"/>
                      <w:divBdr>
                        <w:top w:val="none" w:sz="0" w:space="0" w:color="auto"/>
                        <w:left w:val="none" w:sz="0" w:space="0" w:color="auto"/>
                        <w:bottom w:val="none" w:sz="0" w:space="0" w:color="auto"/>
                        <w:right w:val="none" w:sz="0" w:space="0" w:color="auto"/>
                      </w:divBdr>
                    </w:div>
                    <w:div w:id="737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8222">
          <w:marLeft w:val="0"/>
          <w:marRight w:val="0"/>
          <w:marTop w:val="0"/>
          <w:marBottom w:val="0"/>
          <w:divBdr>
            <w:top w:val="none" w:sz="0" w:space="0" w:color="auto"/>
            <w:left w:val="none" w:sz="0" w:space="0" w:color="auto"/>
            <w:bottom w:val="none" w:sz="0" w:space="0" w:color="auto"/>
            <w:right w:val="none" w:sz="0" w:space="0" w:color="auto"/>
          </w:divBdr>
        </w:div>
        <w:div w:id="388505618">
          <w:marLeft w:val="0"/>
          <w:marRight w:val="0"/>
          <w:marTop w:val="0"/>
          <w:marBottom w:val="0"/>
          <w:divBdr>
            <w:top w:val="none" w:sz="0" w:space="0" w:color="auto"/>
            <w:left w:val="none" w:sz="0" w:space="0" w:color="auto"/>
            <w:bottom w:val="none" w:sz="0" w:space="0" w:color="auto"/>
            <w:right w:val="none" w:sz="0" w:space="0" w:color="auto"/>
          </w:divBdr>
        </w:div>
      </w:divsChild>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339427">
      <w:bodyDiv w:val="1"/>
      <w:marLeft w:val="0"/>
      <w:marRight w:val="0"/>
      <w:marTop w:val="0"/>
      <w:marBottom w:val="0"/>
      <w:divBdr>
        <w:top w:val="none" w:sz="0" w:space="0" w:color="auto"/>
        <w:left w:val="none" w:sz="0" w:space="0" w:color="auto"/>
        <w:bottom w:val="none" w:sz="0" w:space="0" w:color="auto"/>
        <w:right w:val="none" w:sz="0" w:space="0" w:color="auto"/>
      </w:divBdr>
      <w:divsChild>
        <w:div w:id="545064814">
          <w:marLeft w:val="0"/>
          <w:marRight w:val="0"/>
          <w:marTop w:val="0"/>
          <w:marBottom w:val="0"/>
          <w:divBdr>
            <w:top w:val="none" w:sz="0" w:space="0" w:color="auto"/>
            <w:left w:val="none" w:sz="0" w:space="0" w:color="auto"/>
            <w:bottom w:val="none" w:sz="0" w:space="0" w:color="auto"/>
            <w:right w:val="none" w:sz="0" w:space="0" w:color="auto"/>
          </w:divBdr>
        </w:div>
        <w:div w:id="335765821">
          <w:marLeft w:val="0"/>
          <w:marRight w:val="0"/>
          <w:marTop w:val="0"/>
          <w:marBottom w:val="0"/>
          <w:divBdr>
            <w:top w:val="none" w:sz="0" w:space="0" w:color="auto"/>
            <w:left w:val="none" w:sz="0" w:space="0" w:color="auto"/>
            <w:bottom w:val="none" w:sz="0" w:space="0" w:color="auto"/>
            <w:right w:val="none" w:sz="0" w:space="0" w:color="auto"/>
          </w:divBdr>
          <w:divsChild>
            <w:div w:id="702708875">
              <w:marLeft w:val="-75"/>
              <w:marRight w:val="0"/>
              <w:marTop w:val="30"/>
              <w:marBottom w:val="30"/>
              <w:divBdr>
                <w:top w:val="none" w:sz="0" w:space="0" w:color="auto"/>
                <w:left w:val="none" w:sz="0" w:space="0" w:color="auto"/>
                <w:bottom w:val="none" w:sz="0" w:space="0" w:color="auto"/>
                <w:right w:val="none" w:sz="0" w:space="0" w:color="auto"/>
              </w:divBdr>
              <w:divsChild>
                <w:div w:id="665324857">
                  <w:marLeft w:val="0"/>
                  <w:marRight w:val="0"/>
                  <w:marTop w:val="0"/>
                  <w:marBottom w:val="0"/>
                  <w:divBdr>
                    <w:top w:val="none" w:sz="0" w:space="0" w:color="auto"/>
                    <w:left w:val="none" w:sz="0" w:space="0" w:color="auto"/>
                    <w:bottom w:val="none" w:sz="0" w:space="0" w:color="auto"/>
                    <w:right w:val="none" w:sz="0" w:space="0" w:color="auto"/>
                  </w:divBdr>
                  <w:divsChild>
                    <w:div w:id="505172602">
                      <w:marLeft w:val="0"/>
                      <w:marRight w:val="0"/>
                      <w:marTop w:val="0"/>
                      <w:marBottom w:val="0"/>
                      <w:divBdr>
                        <w:top w:val="none" w:sz="0" w:space="0" w:color="auto"/>
                        <w:left w:val="none" w:sz="0" w:space="0" w:color="auto"/>
                        <w:bottom w:val="none" w:sz="0" w:space="0" w:color="auto"/>
                        <w:right w:val="none" w:sz="0" w:space="0" w:color="auto"/>
                      </w:divBdr>
                    </w:div>
                  </w:divsChild>
                </w:div>
                <w:div w:id="320619332">
                  <w:marLeft w:val="0"/>
                  <w:marRight w:val="0"/>
                  <w:marTop w:val="0"/>
                  <w:marBottom w:val="0"/>
                  <w:divBdr>
                    <w:top w:val="none" w:sz="0" w:space="0" w:color="auto"/>
                    <w:left w:val="none" w:sz="0" w:space="0" w:color="auto"/>
                    <w:bottom w:val="none" w:sz="0" w:space="0" w:color="auto"/>
                    <w:right w:val="none" w:sz="0" w:space="0" w:color="auto"/>
                  </w:divBdr>
                  <w:divsChild>
                    <w:div w:id="1392116600">
                      <w:marLeft w:val="0"/>
                      <w:marRight w:val="0"/>
                      <w:marTop w:val="0"/>
                      <w:marBottom w:val="0"/>
                      <w:divBdr>
                        <w:top w:val="none" w:sz="0" w:space="0" w:color="auto"/>
                        <w:left w:val="none" w:sz="0" w:space="0" w:color="auto"/>
                        <w:bottom w:val="none" w:sz="0" w:space="0" w:color="auto"/>
                        <w:right w:val="none" w:sz="0" w:space="0" w:color="auto"/>
                      </w:divBdr>
                    </w:div>
                  </w:divsChild>
                </w:div>
                <w:div w:id="1324623871">
                  <w:marLeft w:val="0"/>
                  <w:marRight w:val="0"/>
                  <w:marTop w:val="0"/>
                  <w:marBottom w:val="0"/>
                  <w:divBdr>
                    <w:top w:val="none" w:sz="0" w:space="0" w:color="auto"/>
                    <w:left w:val="none" w:sz="0" w:space="0" w:color="auto"/>
                    <w:bottom w:val="none" w:sz="0" w:space="0" w:color="auto"/>
                    <w:right w:val="none" w:sz="0" w:space="0" w:color="auto"/>
                  </w:divBdr>
                  <w:divsChild>
                    <w:div w:id="742146081">
                      <w:marLeft w:val="0"/>
                      <w:marRight w:val="0"/>
                      <w:marTop w:val="0"/>
                      <w:marBottom w:val="0"/>
                      <w:divBdr>
                        <w:top w:val="none" w:sz="0" w:space="0" w:color="auto"/>
                        <w:left w:val="none" w:sz="0" w:space="0" w:color="auto"/>
                        <w:bottom w:val="none" w:sz="0" w:space="0" w:color="auto"/>
                        <w:right w:val="none" w:sz="0" w:space="0" w:color="auto"/>
                      </w:divBdr>
                    </w:div>
                  </w:divsChild>
                </w:div>
                <w:div w:id="256865221">
                  <w:marLeft w:val="0"/>
                  <w:marRight w:val="0"/>
                  <w:marTop w:val="0"/>
                  <w:marBottom w:val="0"/>
                  <w:divBdr>
                    <w:top w:val="none" w:sz="0" w:space="0" w:color="auto"/>
                    <w:left w:val="none" w:sz="0" w:space="0" w:color="auto"/>
                    <w:bottom w:val="none" w:sz="0" w:space="0" w:color="auto"/>
                    <w:right w:val="none" w:sz="0" w:space="0" w:color="auto"/>
                  </w:divBdr>
                  <w:divsChild>
                    <w:div w:id="122577137">
                      <w:marLeft w:val="0"/>
                      <w:marRight w:val="0"/>
                      <w:marTop w:val="0"/>
                      <w:marBottom w:val="0"/>
                      <w:divBdr>
                        <w:top w:val="none" w:sz="0" w:space="0" w:color="auto"/>
                        <w:left w:val="none" w:sz="0" w:space="0" w:color="auto"/>
                        <w:bottom w:val="none" w:sz="0" w:space="0" w:color="auto"/>
                        <w:right w:val="none" w:sz="0" w:space="0" w:color="auto"/>
                      </w:divBdr>
                    </w:div>
                  </w:divsChild>
                </w:div>
                <w:div w:id="1154108924">
                  <w:marLeft w:val="0"/>
                  <w:marRight w:val="0"/>
                  <w:marTop w:val="0"/>
                  <w:marBottom w:val="0"/>
                  <w:divBdr>
                    <w:top w:val="none" w:sz="0" w:space="0" w:color="auto"/>
                    <w:left w:val="none" w:sz="0" w:space="0" w:color="auto"/>
                    <w:bottom w:val="none" w:sz="0" w:space="0" w:color="auto"/>
                    <w:right w:val="none" w:sz="0" w:space="0" w:color="auto"/>
                  </w:divBdr>
                  <w:divsChild>
                    <w:div w:id="44571832">
                      <w:marLeft w:val="0"/>
                      <w:marRight w:val="0"/>
                      <w:marTop w:val="0"/>
                      <w:marBottom w:val="0"/>
                      <w:divBdr>
                        <w:top w:val="none" w:sz="0" w:space="0" w:color="auto"/>
                        <w:left w:val="none" w:sz="0" w:space="0" w:color="auto"/>
                        <w:bottom w:val="none" w:sz="0" w:space="0" w:color="auto"/>
                        <w:right w:val="none" w:sz="0" w:space="0" w:color="auto"/>
                      </w:divBdr>
                    </w:div>
                  </w:divsChild>
                </w:div>
                <w:div w:id="2019965961">
                  <w:marLeft w:val="0"/>
                  <w:marRight w:val="0"/>
                  <w:marTop w:val="0"/>
                  <w:marBottom w:val="0"/>
                  <w:divBdr>
                    <w:top w:val="none" w:sz="0" w:space="0" w:color="auto"/>
                    <w:left w:val="none" w:sz="0" w:space="0" w:color="auto"/>
                    <w:bottom w:val="none" w:sz="0" w:space="0" w:color="auto"/>
                    <w:right w:val="none" w:sz="0" w:space="0" w:color="auto"/>
                  </w:divBdr>
                  <w:divsChild>
                    <w:div w:id="1335256491">
                      <w:marLeft w:val="0"/>
                      <w:marRight w:val="0"/>
                      <w:marTop w:val="0"/>
                      <w:marBottom w:val="0"/>
                      <w:divBdr>
                        <w:top w:val="none" w:sz="0" w:space="0" w:color="auto"/>
                        <w:left w:val="none" w:sz="0" w:space="0" w:color="auto"/>
                        <w:bottom w:val="none" w:sz="0" w:space="0" w:color="auto"/>
                        <w:right w:val="none" w:sz="0" w:space="0" w:color="auto"/>
                      </w:divBdr>
                    </w:div>
                  </w:divsChild>
                </w:div>
                <w:div w:id="1330449996">
                  <w:marLeft w:val="0"/>
                  <w:marRight w:val="0"/>
                  <w:marTop w:val="0"/>
                  <w:marBottom w:val="0"/>
                  <w:divBdr>
                    <w:top w:val="none" w:sz="0" w:space="0" w:color="auto"/>
                    <w:left w:val="none" w:sz="0" w:space="0" w:color="auto"/>
                    <w:bottom w:val="none" w:sz="0" w:space="0" w:color="auto"/>
                    <w:right w:val="none" w:sz="0" w:space="0" w:color="auto"/>
                  </w:divBdr>
                  <w:divsChild>
                    <w:div w:id="1157113049">
                      <w:marLeft w:val="0"/>
                      <w:marRight w:val="0"/>
                      <w:marTop w:val="0"/>
                      <w:marBottom w:val="0"/>
                      <w:divBdr>
                        <w:top w:val="none" w:sz="0" w:space="0" w:color="auto"/>
                        <w:left w:val="none" w:sz="0" w:space="0" w:color="auto"/>
                        <w:bottom w:val="none" w:sz="0" w:space="0" w:color="auto"/>
                        <w:right w:val="none" w:sz="0" w:space="0" w:color="auto"/>
                      </w:divBdr>
                    </w:div>
                    <w:div w:id="1006979783">
                      <w:marLeft w:val="0"/>
                      <w:marRight w:val="0"/>
                      <w:marTop w:val="0"/>
                      <w:marBottom w:val="0"/>
                      <w:divBdr>
                        <w:top w:val="none" w:sz="0" w:space="0" w:color="auto"/>
                        <w:left w:val="none" w:sz="0" w:space="0" w:color="auto"/>
                        <w:bottom w:val="none" w:sz="0" w:space="0" w:color="auto"/>
                        <w:right w:val="none" w:sz="0" w:space="0" w:color="auto"/>
                      </w:divBdr>
                    </w:div>
                  </w:divsChild>
                </w:div>
                <w:div w:id="1204833469">
                  <w:marLeft w:val="0"/>
                  <w:marRight w:val="0"/>
                  <w:marTop w:val="0"/>
                  <w:marBottom w:val="0"/>
                  <w:divBdr>
                    <w:top w:val="none" w:sz="0" w:space="0" w:color="auto"/>
                    <w:left w:val="none" w:sz="0" w:space="0" w:color="auto"/>
                    <w:bottom w:val="none" w:sz="0" w:space="0" w:color="auto"/>
                    <w:right w:val="none" w:sz="0" w:space="0" w:color="auto"/>
                  </w:divBdr>
                  <w:divsChild>
                    <w:div w:id="1951550101">
                      <w:marLeft w:val="0"/>
                      <w:marRight w:val="0"/>
                      <w:marTop w:val="0"/>
                      <w:marBottom w:val="0"/>
                      <w:divBdr>
                        <w:top w:val="none" w:sz="0" w:space="0" w:color="auto"/>
                        <w:left w:val="none" w:sz="0" w:space="0" w:color="auto"/>
                        <w:bottom w:val="none" w:sz="0" w:space="0" w:color="auto"/>
                        <w:right w:val="none" w:sz="0" w:space="0" w:color="auto"/>
                      </w:divBdr>
                    </w:div>
                    <w:div w:id="1310666307">
                      <w:marLeft w:val="0"/>
                      <w:marRight w:val="0"/>
                      <w:marTop w:val="0"/>
                      <w:marBottom w:val="0"/>
                      <w:divBdr>
                        <w:top w:val="none" w:sz="0" w:space="0" w:color="auto"/>
                        <w:left w:val="none" w:sz="0" w:space="0" w:color="auto"/>
                        <w:bottom w:val="none" w:sz="0" w:space="0" w:color="auto"/>
                        <w:right w:val="none" w:sz="0" w:space="0" w:color="auto"/>
                      </w:divBdr>
                    </w:div>
                  </w:divsChild>
                </w:div>
                <w:div w:id="1937129650">
                  <w:marLeft w:val="0"/>
                  <w:marRight w:val="0"/>
                  <w:marTop w:val="0"/>
                  <w:marBottom w:val="0"/>
                  <w:divBdr>
                    <w:top w:val="none" w:sz="0" w:space="0" w:color="auto"/>
                    <w:left w:val="none" w:sz="0" w:space="0" w:color="auto"/>
                    <w:bottom w:val="none" w:sz="0" w:space="0" w:color="auto"/>
                    <w:right w:val="none" w:sz="0" w:space="0" w:color="auto"/>
                  </w:divBdr>
                  <w:divsChild>
                    <w:div w:id="92946673">
                      <w:marLeft w:val="0"/>
                      <w:marRight w:val="0"/>
                      <w:marTop w:val="0"/>
                      <w:marBottom w:val="0"/>
                      <w:divBdr>
                        <w:top w:val="none" w:sz="0" w:space="0" w:color="auto"/>
                        <w:left w:val="none" w:sz="0" w:space="0" w:color="auto"/>
                        <w:bottom w:val="none" w:sz="0" w:space="0" w:color="auto"/>
                        <w:right w:val="none" w:sz="0" w:space="0" w:color="auto"/>
                      </w:divBdr>
                    </w:div>
                    <w:div w:id="25256076">
                      <w:marLeft w:val="0"/>
                      <w:marRight w:val="0"/>
                      <w:marTop w:val="0"/>
                      <w:marBottom w:val="0"/>
                      <w:divBdr>
                        <w:top w:val="none" w:sz="0" w:space="0" w:color="auto"/>
                        <w:left w:val="none" w:sz="0" w:space="0" w:color="auto"/>
                        <w:bottom w:val="none" w:sz="0" w:space="0" w:color="auto"/>
                        <w:right w:val="none" w:sz="0" w:space="0" w:color="auto"/>
                      </w:divBdr>
                    </w:div>
                  </w:divsChild>
                </w:div>
                <w:div w:id="1511945504">
                  <w:marLeft w:val="0"/>
                  <w:marRight w:val="0"/>
                  <w:marTop w:val="0"/>
                  <w:marBottom w:val="0"/>
                  <w:divBdr>
                    <w:top w:val="none" w:sz="0" w:space="0" w:color="auto"/>
                    <w:left w:val="none" w:sz="0" w:space="0" w:color="auto"/>
                    <w:bottom w:val="none" w:sz="0" w:space="0" w:color="auto"/>
                    <w:right w:val="none" w:sz="0" w:space="0" w:color="auto"/>
                  </w:divBdr>
                  <w:divsChild>
                    <w:div w:id="262764730">
                      <w:marLeft w:val="0"/>
                      <w:marRight w:val="0"/>
                      <w:marTop w:val="0"/>
                      <w:marBottom w:val="0"/>
                      <w:divBdr>
                        <w:top w:val="none" w:sz="0" w:space="0" w:color="auto"/>
                        <w:left w:val="none" w:sz="0" w:space="0" w:color="auto"/>
                        <w:bottom w:val="none" w:sz="0" w:space="0" w:color="auto"/>
                        <w:right w:val="none" w:sz="0" w:space="0" w:color="auto"/>
                      </w:divBdr>
                    </w:div>
                    <w:div w:id="5639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653">
          <w:marLeft w:val="0"/>
          <w:marRight w:val="0"/>
          <w:marTop w:val="0"/>
          <w:marBottom w:val="0"/>
          <w:divBdr>
            <w:top w:val="none" w:sz="0" w:space="0" w:color="auto"/>
            <w:left w:val="none" w:sz="0" w:space="0" w:color="auto"/>
            <w:bottom w:val="none" w:sz="0" w:space="0" w:color="auto"/>
            <w:right w:val="none" w:sz="0" w:space="0" w:color="auto"/>
          </w:divBdr>
        </w:div>
        <w:div w:id="1943147100">
          <w:marLeft w:val="0"/>
          <w:marRight w:val="0"/>
          <w:marTop w:val="0"/>
          <w:marBottom w:val="0"/>
          <w:divBdr>
            <w:top w:val="none" w:sz="0" w:space="0" w:color="auto"/>
            <w:left w:val="none" w:sz="0" w:space="0" w:color="auto"/>
            <w:bottom w:val="none" w:sz="0" w:space="0" w:color="auto"/>
            <w:right w:val="none" w:sz="0" w:space="0" w:color="auto"/>
          </w:divBdr>
        </w:div>
        <w:div w:id="1461342669">
          <w:marLeft w:val="0"/>
          <w:marRight w:val="0"/>
          <w:marTop w:val="0"/>
          <w:marBottom w:val="0"/>
          <w:divBdr>
            <w:top w:val="none" w:sz="0" w:space="0" w:color="auto"/>
            <w:left w:val="none" w:sz="0" w:space="0" w:color="auto"/>
            <w:bottom w:val="none" w:sz="0" w:space="0" w:color="auto"/>
            <w:right w:val="none" w:sz="0" w:space="0" w:color="auto"/>
          </w:divBdr>
        </w:div>
        <w:div w:id="1436172299">
          <w:marLeft w:val="0"/>
          <w:marRight w:val="0"/>
          <w:marTop w:val="0"/>
          <w:marBottom w:val="0"/>
          <w:divBdr>
            <w:top w:val="none" w:sz="0" w:space="0" w:color="auto"/>
            <w:left w:val="none" w:sz="0" w:space="0" w:color="auto"/>
            <w:bottom w:val="none" w:sz="0" w:space="0" w:color="auto"/>
            <w:right w:val="none" w:sz="0" w:space="0" w:color="auto"/>
          </w:divBdr>
        </w:div>
        <w:div w:id="1825971744">
          <w:marLeft w:val="0"/>
          <w:marRight w:val="0"/>
          <w:marTop w:val="0"/>
          <w:marBottom w:val="0"/>
          <w:divBdr>
            <w:top w:val="none" w:sz="0" w:space="0" w:color="auto"/>
            <w:left w:val="none" w:sz="0" w:space="0" w:color="auto"/>
            <w:bottom w:val="none" w:sz="0" w:space="0" w:color="auto"/>
            <w:right w:val="none" w:sz="0" w:space="0" w:color="auto"/>
          </w:divBdr>
          <w:divsChild>
            <w:div w:id="2071612207">
              <w:marLeft w:val="-75"/>
              <w:marRight w:val="0"/>
              <w:marTop w:val="30"/>
              <w:marBottom w:val="30"/>
              <w:divBdr>
                <w:top w:val="none" w:sz="0" w:space="0" w:color="auto"/>
                <w:left w:val="none" w:sz="0" w:space="0" w:color="auto"/>
                <w:bottom w:val="none" w:sz="0" w:space="0" w:color="auto"/>
                <w:right w:val="none" w:sz="0" w:space="0" w:color="auto"/>
              </w:divBdr>
              <w:divsChild>
                <w:div w:id="2104761005">
                  <w:marLeft w:val="0"/>
                  <w:marRight w:val="0"/>
                  <w:marTop w:val="0"/>
                  <w:marBottom w:val="0"/>
                  <w:divBdr>
                    <w:top w:val="none" w:sz="0" w:space="0" w:color="auto"/>
                    <w:left w:val="none" w:sz="0" w:space="0" w:color="auto"/>
                    <w:bottom w:val="none" w:sz="0" w:space="0" w:color="auto"/>
                    <w:right w:val="none" w:sz="0" w:space="0" w:color="auto"/>
                  </w:divBdr>
                  <w:divsChild>
                    <w:div w:id="326783168">
                      <w:marLeft w:val="0"/>
                      <w:marRight w:val="0"/>
                      <w:marTop w:val="0"/>
                      <w:marBottom w:val="0"/>
                      <w:divBdr>
                        <w:top w:val="none" w:sz="0" w:space="0" w:color="auto"/>
                        <w:left w:val="none" w:sz="0" w:space="0" w:color="auto"/>
                        <w:bottom w:val="none" w:sz="0" w:space="0" w:color="auto"/>
                        <w:right w:val="none" w:sz="0" w:space="0" w:color="auto"/>
                      </w:divBdr>
                    </w:div>
                  </w:divsChild>
                </w:div>
                <w:div w:id="373311822">
                  <w:marLeft w:val="0"/>
                  <w:marRight w:val="0"/>
                  <w:marTop w:val="0"/>
                  <w:marBottom w:val="0"/>
                  <w:divBdr>
                    <w:top w:val="none" w:sz="0" w:space="0" w:color="auto"/>
                    <w:left w:val="none" w:sz="0" w:space="0" w:color="auto"/>
                    <w:bottom w:val="none" w:sz="0" w:space="0" w:color="auto"/>
                    <w:right w:val="none" w:sz="0" w:space="0" w:color="auto"/>
                  </w:divBdr>
                  <w:divsChild>
                    <w:div w:id="1885943022">
                      <w:marLeft w:val="0"/>
                      <w:marRight w:val="0"/>
                      <w:marTop w:val="0"/>
                      <w:marBottom w:val="0"/>
                      <w:divBdr>
                        <w:top w:val="none" w:sz="0" w:space="0" w:color="auto"/>
                        <w:left w:val="none" w:sz="0" w:space="0" w:color="auto"/>
                        <w:bottom w:val="none" w:sz="0" w:space="0" w:color="auto"/>
                        <w:right w:val="none" w:sz="0" w:space="0" w:color="auto"/>
                      </w:divBdr>
                    </w:div>
                  </w:divsChild>
                </w:div>
                <w:div w:id="2072534377">
                  <w:marLeft w:val="0"/>
                  <w:marRight w:val="0"/>
                  <w:marTop w:val="0"/>
                  <w:marBottom w:val="0"/>
                  <w:divBdr>
                    <w:top w:val="none" w:sz="0" w:space="0" w:color="auto"/>
                    <w:left w:val="none" w:sz="0" w:space="0" w:color="auto"/>
                    <w:bottom w:val="none" w:sz="0" w:space="0" w:color="auto"/>
                    <w:right w:val="none" w:sz="0" w:space="0" w:color="auto"/>
                  </w:divBdr>
                  <w:divsChild>
                    <w:div w:id="1587229946">
                      <w:marLeft w:val="0"/>
                      <w:marRight w:val="0"/>
                      <w:marTop w:val="0"/>
                      <w:marBottom w:val="0"/>
                      <w:divBdr>
                        <w:top w:val="none" w:sz="0" w:space="0" w:color="auto"/>
                        <w:left w:val="none" w:sz="0" w:space="0" w:color="auto"/>
                        <w:bottom w:val="none" w:sz="0" w:space="0" w:color="auto"/>
                        <w:right w:val="none" w:sz="0" w:space="0" w:color="auto"/>
                      </w:divBdr>
                    </w:div>
                  </w:divsChild>
                </w:div>
                <w:div w:id="516971333">
                  <w:marLeft w:val="0"/>
                  <w:marRight w:val="0"/>
                  <w:marTop w:val="0"/>
                  <w:marBottom w:val="0"/>
                  <w:divBdr>
                    <w:top w:val="none" w:sz="0" w:space="0" w:color="auto"/>
                    <w:left w:val="none" w:sz="0" w:space="0" w:color="auto"/>
                    <w:bottom w:val="none" w:sz="0" w:space="0" w:color="auto"/>
                    <w:right w:val="none" w:sz="0" w:space="0" w:color="auto"/>
                  </w:divBdr>
                  <w:divsChild>
                    <w:div w:id="474644460">
                      <w:marLeft w:val="0"/>
                      <w:marRight w:val="0"/>
                      <w:marTop w:val="0"/>
                      <w:marBottom w:val="0"/>
                      <w:divBdr>
                        <w:top w:val="none" w:sz="0" w:space="0" w:color="auto"/>
                        <w:left w:val="none" w:sz="0" w:space="0" w:color="auto"/>
                        <w:bottom w:val="none" w:sz="0" w:space="0" w:color="auto"/>
                        <w:right w:val="none" w:sz="0" w:space="0" w:color="auto"/>
                      </w:divBdr>
                    </w:div>
                  </w:divsChild>
                </w:div>
                <w:div w:id="281889654">
                  <w:marLeft w:val="0"/>
                  <w:marRight w:val="0"/>
                  <w:marTop w:val="0"/>
                  <w:marBottom w:val="0"/>
                  <w:divBdr>
                    <w:top w:val="none" w:sz="0" w:space="0" w:color="auto"/>
                    <w:left w:val="none" w:sz="0" w:space="0" w:color="auto"/>
                    <w:bottom w:val="none" w:sz="0" w:space="0" w:color="auto"/>
                    <w:right w:val="none" w:sz="0" w:space="0" w:color="auto"/>
                  </w:divBdr>
                  <w:divsChild>
                    <w:div w:id="416246725">
                      <w:marLeft w:val="0"/>
                      <w:marRight w:val="0"/>
                      <w:marTop w:val="0"/>
                      <w:marBottom w:val="0"/>
                      <w:divBdr>
                        <w:top w:val="none" w:sz="0" w:space="0" w:color="auto"/>
                        <w:left w:val="none" w:sz="0" w:space="0" w:color="auto"/>
                        <w:bottom w:val="none" w:sz="0" w:space="0" w:color="auto"/>
                        <w:right w:val="none" w:sz="0" w:space="0" w:color="auto"/>
                      </w:divBdr>
                    </w:div>
                  </w:divsChild>
                </w:div>
                <w:div w:id="527765807">
                  <w:marLeft w:val="0"/>
                  <w:marRight w:val="0"/>
                  <w:marTop w:val="0"/>
                  <w:marBottom w:val="0"/>
                  <w:divBdr>
                    <w:top w:val="none" w:sz="0" w:space="0" w:color="auto"/>
                    <w:left w:val="none" w:sz="0" w:space="0" w:color="auto"/>
                    <w:bottom w:val="none" w:sz="0" w:space="0" w:color="auto"/>
                    <w:right w:val="none" w:sz="0" w:space="0" w:color="auto"/>
                  </w:divBdr>
                  <w:divsChild>
                    <w:div w:id="13314408">
                      <w:marLeft w:val="0"/>
                      <w:marRight w:val="0"/>
                      <w:marTop w:val="0"/>
                      <w:marBottom w:val="0"/>
                      <w:divBdr>
                        <w:top w:val="none" w:sz="0" w:space="0" w:color="auto"/>
                        <w:left w:val="none" w:sz="0" w:space="0" w:color="auto"/>
                        <w:bottom w:val="none" w:sz="0" w:space="0" w:color="auto"/>
                        <w:right w:val="none" w:sz="0" w:space="0" w:color="auto"/>
                      </w:divBdr>
                    </w:div>
                  </w:divsChild>
                </w:div>
                <w:div w:id="1254241300">
                  <w:marLeft w:val="0"/>
                  <w:marRight w:val="0"/>
                  <w:marTop w:val="0"/>
                  <w:marBottom w:val="0"/>
                  <w:divBdr>
                    <w:top w:val="none" w:sz="0" w:space="0" w:color="auto"/>
                    <w:left w:val="none" w:sz="0" w:space="0" w:color="auto"/>
                    <w:bottom w:val="none" w:sz="0" w:space="0" w:color="auto"/>
                    <w:right w:val="none" w:sz="0" w:space="0" w:color="auto"/>
                  </w:divBdr>
                  <w:divsChild>
                    <w:div w:id="1241646383">
                      <w:marLeft w:val="0"/>
                      <w:marRight w:val="0"/>
                      <w:marTop w:val="0"/>
                      <w:marBottom w:val="0"/>
                      <w:divBdr>
                        <w:top w:val="none" w:sz="0" w:space="0" w:color="auto"/>
                        <w:left w:val="none" w:sz="0" w:space="0" w:color="auto"/>
                        <w:bottom w:val="none" w:sz="0" w:space="0" w:color="auto"/>
                        <w:right w:val="none" w:sz="0" w:space="0" w:color="auto"/>
                      </w:divBdr>
                    </w:div>
                    <w:div w:id="1419861471">
                      <w:marLeft w:val="0"/>
                      <w:marRight w:val="0"/>
                      <w:marTop w:val="0"/>
                      <w:marBottom w:val="0"/>
                      <w:divBdr>
                        <w:top w:val="none" w:sz="0" w:space="0" w:color="auto"/>
                        <w:left w:val="none" w:sz="0" w:space="0" w:color="auto"/>
                        <w:bottom w:val="none" w:sz="0" w:space="0" w:color="auto"/>
                        <w:right w:val="none" w:sz="0" w:space="0" w:color="auto"/>
                      </w:divBdr>
                    </w:div>
                  </w:divsChild>
                </w:div>
                <w:div w:id="1222667141">
                  <w:marLeft w:val="0"/>
                  <w:marRight w:val="0"/>
                  <w:marTop w:val="0"/>
                  <w:marBottom w:val="0"/>
                  <w:divBdr>
                    <w:top w:val="none" w:sz="0" w:space="0" w:color="auto"/>
                    <w:left w:val="none" w:sz="0" w:space="0" w:color="auto"/>
                    <w:bottom w:val="none" w:sz="0" w:space="0" w:color="auto"/>
                    <w:right w:val="none" w:sz="0" w:space="0" w:color="auto"/>
                  </w:divBdr>
                  <w:divsChild>
                    <w:div w:id="62026043">
                      <w:marLeft w:val="0"/>
                      <w:marRight w:val="0"/>
                      <w:marTop w:val="0"/>
                      <w:marBottom w:val="0"/>
                      <w:divBdr>
                        <w:top w:val="none" w:sz="0" w:space="0" w:color="auto"/>
                        <w:left w:val="none" w:sz="0" w:space="0" w:color="auto"/>
                        <w:bottom w:val="none" w:sz="0" w:space="0" w:color="auto"/>
                        <w:right w:val="none" w:sz="0" w:space="0" w:color="auto"/>
                      </w:divBdr>
                    </w:div>
                    <w:div w:id="2112582562">
                      <w:marLeft w:val="0"/>
                      <w:marRight w:val="0"/>
                      <w:marTop w:val="0"/>
                      <w:marBottom w:val="0"/>
                      <w:divBdr>
                        <w:top w:val="none" w:sz="0" w:space="0" w:color="auto"/>
                        <w:left w:val="none" w:sz="0" w:space="0" w:color="auto"/>
                        <w:bottom w:val="none" w:sz="0" w:space="0" w:color="auto"/>
                        <w:right w:val="none" w:sz="0" w:space="0" w:color="auto"/>
                      </w:divBdr>
                    </w:div>
                  </w:divsChild>
                </w:div>
                <w:div w:id="928663617">
                  <w:marLeft w:val="0"/>
                  <w:marRight w:val="0"/>
                  <w:marTop w:val="0"/>
                  <w:marBottom w:val="0"/>
                  <w:divBdr>
                    <w:top w:val="none" w:sz="0" w:space="0" w:color="auto"/>
                    <w:left w:val="none" w:sz="0" w:space="0" w:color="auto"/>
                    <w:bottom w:val="none" w:sz="0" w:space="0" w:color="auto"/>
                    <w:right w:val="none" w:sz="0" w:space="0" w:color="auto"/>
                  </w:divBdr>
                  <w:divsChild>
                    <w:div w:id="1945575316">
                      <w:marLeft w:val="0"/>
                      <w:marRight w:val="0"/>
                      <w:marTop w:val="0"/>
                      <w:marBottom w:val="0"/>
                      <w:divBdr>
                        <w:top w:val="none" w:sz="0" w:space="0" w:color="auto"/>
                        <w:left w:val="none" w:sz="0" w:space="0" w:color="auto"/>
                        <w:bottom w:val="none" w:sz="0" w:space="0" w:color="auto"/>
                        <w:right w:val="none" w:sz="0" w:space="0" w:color="auto"/>
                      </w:divBdr>
                    </w:div>
                    <w:div w:id="2125611654">
                      <w:marLeft w:val="0"/>
                      <w:marRight w:val="0"/>
                      <w:marTop w:val="0"/>
                      <w:marBottom w:val="0"/>
                      <w:divBdr>
                        <w:top w:val="none" w:sz="0" w:space="0" w:color="auto"/>
                        <w:left w:val="none" w:sz="0" w:space="0" w:color="auto"/>
                        <w:bottom w:val="none" w:sz="0" w:space="0" w:color="auto"/>
                        <w:right w:val="none" w:sz="0" w:space="0" w:color="auto"/>
                      </w:divBdr>
                    </w:div>
                  </w:divsChild>
                </w:div>
                <w:div w:id="1148091362">
                  <w:marLeft w:val="0"/>
                  <w:marRight w:val="0"/>
                  <w:marTop w:val="0"/>
                  <w:marBottom w:val="0"/>
                  <w:divBdr>
                    <w:top w:val="none" w:sz="0" w:space="0" w:color="auto"/>
                    <w:left w:val="none" w:sz="0" w:space="0" w:color="auto"/>
                    <w:bottom w:val="none" w:sz="0" w:space="0" w:color="auto"/>
                    <w:right w:val="none" w:sz="0" w:space="0" w:color="auto"/>
                  </w:divBdr>
                  <w:divsChild>
                    <w:div w:id="1939674332">
                      <w:marLeft w:val="0"/>
                      <w:marRight w:val="0"/>
                      <w:marTop w:val="0"/>
                      <w:marBottom w:val="0"/>
                      <w:divBdr>
                        <w:top w:val="none" w:sz="0" w:space="0" w:color="auto"/>
                        <w:left w:val="none" w:sz="0" w:space="0" w:color="auto"/>
                        <w:bottom w:val="none" w:sz="0" w:space="0" w:color="auto"/>
                        <w:right w:val="none" w:sz="0" w:space="0" w:color="auto"/>
                      </w:divBdr>
                    </w:div>
                    <w:div w:id="14229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70964">
          <w:marLeft w:val="0"/>
          <w:marRight w:val="0"/>
          <w:marTop w:val="0"/>
          <w:marBottom w:val="0"/>
          <w:divBdr>
            <w:top w:val="none" w:sz="0" w:space="0" w:color="auto"/>
            <w:left w:val="none" w:sz="0" w:space="0" w:color="auto"/>
            <w:bottom w:val="none" w:sz="0" w:space="0" w:color="auto"/>
            <w:right w:val="none" w:sz="0" w:space="0" w:color="auto"/>
          </w:divBdr>
        </w:div>
        <w:div w:id="1300263226">
          <w:marLeft w:val="0"/>
          <w:marRight w:val="0"/>
          <w:marTop w:val="0"/>
          <w:marBottom w:val="0"/>
          <w:divBdr>
            <w:top w:val="none" w:sz="0" w:space="0" w:color="auto"/>
            <w:left w:val="none" w:sz="0" w:space="0" w:color="auto"/>
            <w:bottom w:val="none" w:sz="0" w:space="0" w:color="auto"/>
            <w:right w:val="none" w:sz="0" w:space="0" w:color="auto"/>
          </w:divBdr>
        </w:div>
      </w:divsChild>
    </w:div>
    <w:div w:id="198719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eader" Target="header2.xml"/><Relationship Id="rId26" Type="http://schemas.openxmlformats.org/officeDocument/2006/relationships/hyperlink" Target="https://www.igwc.gov.au/sites/default/files/2023-10/sdl-compliance-framework.pdf" TargetMode="Externa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igwc.gov.au/sites/default/files/2023-10/sdl-compliance-framework.pdf"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ntact@igwc.gov.au"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igwc.gov.au/publications/reviews-reports" TargetMode="External"/><Relationship Id="rId23" Type="http://schemas.openxmlformats.org/officeDocument/2006/relationships/hyperlink" Target="https://www.igwc.gov.au/sites/default/files/2023-10/sdl-compliance-framework.pdf" TargetMode="External"/><Relationship Id="rId28" Type="http://schemas.openxmlformats.org/officeDocument/2006/relationships/image" Target="media/image6.jpeg"/><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eader" Target="header5.xml"/><Relationship Id="rId35" Type="http://schemas.openxmlformats.org/officeDocument/2006/relationships/hyperlink" Target="https://www.igwc.gov.au/sites/default/files/2023-09/igwc-2021-22-sdl-compliance-statemen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mdba.gov.au/publications-and-data/publications/murray-darling-basin-sustainable-diversion-limit-compliance" TargetMode="External"/><Relationship Id="rId1" Type="http://schemas.openxmlformats.org/officeDocument/2006/relationships/hyperlink" Target="https://www.igwc.gov.au/sites/default/files/2022-08/igwc-2020-21-sdl-compliance-statement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Internal%20briefing\Internal_general_briefing_template.dotx" TargetMode="External"/></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19" ma:contentTypeDescription="Create a new document." ma:contentTypeScope="" ma:versionID="c57cfbbfde329bbf6e97d85a946cd2a9">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45971e869a605e87ddc56fb2ee29055"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ServiceObjectDetectorVersions" minOccurs="0"/>
                <xsd:element ref="ns2:Stat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Status" ma:index="24" nillable="true" ma:displayName="Status" ma:format="Dropdown" ma:internalName="Status">
      <xsd:simpleType>
        <xsd:restriction base="dms:Choice">
          <xsd:enumeration value="Draft"/>
          <xsd:enumeration value="Review"/>
          <xsd:enumeration value="Final"/>
          <xsd:enumeration value="Superceded"/>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7078fb0-1464-4d87-9622-2953c7565119}"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05ae9dfb-8234-4dee-b010-b18fc1d24d34">
      <Terms xmlns="http://schemas.microsoft.com/office/infopath/2007/PartnerControls"/>
    </lcf76f155ced4ddcb4097134ff3c332f>
    <SharedWithUsers xmlns="3831e8a4-9d05-4fa9-b62b-4dc281877bbf">
      <UserInfo>
        <DisplayName>Andrew Brown</DisplayName>
        <AccountId>92</AccountId>
        <AccountType/>
      </UserInfo>
      <UserInfo>
        <DisplayName>Peter Hyde</DisplayName>
        <AccountId>95</AccountId>
        <AccountType/>
      </UserInfo>
      <UserInfo>
        <DisplayName>Mark Burrell</DisplayName>
        <AccountId>80</AccountId>
        <AccountType/>
      </UserInfo>
      <UserInfo>
        <DisplayName>Linda Holz</DisplayName>
        <AccountId>26</AccountId>
        <AccountType/>
      </UserInfo>
      <UserInfo>
        <DisplayName>Veronica Silberschneider</DisplayName>
        <AccountId>46</AccountId>
        <AccountType/>
      </UserInfo>
      <UserInfo>
        <DisplayName>Danielle Baker</DisplayName>
        <AccountId>192</AccountId>
        <AccountType/>
      </UserInfo>
      <UserInfo>
        <DisplayName>Samantha McCallum</DisplayName>
        <AccountId>154</AccountId>
        <AccountType/>
      </UserInfo>
      <UserInfo>
        <DisplayName>Mitchell Isaacs</DisplayName>
        <AccountId>75</AccountId>
        <AccountType/>
      </UserInfo>
    </SharedWithUsers>
    <Status xmlns="05ae9dfb-8234-4dee-b010-b18fc1d24d34" xsi:nil="true"/>
    <_Flow_SignoffStatus xmlns="05ae9dfb-8234-4dee-b010-b18fc1d24d3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65C8EF-7F90-4FED-99F6-FF29AB466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82AF9-DE64-4CBD-AC58-65CFBFEF2CBA}">
  <ds:schemaRefs>
    <ds:schemaRef ds:uri="http://schemas.microsoft.com/office/2006/metadata/properties"/>
    <ds:schemaRef ds:uri="http://schemas.microsoft.com/office/infopath/2007/PartnerControls"/>
    <ds:schemaRef ds:uri="81c01dc6-2c49-4730-b140-874c95cac377"/>
    <ds:schemaRef ds:uri="05ae9dfb-8234-4dee-b010-b18fc1d24d34"/>
    <ds:schemaRef ds:uri="3831e8a4-9d05-4fa9-b62b-4dc281877bbf"/>
  </ds:schemaRefs>
</ds:datastoreItem>
</file>

<file path=customXml/itemProps3.xml><?xml version="1.0" encoding="utf-8"?>
<ds:datastoreItem xmlns:ds="http://schemas.openxmlformats.org/officeDocument/2006/customXml" ds:itemID="{B6609E1B-4919-4FD3-87BE-89FAB9D73657}">
  <ds:schemaRefs>
    <ds:schemaRef ds:uri="http://schemas.openxmlformats.org/officeDocument/2006/bibliography"/>
  </ds:schemaRefs>
</ds:datastoreItem>
</file>

<file path=customXml/itemProps4.xml><?xml version="1.0" encoding="utf-8"?>
<ds:datastoreItem xmlns:ds="http://schemas.openxmlformats.org/officeDocument/2006/customXml" ds:itemID="{312DCAED-B2DF-49A8-B8DD-527AE46FAB82}">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Internal_general_briefing_template</Template>
  <TotalTime>2</TotalTime>
  <Pages>23</Pages>
  <Words>5099</Words>
  <Characters>29065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Sustainable Diversion Limit Compliance Statement for 2022-2023</vt:lpstr>
    </vt:vector>
  </TitlesOfParts>
  <Manager/>
  <Company/>
  <LinksUpToDate>false</LinksUpToDate>
  <CharactersWithSpaces>34096</CharactersWithSpaces>
  <SharedDoc>false</SharedDoc>
  <HLinks>
    <vt:vector size="120" baseType="variant">
      <vt:variant>
        <vt:i4>4718673</vt:i4>
      </vt:variant>
      <vt:variant>
        <vt:i4>114</vt:i4>
      </vt:variant>
      <vt:variant>
        <vt:i4>0</vt:i4>
      </vt:variant>
      <vt:variant>
        <vt:i4>5</vt:i4>
      </vt:variant>
      <vt:variant>
        <vt:lpwstr>https://www.igwc.gov.au/sites/default/files/2023-09/igwc-2021-22-sdl-compliance-statement.pdf</vt:lpwstr>
      </vt:variant>
      <vt:variant>
        <vt:lpwstr/>
      </vt:variant>
      <vt:variant>
        <vt:i4>852053</vt:i4>
      </vt:variant>
      <vt:variant>
        <vt:i4>87</vt:i4>
      </vt:variant>
      <vt:variant>
        <vt:i4>0</vt:i4>
      </vt:variant>
      <vt:variant>
        <vt:i4>5</vt:i4>
      </vt:variant>
      <vt:variant>
        <vt:lpwstr>https://www.igwc.gov.au/sites/default/files/2023-10/sdl-compliance-framework.pdf</vt:lpwstr>
      </vt:variant>
      <vt:variant>
        <vt:lpwstr/>
      </vt:variant>
      <vt:variant>
        <vt:i4>852053</vt:i4>
      </vt:variant>
      <vt:variant>
        <vt:i4>84</vt:i4>
      </vt:variant>
      <vt:variant>
        <vt:i4>0</vt:i4>
      </vt:variant>
      <vt:variant>
        <vt:i4>5</vt:i4>
      </vt:variant>
      <vt:variant>
        <vt:lpwstr>https://www.igwc.gov.au/sites/default/files/2023-10/sdl-compliance-framework.pdf</vt:lpwstr>
      </vt:variant>
      <vt:variant>
        <vt:lpwstr/>
      </vt:variant>
      <vt:variant>
        <vt:i4>1835066</vt:i4>
      </vt:variant>
      <vt:variant>
        <vt:i4>77</vt:i4>
      </vt:variant>
      <vt:variant>
        <vt:i4>0</vt:i4>
      </vt:variant>
      <vt:variant>
        <vt:i4>5</vt:i4>
      </vt:variant>
      <vt:variant>
        <vt:lpwstr/>
      </vt:variant>
      <vt:variant>
        <vt:lpwstr>_Toc172018843</vt:lpwstr>
      </vt:variant>
      <vt:variant>
        <vt:i4>1835066</vt:i4>
      </vt:variant>
      <vt:variant>
        <vt:i4>71</vt:i4>
      </vt:variant>
      <vt:variant>
        <vt:i4>0</vt:i4>
      </vt:variant>
      <vt:variant>
        <vt:i4>5</vt:i4>
      </vt:variant>
      <vt:variant>
        <vt:lpwstr/>
      </vt:variant>
      <vt:variant>
        <vt:lpwstr>_Toc172018842</vt:lpwstr>
      </vt:variant>
      <vt:variant>
        <vt:i4>1835066</vt:i4>
      </vt:variant>
      <vt:variant>
        <vt:i4>65</vt:i4>
      </vt:variant>
      <vt:variant>
        <vt:i4>0</vt:i4>
      </vt:variant>
      <vt:variant>
        <vt:i4>5</vt:i4>
      </vt:variant>
      <vt:variant>
        <vt:lpwstr/>
      </vt:variant>
      <vt:variant>
        <vt:lpwstr>_Toc172018841</vt:lpwstr>
      </vt:variant>
      <vt:variant>
        <vt:i4>1835066</vt:i4>
      </vt:variant>
      <vt:variant>
        <vt:i4>59</vt:i4>
      </vt:variant>
      <vt:variant>
        <vt:i4>0</vt:i4>
      </vt:variant>
      <vt:variant>
        <vt:i4>5</vt:i4>
      </vt:variant>
      <vt:variant>
        <vt:lpwstr/>
      </vt:variant>
      <vt:variant>
        <vt:lpwstr>_Toc172018840</vt:lpwstr>
      </vt:variant>
      <vt:variant>
        <vt:i4>1769530</vt:i4>
      </vt:variant>
      <vt:variant>
        <vt:i4>53</vt:i4>
      </vt:variant>
      <vt:variant>
        <vt:i4>0</vt:i4>
      </vt:variant>
      <vt:variant>
        <vt:i4>5</vt:i4>
      </vt:variant>
      <vt:variant>
        <vt:lpwstr/>
      </vt:variant>
      <vt:variant>
        <vt:lpwstr>_Toc172018839</vt:lpwstr>
      </vt:variant>
      <vt:variant>
        <vt:i4>1769530</vt:i4>
      </vt:variant>
      <vt:variant>
        <vt:i4>47</vt:i4>
      </vt:variant>
      <vt:variant>
        <vt:i4>0</vt:i4>
      </vt:variant>
      <vt:variant>
        <vt:i4>5</vt:i4>
      </vt:variant>
      <vt:variant>
        <vt:lpwstr/>
      </vt:variant>
      <vt:variant>
        <vt:lpwstr>_Toc172018838</vt:lpwstr>
      </vt:variant>
      <vt:variant>
        <vt:i4>1769530</vt:i4>
      </vt:variant>
      <vt:variant>
        <vt:i4>41</vt:i4>
      </vt:variant>
      <vt:variant>
        <vt:i4>0</vt:i4>
      </vt:variant>
      <vt:variant>
        <vt:i4>5</vt:i4>
      </vt:variant>
      <vt:variant>
        <vt:lpwstr/>
      </vt:variant>
      <vt:variant>
        <vt:lpwstr>_Toc172018837</vt:lpwstr>
      </vt:variant>
      <vt:variant>
        <vt:i4>1769530</vt:i4>
      </vt:variant>
      <vt:variant>
        <vt:i4>35</vt:i4>
      </vt:variant>
      <vt:variant>
        <vt:i4>0</vt:i4>
      </vt:variant>
      <vt:variant>
        <vt:i4>5</vt:i4>
      </vt:variant>
      <vt:variant>
        <vt:lpwstr/>
      </vt:variant>
      <vt:variant>
        <vt:lpwstr>_Toc172018836</vt:lpwstr>
      </vt:variant>
      <vt:variant>
        <vt:i4>1769530</vt:i4>
      </vt:variant>
      <vt:variant>
        <vt:i4>29</vt:i4>
      </vt:variant>
      <vt:variant>
        <vt:i4>0</vt:i4>
      </vt:variant>
      <vt:variant>
        <vt:i4>5</vt:i4>
      </vt:variant>
      <vt:variant>
        <vt:lpwstr/>
      </vt:variant>
      <vt:variant>
        <vt:lpwstr>_Toc172018835</vt:lpwstr>
      </vt:variant>
      <vt:variant>
        <vt:i4>1769530</vt:i4>
      </vt:variant>
      <vt:variant>
        <vt:i4>23</vt:i4>
      </vt:variant>
      <vt:variant>
        <vt:i4>0</vt:i4>
      </vt:variant>
      <vt:variant>
        <vt:i4>5</vt:i4>
      </vt:variant>
      <vt:variant>
        <vt:lpwstr/>
      </vt:variant>
      <vt:variant>
        <vt:lpwstr>_Toc172018834</vt:lpwstr>
      </vt:variant>
      <vt:variant>
        <vt:i4>1769530</vt:i4>
      </vt:variant>
      <vt:variant>
        <vt:i4>17</vt:i4>
      </vt:variant>
      <vt:variant>
        <vt:i4>0</vt:i4>
      </vt:variant>
      <vt:variant>
        <vt:i4>5</vt:i4>
      </vt:variant>
      <vt:variant>
        <vt:lpwstr/>
      </vt:variant>
      <vt:variant>
        <vt:lpwstr>_Toc172018833</vt:lpwstr>
      </vt:variant>
      <vt:variant>
        <vt:i4>1769530</vt:i4>
      </vt:variant>
      <vt:variant>
        <vt:i4>11</vt:i4>
      </vt:variant>
      <vt:variant>
        <vt:i4>0</vt:i4>
      </vt:variant>
      <vt:variant>
        <vt:i4>5</vt:i4>
      </vt:variant>
      <vt:variant>
        <vt:lpwstr/>
      </vt:variant>
      <vt:variant>
        <vt:lpwstr>_Toc172018832</vt:lpwstr>
      </vt:variant>
      <vt:variant>
        <vt:i4>8257542</vt:i4>
      </vt:variant>
      <vt:variant>
        <vt:i4>6</vt:i4>
      </vt:variant>
      <vt:variant>
        <vt:i4>0</vt:i4>
      </vt:variant>
      <vt:variant>
        <vt:i4>5</vt:i4>
      </vt:variant>
      <vt:variant>
        <vt:lpwstr>mailto:contact@igwc.gov.au</vt:lpwstr>
      </vt:variant>
      <vt:variant>
        <vt:lpwstr/>
      </vt:variant>
      <vt:variant>
        <vt:i4>3866662</vt:i4>
      </vt:variant>
      <vt:variant>
        <vt:i4>3</vt:i4>
      </vt:variant>
      <vt:variant>
        <vt:i4>0</vt:i4>
      </vt:variant>
      <vt:variant>
        <vt:i4>5</vt:i4>
      </vt:variant>
      <vt:variant>
        <vt:lpwstr>https://www.igwc.gov.au/reviews-reports</vt:lpwstr>
      </vt:variant>
      <vt:variant>
        <vt:lpwstr/>
      </vt:variant>
      <vt:variant>
        <vt:i4>6815772</vt:i4>
      </vt:variant>
      <vt:variant>
        <vt:i4>0</vt:i4>
      </vt:variant>
      <vt:variant>
        <vt:i4>0</vt:i4>
      </vt:variant>
      <vt:variant>
        <vt:i4>5</vt:i4>
      </vt:variant>
      <vt:variant>
        <vt:lpwstr>mailto:copyright@dcceew.gov.au</vt:lpwstr>
      </vt:variant>
      <vt:variant>
        <vt:lpwstr/>
      </vt:variant>
      <vt:variant>
        <vt:i4>3473527</vt:i4>
      </vt:variant>
      <vt:variant>
        <vt:i4>3</vt:i4>
      </vt:variant>
      <vt:variant>
        <vt:i4>0</vt:i4>
      </vt:variant>
      <vt:variant>
        <vt:i4>5</vt:i4>
      </vt:variant>
      <vt:variant>
        <vt:lpwstr>https://www.mdba.gov.au/publications-and-data/publications/murray-darling-basin-sustainable-diversion-limit-compliance</vt:lpwstr>
      </vt:variant>
      <vt:variant>
        <vt:lpwstr/>
      </vt:variant>
      <vt:variant>
        <vt:i4>1376353</vt:i4>
      </vt:variant>
      <vt:variant>
        <vt:i4>0</vt:i4>
      </vt:variant>
      <vt:variant>
        <vt:i4>0</vt:i4>
      </vt:variant>
      <vt:variant>
        <vt:i4>5</vt:i4>
      </vt:variant>
      <vt:variant>
        <vt:lpwstr>https://www.igwc.gov.au/sites/default/files/2022-08/igwc-2020-21-sdl-compliance-statement_0.pdf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Diversion Limit Compliance Statement for 2022-2023</dc:title>
  <dc:subject/>
  <dc:creator>Inspector-General of Water Compliance</dc:creator>
  <cp:keywords/>
  <dc:description/>
  <cp:lastModifiedBy>Wendy PHAM</cp:lastModifiedBy>
  <cp:revision>3</cp:revision>
  <cp:lastPrinted>2024-07-29T23:55:00Z</cp:lastPrinted>
  <dcterms:created xsi:type="dcterms:W3CDTF">2024-08-13T01:27:00Z</dcterms:created>
  <dcterms:modified xsi:type="dcterms:W3CDTF">2024-08-13T04:06:00Z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MediaServiceImageTags">
    <vt:lpwstr/>
  </property>
  <property fmtid="{D5CDD505-2E9C-101B-9397-08002B2CF9AE}" pid="4" name="ClassificationContentMarkingHeaderShapeIds">
    <vt:lpwstr>5fd0828e,349888ae,68c05e73,183217e9,f7fd291,6f44f378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64c10fa4,eceefaf,60e032d0,5efc699f,7f664fbb,73cd488c</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