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2C73F" w14:textId="40773028" w:rsidR="00473F5B" w:rsidRDefault="007A1E2C" w:rsidP="00473F5B">
      <w:pPr>
        <w:pStyle w:val="Title"/>
      </w:pPr>
      <w:r w:rsidRPr="003A6733">
        <w:rPr>
          <w:noProof/>
        </w:rPr>
        <w:drawing>
          <wp:anchor distT="0" distB="0" distL="114300" distR="114300" simplePos="0" relativeHeight="251659264" behindDoc="1" locked="1" layoutInCell="1" allowOverlap="1" wp14:anchorId="75AAD8E9" wp14:editId="769EEFBC">
            <wp:simplePos x="0" y="0"/>
            <wp:positionH relativeFrom="column">
              <wp:posOffset>-754380</wp:posOffset>
            </wp:positionH>
            <wp:positionV relativeFrom="paragraph">
              <wp:posOffset>-2599055</wp:posOffset>
            </wp:positionV>
            <wp:extent cx="7597140" cy="10751185"/>
            <wp:effectExtent l="0" t="0" r="381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97140" cy="107511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1" layoutInCell="1" allowOverlap="1" wp14:anchorId="4434F8DB" wp14:editId="549862F5">
            <wp:simplePos x="0" y="0"/>
            <wp:positionH relativeFrom="page">
              <wp:posOffset>594360</wp:posOffset>
            </wp:positionH>
            <wp:positionV relativeFrom="paragraph">
              <wp:posOffset>-1986280</wp:posOffset>
            </wp:positionV>
            <wp:extent cx="3600450" cy="1040130"/>
            <wp:effectExtent l="0" t="0" r="0" b="0"/>
            <wp:wrapNone/>
            <wp:docPr id="66" name="Pictur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a:extLst>
                        <a:ext uri="{C183D7F6-B498-43B3-948B-1728B52AA6E4}">
                          <adec:decorative xmlns:adec="http://schemas.microsoft.com/office/drawing/2017/decorative" val="1"/>
                        </a:ext>
                      </a:extLst>
                    </pic:cNvPr>
                    <pic:cNvPicPr>
                      <a:picLocks/>
                    </pic:cNvPicPr>
                  </pic:nvPicPr>
                  <pic:blipFill>
                    <a:blip r:embed="rId11">
                      <a:extLst>
                        <a:ext uri="{28A0092B-C50C-407E-A947-70E740481C1C}">
                          <a14:useLocalDpi xmlns:a14="http://schemas.microsoft.com/office/drawing/2010/main" val="0"/>
                        </a:ext>
                      </a:extLst>
                    </a:blip>
                    <a:stretch>
                      <a:fillRect/>
                    </a:stretch>
                  </pic:blipFill>
                  <pic:spPr bwMode="auto">
                    <a:xfrm>
                      <a:off x="0" y="0"/>
                      <a:ext cx="3600450"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411A" w:rsidRPr="0065411A">
        <w:t>Murray–Darling Basin community perceptions research 2023</w:t>
      </w:r>
    </w:p>
    <w:p w14:paraId="07FC3C62" w14:textId="7C864A36" w:rsidR="00473F5B" w:rsidRPr="00323A24" w:rsidRDefault="00BB235C" w:rsidP="00C50A47">
      <w:pPr>
        <w:pStyle w:val="Subtitle"/>
      </w:pPr>
      <w:r w:rsidRPr="00BB235C">
        <w:rPr>
          <w:lang w:val="en-GB"/>
        </w:rPr>
        <w:t>Findings relating to the Inspector-General of Water Compliance</w:t>
      </w:r>
      <w:r w:rsidR="00473F5B">
        <w:br w:type="page"/>
      </w:r>
    </w:p>
    <w:p w14:paraId="73A264C2" w14:textId="77777777" w:rsidR="00BB235C" w:rsidRDefault="00BB235C" w:rsidP="00DA7B5C">
      <w:pPr>
        <w:pStyle w:val="Heading1"/>
        <w:rPr>
          <w:lang w:val="en-GB"/>
        </w:rPr>
      </w:pPr>
      <w:r w:rsidRPr="00BB235C">
        <w:rPr>
          <w:lang w:val="en-GB"/>
        </w:rPr>
        <w:lastRenderedPageBreak/>
        <w:t>Awareness of the Inspector-General of Water Compliance (IGWC)</w:t>
      </w:r>
    </w:p>
    <w:p w14:paraId="589F429C" w14:textId="77777777" w:rsidR="00BB235C" w:rsidRPr="00BB235C" w:rsidRDefault="00BB235C" w:rsidP="00BB235C">
      <w:r w:rsidRPr="00BB235C">
        <w:rPr>
          <w:lang w:val="en-US"/>
        </w:rPr>
        <w:t xml:space="preserve">Overall, awareness remained relatively consistent with the 2022 results, with marginal but positive shifts. In support of this, a few participants reported knowing about the IGWC in the qualitative research sessions (this was higher among engaged users). </w:t>
      </w:r>
    </w:p>
    <w:p w14:paraId="1C962253" w14:textId="52308768" w:rsidR="00BB235C" w:rsidRDefault="00DA7B5C" w:rsidP="004D00AF">
      <w:pPr>
        <w:rPr>
          <w:lang w:val="en-US"/>
        </w:rPr>
      </w:pPr>
      <w:r w:rsidRPr="00DA7B5C">
        <w:rPr>
          <w:lang w:val="en-US"/>
        </w:rPr>
        <w:t xml:space="preserve">A participant quote </w:t>
      </w:r>
      <w:proofErr w:type="gramStart"/>
      <w:r w:rsidRPr="00DA7B5C">
        <w:rPr>
          <w:lang w:val="en-US"/>
        </w:rPr>
        <w:t>stating:</w:t>
      </w:r>
      <w:proofErr w:type="gramEnd"/>
      <w:r w:rsidRPr="00DA7B5C">
        <w:rPr>
          <w:lang w:val="en-US"/>
        </w:rPr>
        <w:t xml:space="preserve"> I know the IGWC are an independent regulator. They’re there to make sure everyone does the right thing. This quote is attributed to a community member aged 18-39 years, living in Murray Bridge.</w:t>
      </w:r>
    </w:p>
    <w:p w14:paraId="5F452D72" w14:textId="77777777" w:rsidR="00DA7B5C" w:rsidRDefault="00DA7B5C" w:rsidP="00DA7B5C">
      <w:pPr>
        <w:pStyle w:val="Heading3"/>
        <w:rPr>
          <w:lang w:val="en-GB"/>
        </w:rPr>
      </w:pPr>
      <w:r w:rsidRPr="00DA7B5C">
        <w:rPr>
          <w:lang w:val="en-GB"/>
        </w:rPr>
        <w:t>Overall awareness of the IGWC</w:t>
      </w:r>
    </w:p>
    <w:p w14:paraId="5C4BB94F" w14:textId="38F4C774" w:rsidR="006135FF" w:rsidRDefault="006135FF" w:rsidP="006135FF">
      <w:pPr>
        <w:pStyle w:val="Heading4"/>
      </w:pPr>
      <w:r>
        <w:t>Community:</w:t>
      </w:r>
    </w:p>
    <w:p w14:paraId="07F15AE1" w14:textId="31F0C9C0" w:rsidR="006135FF" w:rsidRDefault="006135FF" w:rsidP="00347E33">
      <w:r w:rsidRPr="006135FF">
        <w:t>In 2023, 83% had not heard of the IGWC, weren't sure or could not say; 14% were aware but not sure of the details; and 3% were aware and knew what it is. This is compared to 2022 data, in which 81% of respondents had not heard of the IGWC, weren't sure or could not say; 15% were aware but not sure of the details; and 4% were aware and knew what the IGWC was.</w:t>
      </w:r>
    </w:p>
    <w:p w14:paraId="05CD2C05" w14:textId="3FF9C674" w:rsidR="0066305B" w:rsidRDefault="0066305B" w:rsidP="0066305B">
      <w:r>
        <w:t xml:space="preserve">Considering those who said they were either aware of the IGWC and knew what it </w:t>
      </w:r>
      <w:proofErr w:type="gramStart"/>
      <w:r>
        <w:t>is, or</w:t>
      </w:r>
      <w:proofErr w:type="gramEnd"/>
      <w:r>
        <w:t xml:space="preserve"> were aware of the IGWC but are not sure about the details, each segment has different levels of awareness. 33% of community advocates were aware, 19% of active users were aware, and 11% of community bystanders were aware.</w:t>
      </w:r>
    </w:p>
    <w:p w14:paraId="03B7CE62" w14:textId="3997578F" w:rsidR="006135FF" w:rsidRDefault="006135FF" w:rsidP="006135FF">
      <w:pPr>
        <w:pStyle w:val="Heading4"/>
      </w:pPr>
      <w:r>
        <w:t>W</w:t>
      </w:r>
      <w:r w:rsidR="007D076D">
        <w:t>ater Licence Holders (WLH):</w:t>
      </w:r>
    </w:p>
    <w:p w14:paraId="2C9A8DC6" w14:textId="597D1EFC" w:rsidR="00234238" w:rsidRPr="007D076D" w:rsidRDefault="007D076D" w:rsidP="007D076D">
      <w:r w:rsidRPr="007D076D">
        <w:t>In 2023, 55% have not heard of the IGWC, aren't sure or cannot say; 16% are aware but not sure of the details; and 29% are aware and know what it is. This is in compared with the 2022 data, in which 58% of respondents had not heard of the IGWC, weren't sure or couldn't say; 17% were aware but not sure of the details; and 25% were aware and knew what the IGWC was.</w:t>
      </w:r>
    </w:p>
    <w:p w14:paraId="3E458370" w14:textId="4EEA2974" w:rsidR="00146875" w:rsidRDefault="00146875" w:rsidP="00347E33">
      <w:r>
        <w:t>Questions and data used for the charts above:</w:t>
      </w:r>
    </w:p>
    <w:p w14:paraId="21E81241" w14:textId="77777777" w:rsidR="00233A50" w:rsidRDefault="001776E2" w:rsidP="001776E2">
      <w:pPr>
        <w:pStyle w:val="ListBullet"/>
      </w:pPr>
      <w:r>
        <w:t xml:space="preserve">Q33. Have you heard of the Inspector-General of Water Compliance? </w:t>
      </w:r>
    </w:p>
    <w:p w14:paraId="75100BA7" w14:textId="5DB272B9" w:rsidR="001776E2" w:rsidRDefault="001776E2" w:rsidP="001776E2">
      <w:pPr>
        <w:pStyle w:val="ListBullet"/>
      </w:pPr>
      <w:r>
        <w:t xml:space="preserve">The community base size in 2023 was n=800, and in 2022 it was n=817. The water licence holder base size in 2023 was n=214, and in 2022 it was n=200. The community advocates base size in 2023 was n=105, the active </w:t>
      </w:r>
      <w:proofErr w:type="gramStart"/>
      <w:r>
        <w:t>users</w:t>
      </w:r>
      <w:proofErr w:type="gramEnd"/>
      <w:r>
        <w:t xml:space="preserve"> base size in 2023 was n=327, and the community bystanders base size in 2023 was n=368. </w:t>
      </w:r>
    </w:p>
    <w:p w14:paraId="35C81660" w14:textId="77777777" w:rsidR="00695108" w:rsidRDefault="00695108" w:rsidP="00695108">
      <w:pPr>
        <w:pStyle w:val="Heading3"/>
      </w:pPr>
      <w:r w:rsidRPr="00695108">
        <w:t>Awareness of details of the IGWC, including that:</w:t>
      </w:r>
    </w:p>
    <w:p w14:paraId="633053CA" w14:textId="1E2BF36E" w:rsidR="00CA1834" w:rsidRDefault="00695108" w:rsidP="008E1935">
      <w:r w:rsidRPr="00695108">
        <w:t>The Inspector-General of Water Compliance is responsible for overseeing compliance and enforcement of water rules and regulations in the Murray–Darling Basin, a responsibility previously held by the Murray–Darling Basin Authority.</w:t>
      </w:r>
    </w:p>
    <w:p w14:paraId="7E64C90C" w14:textId="115AF7FE" w:rsidR="00DA39B7" w:rsidRDefault="00DA39B7" w:rsidP="00DA39B7">
      <w:r>
        <w:t>Community members' awareness of the Inspector-General of Water Compliance being responsible for overseeing compliance and enforcement of water rules and regulations in the Basin</w:t>
      </w:r>
      <w:r w:rsidR="003A06E6">
        <w:t>:</w:t>
      </w:r>
    </w:p>
    <w:p w14:paraId="30187709" w14:textId="77777777" w:rsidR="00661884" w:rsidRDefault="00DA39B7" w:rsidP="00DA39B7">
      <w:pPr>
        <w:pStyle w:val="ListBullet"/>
      </w:pPr>
      <w:r>
        <w:lastRenderedPageBreak/>
        <w:t xml:space="preserve">In 2023, 73% of community members were not at all aware, 25% were partially aware, and 3% were fully aware. This is in comparison with 78% of respondents in 2022 who were not at all aware, 20% who were partially aware, and 2% who were fully aware. </w:t>
      </w:r>
    </w:p>
    <w:p w14:paraId="43429899" w14:textId="6C4761E4" w:rsidR="00DA39B7" w:rsidRDefault="00661884" w:rsidP="00DA39B7">
      <w:pPr>
        <w:pStyle w:val="ListBullet"/>
      </w:pPr>
      <w:r>
        <w:t>T</w:t>
      </w:r>
      <w:r w:rsidR="00DA39B7">
        <w:t>he 2023 figures for respondents who were not at all aware and the figure for respondents who were partially aware can also be seen, indicating a statistically significant difference compared to the previous year, at a 90% confidence level.</w:t>
      </w:r>
    </w:p>
    <w:p w14:paraId="7537F79E" w14:textId="15C98F24" w:rsidR="003A06E6" w:rsidRDefault="003A06E6" w:rsidP="003A06E6">
      <w:pPr>
        <w:pStyle w:val="ListBullet"/>
        <w:numPr>
          <w:ilvl w:val="0"/>
          <w:numId w:val="0"/>
        </w:numPr>
      </w:pPr>
      <w:r>
        <w:t>Water licence holders' awareness of the Inspector-General of Water Compliance being responsible for overseeing compliance and enforcement of water rules and regulations in the Basin:</w:t>
      </w:r>
    </w:p>
    <w:p w14:paraId="4D1903E9" w14:textId="7F23666D" w:rsidR="003A06E6" w:rsidRDefault="003A06E6" w:rsidP="003A06E6">
      <w:pPr>
        <w:pStyle w:val="ListBullet"/>
      </w:pPr>
      <w:r>
        <w:t>In 2023, 46% of water licence holders were not at all aware, 36% were partially aware, and 18% were fully aware. This is in comparison with 54% of respondents in 2022 who were not at all aware, 28% who were partially aware, and 18% who were fully aware.</w:t>
      </w:r>
    </w:p>
    <w:p w14:paraId="29F9CB20" w14:textId="2C77C2C0" w:rsidR="007318A8" w:rsidRDefault="007318A8" w:rsidP="00E73825">
      <w:pPr>
        <w:pStyle w:val="ListBullet"/>
        <w:numPr>
          <w:ilvl w:val="0"/>
          <w:numId w:val="0"/>
        </w:numPr>
      </w:pPr>
    </w:p>
    <w:p w14:paraId="39190016" w14:textId="125CA37D" w:rsidR="00E73825" w:rsidRDefault="00E73825" w:rsidP="00E73825">
      <w:pPr>
        <w:pStyle w:val="ListBullet"/>
        <w:numPr>
          <w:ilvl w:val="0"/>
          <w:numId w:val="0"/>
        </w:numPr>
        <w:ind w:left="369" w:hanging="369"/>
      </w:pPr>
      <w:r>
        <w:t>Question and data used for the charts above:</w:t>
      </w:r>
    </w:p>
    <w:p w14:paraId="337F912C" w14:textId="77777777" w:rsidR="00E73825" w:rsidRDefault="00E73825" w:rsidP="00E73825">
      <w:pPr>
        <w:pStyle w:val="ListBullet"/>
      </w:pPr>
      <w:r>
        <w:t xml:space="preserve">Q34. Before today, how much, if at all, were you aware of the following? </w:t>
      </w:r>
    </w:p>
    <w:p w14:paraId="3990825B" w14:textId="2770F54F" w:rsidR="00E73825" w:rsidRDefault="00E73825" w:rsidP="00E73825">
      <w:pPr>
        <w:pStyle w:val="ListBullet"/>
      </w:pPr>
      <w:r>
        <w:t>The community base size in 2023 was n=800, and in 2022 it was n=817. The water licence holder base size in 2023 was n=214, and in 2022 it was n=200.</w:t>
      </w:r>
    </w:p>
    <w:p w14:paraId="2FBF84F2" w14:textId="615C138D" w:rsidR="00D65A2F" w:rsidRDefault="00D65A2F">
      <w:pPr>
        <w:spacing w:after="0"/>
      </w:pPr>
      <w:r>
        <w:br w:type="page"/>
      </w:r>
    </w:p>
    <w:p w14:paraId="2466E7AF" w14:textId="18C85C4B" w:rsidR="00D65A2F" w:rsidRDefault="00D65A2F" w:rsidP="00D65A2F">
      <w:pPr>
        <w:pStyle w:val="Heading1"/>
      </w:pPr>
      <w:r w:rsidRPr="00D65A2F">
        <w:lastRenderedPageBreak/>
        <w:t>Perceptions of the IGWC</w:t>
      </w:r>
    </w:p>
    <w:p w14:paraId="7FFE23BB" w14:textId="77777777" w:rsidR="00D65A2F" w:rsidRPr="00D65A2F" w:rsidRDefault="00D65A2F" w:rsidP="00D65A2F">
      <w:r w:rsidRPr="00D65A2F">
        <w:rPr>
          <w:lang w:val="en-US"/>
        </w:rPr>
        <w:t>IGWC’s community sentiments are moving in the right direction, with confidence and trust in the IGWC significantly increasing among community members, and the perceived performance of the IGWC increasing significantly among both audiences.</w:t>
      </w:r>
    </w:p>
    <w:p w14:paraId="09D30E4F" w14:textId="0AFC9096" w:rsidR="00D65A2F" w:rsidRDefault="00865F75" w:rsidP="00865F75">
      <w:pPr>
        <w:pStyle w:val="Heading3"/>
      </w:pPr>
      <w:r w:rsidRPr="00865F75">
        <w:t>IGWC’s community sentiment KPIs.</w:t>
      </w:r>
    </w:p>
    <w:p w14:paraId="230CD93F" w14:textId="6EA0859C" w:rsidR="009C7029" w:rsidRDefault="009C7029" w:rsidP="00865F75">
      <w:r w:rsidRPr="009C7029">
        <w:t>KPIs are out of a potential range of 0 to 100.</w:t>
      </w:r>
    </w:p>
    <w:p w14:paraId="68A1C0F1" w14:textId="20381867" w:rsidR="00865F75" w:rsidRDefault="00865F75" w:rsidP="00865F75">
      <w:r>
        <w:t xml:space="preserve">Awareness KPI, Confidence and Trust KPI, and Performance KPI scores of </w:t>
      </w:r>
      <w:proofErr w:type="gramStart"/>
      <w:r>
        <w:t>community</w:t>
      </w:r>
      <w:proofErr w:type="gramEnd"/>
      <w:r>
        <w:t xml:space="preserve"> and water licence holders for 2022 and 2023.</w:t>
      </w:r>
    </w:p>
    <w:p w14:paraId="2073D3A4" w14:textId="77777777" w:rsidR="00865F75" w:rsidRDefault="00865F75" w:rsidP="009C7029">
      <w:pPr>
        <w:pStyle w:val="ListBullet"/>
      </w:pPr>
      <w:r>
        <w:t>For the Awareness KPI, the community KPI score was 16 in 2023, compared to a score of 15 in 2022. The water licence holders KPI score was 41, compared to a KPI score of 36 in the previous year.</w:t>
      </w:r>
    </w:p>
    <w:p w14:paraId="168AF83F" w14:textId="27461247" w:rsidR="00865F75" w:rsidRDefault="00865F75" w:rsidP="009C7029">
      <w:pPr>
        <w:pStyle w:val="ListBullet"/>
      </w:pPr>
      <w:r>
        <w:t xml:space="preserve">For the Confidence and Trust KPI, the community KPI score was 39 in 2023, compared to a score of 36 in 2022. </w:t>
      </w:r>
      <w:r w:rsidR="009C7029">
        <w:t>T</w:t>
      </w:r>
      <w:r>
        <w:t xml:space="preserve">he 2023 KPI score for community members can be seen, indicating a statistically significant increase compared to the previous year, at a 90% confidence level. The water licence holders KPI score was 47, compared to a score of 45 in the previous year.  </w:t>
      </w:r>
    </w:p>
    <w:p w14:paraId="37108716" w14:textId="6CE8D646" w:rsidR="00865F75" w:rsidRDefault="00865F75" w:rsidP="009C7029">
      <w:pPr>
        <w:pStyle w:val="ListBullet"/>
      </w:pPr>
      <w:r>
        <w:t xml:space="preserve">For the Performance KPI, the community KPI score was 35 in 2023, compared to 31 in 2022. The water licence holders KPI score was 44 in 2023, compared to a score of 40 in the previous year. </w:t>
      </w:r>
      <w:r w:rsidR="009C7029">
        <w:t>B</w:t>
      </w:r>
      <w:r>
        <w:t>oth community and water licence holder 2023 KPI scores can be seen, indicating a statistically significant increase compared to the previous year, at a 90% confidence level.</w:t>
      </w:r>
    </w:p>
    <w:p w14:paraId="7F88845C" w14:textId="78FE38E4" w:rsidR="009C7029" w:rsidRDefault="00586BD3" w:rsidP="00586BD3">
      <w:pPr>
        <w:pStyle w:val="Heading3"/>
      </w:pPr>
      <w:r>
        <w:t>IGWC performance ratings</w:t>
      </w:r>
    </w:p>
    <w:p w14:paraId="5B92A14C" w14:textId="1B77E2C7" w:rsidR="00B534BB" w:rsidRDefault="00B534BB" w:rsidP="00B534BB">
      <w:r>
        <w:t xml:space="preserve">Index score out </w:t>
      </w:r>
      <w:r w:rsidRPr="009C7029">
        <w:t>of a potential range of 0 to 100</w:t>
      </w:r>
      <w:r w:rsidR="008567A3">
        <w:t>.</w:t>
      </w:r>
    </w:p>
    <w:p w14:paraId="2144169C" w14:textId="5E010A4F" w:rsidR="00B534BB" w:rsidRDefault="008567A3" w:rsidP="00B534BB">
      <w:r>
        <w:t>I</w:t>
      </w:r>
      <w:r w:rsidR="00B534BB">
        <w:t>ndex scores for different performance-related components, based on ratings provided by community members and water licence holders in the years 2022 and 2023</w:t>
      </w:r>
      <w:r>
        <w:t>:</w:t>
      </w:r>
      <w:r w:rsidR="00B534BB">
        <w:t xml:space="preserve"> </w:t>
      </w:r>
    </w:p>
    <w:p w14:paraId="4C241123" w14:textId="13FF79DA" w:rsidR="00B534BB" w:rsidRDefault="00B534BB" w:rsidP="008567A3">
      <w:pPr>
        <w:pStyle w:val="ListBullet"/>
      </w:pPr>
      <w:r>
        <w:t xml:space="preserve">For 'capability', the community score was 41 in 2023, compared to a score of 36 in 2022. For water licence holders, the 'capability' score was 46 in 2023, compared to a score of 40 in 2022. </w:t>
      </w:r>
      <w:r w:rsidR="008567A3">
        <w:t>B</w:t>
      </w:r>
      <w:r>
        <w:t>oth community and water licence holder scores for 2023 indicat</w:t>
      </w:r>
      <w:r w:rsidR="008567A3">
        <w:t>e</w:t>
      </w:r>
      <w:r>
        <w:t xml:space="preserve"> a statistically significant increase compared to the previous year, at a 90% confidence level. </w:t>
      </w:r>
    </w:p>
    <w:p w14:paraId="71A465BD" w14:textId="2688C383" w:rsidR="00586BD3" w:rsidRDefault="00B534BB" w:rsidP="008567A3">
      <w:pPr>
        <w:pStyle w:val="ListBullet"/>
      </w:pPr>
      <w:r>
        <w:t xml:space="preserve">For 'integrity', the community score was 40 in 2023, compared to a score of 35 in 2022. </w:t>
      </w:r>
      <w:r w:rsidR="008567A3">
        <w:t>T</w:t>
      </w:r>
      <w:r>
        <w:t>he community score for 2023 indicat</w:t>
      </w:r>
      <w:r w:rsidR="008567A3">
        <w:t>es</w:t>
      </w:r>
      <w:r>
        <w:t xml:space="preserve"> a statistically significant increase compared to the previous year, at a 90% confidence level. For water licence holders, the 'integrity' score was 47 in 2023, compared to a score of 42 in 2022.</w:t>
      </w:r>
    </w:p>
    <w:p w14:paraId="6195F814" w14:textId="1E1AFC8F" w:rsidR="007B5225" w:rsidRDefault="007B5225" w:rsidP="007B5225">
      <w:pPr>
        <w:pStyle w:val="ListBullet"/>
      </w:pPr>
      <w:r>
        <w:t xml:space="preserve">For 'being evidence-based', the community score was 39 in 2023, compared to a score of 34 in 2022. For water licence holders, the 'being evidence-based' score was 45 in 2023, compared to a score of 40 in 2022. Both community and water licence holder scores for 2023 indicate a statistically significant increase compared to the previous year, at a 90% confidence level. </w:t>
      </w:r>
    </w:p>
    <w:p w14:paraId="22D3F223" w14:textId="6449D420" w:rsidR="007B5225" w:rsidRDefault="007B5225" w:rsidP="007B5225">
      <w:pPr>
        <w:pStyle w:val="ListBullet"/>
      </w:pPr>
      <w:r>
        <w:t>For 'accountability', the community score was 37 in 2023, compared to a score of 33 in 2022. For water licence holders, the 'accountability' score was 45 in 2023, compared to a score of 39 in 2022. Both community and water licence holder scores for 2023 indicate a statistically significant increase compared to the previous year, at a 90% confidence level.</w:t>
      </w:r>
    </w:p>
    <w:p w14:paraId="6B48084C" w14:textId="77777777" w:rsidR="006221F2" w:rsidRDefault="006221F2" w:rsidP="006221F2">
      <w:pPr>
        <w:pStyle w:val="ListBullet"/>
      </w:pPr>
      <w:r>
        <w:t xml:space="preserve">For 'making a positive difference', the community score was 37 in 2023, compared to a score of 34 in 2022. For water licence holders, the 'making a positive difference' score was 46 in 2023, compared to a score of 41 in 2022. </w:t>
      </w:r>
    </w:p>
    <w:p w14:paraId="7A6FCCAD" w14:textId="310B9ADB" w:rsidR="007B5225" w:rsidRDefault="006221F2" w:rsidP="006221F2">
      <w:pPr>
        <w:pStyle w:val="ListBullet"/>
      </w:pPr>
      <w:r>
        <w:lastRenderedPageBreak/>
        <w:t>For 'ensuring consistency of water management across the Basin', the community score was 37 in 2023, compared to a score of 33 in 2022. For water licence holders, the 'ensuring consistency of water management across the Basin' score was 45 in 2023, compared to a score of 39 in 2022. Both community and water licence holder scores for 2023 indicate a statistically significant increase compared to the previous year, at a 90% confidence level.</w:t>
      </w:r>
    </w:p>
    <w:p w14:paraId="1B39ACC7" w14:textId="1D568C19" w:rsidR="00787A51" w:rsidRDefault="00787A51" w:rsidP="00787A51">
      <w:pPr>
        <w:pStyle w:val="ListBullet"/>
      </w:pPr>
      <w:r>
        <w:t xml:space="preserve">For 'transparency', the community score was 35 in 2023, compared to a score of 30 in 2022. The community index score for 2023 indicates a statistically significant increase compared to the previous year, at a 90% confidence level. For water licence holders, the 'transparency' score was 43 in 2023, compared to a score of 39 in 2022. </w:t>
      </w:r>
    </w:p>
    <w:p w14:paraId="2B4DA178" w14:textId="0EA6134E" w:rsidR="00787A51" w:rsidRDefault="00787A51" w:rsidP="00787A51">
      <w:pPr>
        <w:pStyle w:val="ListBullet"/>
      </w:pPr>
      <w:r>
        <w:t>For 'communicating and engaging with the Australian community about water management', the community score was 32 in 2023, compared to a score of 30 in 2022. The water licence holders score was 41 in 2023, compared to a score of 38 in 2022.</w:t>
      </w:r>
    </w:p>
    <w:p w14:paraId="3941C9AD" w14:textId="77777777" w:rsidR="003A7B06" w:rsidRDefault="003A7B06" w:rsidP="003A7B06">
      <w:pPr>
        <w:pStyle w:val="ListBullet"/>
        <w:numPr>
          <w:ilvl w:val="0"/>
          <w:numId w:val="0"/>
        </w:numPr>
        <w:ind w:left="369" w:hanging="369"/>
      </w:pPr>
    </w:p>
    <w:p w14:paraId="36CB1F37" w14:textId="77777777" w:rsidR="003A7B06" w:rsidRDefault="003A7B06" w:rsidP="003A7B06">
      <w:pPr>
        <w:pStyle w:val="ListBullet"/>
        <w:numPr>
          <w:ilvl w:val="0"/>
          <w:numId w:val="0"/>
        </w:numPr>
        <w:ind w:left="369" w:hanging="369"/>
      </w:pPr>
      <w:r>
        <w:t>Q</w:t>
      </w:r>
      <w:r w:rsidRPr="003A7B06">
        <w:t xml:space="preserve">uestions and data used for the charts above: </w:t>
      </w:r>
    </w:p>
    <w:p w14:paraId="350EAC9A" w14:textId="77777777" w:rsidR="003A7B06" w:rsidRPr="003A7B06" w:rsidRDefault="003A7B06" w:rsidP="003A7B06">
      <w:pPr>
        <w:pStyle w:val="ListBullet"/>
      </w:pPr>
      <w:r w:rsidRPr="003A7B06">
        <w:t xml:space="preserve">The community base size in 2023 was n=800, and in 2022 it was n=817. The water licence holder base size in 2023 was n=214, and in 2022 it was n=200. </w:t>
      </w:r>
    </w:p>
    <w:p w14:paraId="297E85A3" w14:textId="2641640C" w:rsidR="003A7B06" w:rsidRDefault="003A7B06" w:rsidP="003A7B06">
      <w:pPr>
        <w:pStyle w:val="ListBullet"/>
      </w:pPr>
      <w:r w:rsidRPr="003A7B06">
        <w:t>Notes: Indices are calculated based on results from relevant questions, with survey responses given values ranging from 0 to 100.</w:t>
      </w:r>
    </w:p>
    <w:p w14:paraId="31C7B708" w14:textId="590F4543" w:rsidR="003B3A01" w:rsidRDefault="003B3A01">
      <w:pPr>
        <w:spacing w:after="0"/>
      </w:pPr>
      <w:r>
        <w:br w:type="page"/>
      </w:r>
    </w:p>
    <w:p w14:paraId="39E0F268" w14:textId="7D5931AD" w:rsidR="003B3A01" w:rsidRDefault="003B3A01" w:rsidP="003B3A01">
      <w:pPr>
        <w:pStyle w:val="Heading1"/>
        <w:rPr>
          <w:lang w:val="en-GB"/>
        </w:rPr>
      </w:pPr>
      <w:r w:rsidRPr="003B3A01">
        <w:rPr>
          <w:lang w:val="en-GB"/>
        </w:rPr>
        <w:lastRenderedPageBreak/>
        <w:t>Expectations of the IGWC</w:t>
      </w:r>
    </w:p>
    <w:p w14:paraId="0CE919C2" w14:textId="1A19D3C0" w:rsidR="003B3A01" w:rsidRDefault="003B3A01" w:rsidP="003B3A01">
      <w:pPr>
        <w:rPr>
          <w:lang w:val="en-GB"/>
        </w:rPr>
      </w:pPr>
      <w:proofErr w:type="gramStart"/>
      <w:r w:rsidRPr="003B3A01">
        <w:rPr>
          <w:lang w:val="en-GB"/>
        </w:rPr>
        <w:t>Similar to</w:t>
      </w:r>
      <w:proofErr w:type="gramEnd"/>
      <w:r w:rsidRPr="003B3A01">
        <w:rPr>
          <w:lang w:val="en-GB"/>
        </w:rPr>
        <w:t xml:space="preserve"> the 2022 findings, most qualitative research participants reported feeling unable to rate the performance of the IGWC, that is, “sitting on the fence”, until they were provided with tangible evidence of the IGWC’s performance. In the quantitative research, clear actions and results and greater transparency were seen as central to enhancing community perceptions of the IGWC’s performance.</w:t>
      </w:r>
    </w:p>
    <w:p w14:paraId="701A52D3" w14:textId="5F964056" w:rsidR="003B3A01" w:rsidRDefault="00311341" w:rsidP="00311341">
      <w:pPr>
        <w:pStyle w:val="Heading3"/>
        <w:rPr>
          <w:lang w:val="en-GB"/>
        </w:rPr>
      </w:pPr>
      <w:r w:rsidRPr="00311341">
        <w:rPr>
          <w:lang w:val="en-GB"/>
        </w:rPr>
        <w:t>What the IGWC can do to increase community perceptions of performance</w:t>
      </w:r>
    </w:p>
    <w:p w14:paraId="3890E29B" w14:textId="147D4968" w:rsidR="00311341" w:rsidRDefault="00311341" w:rsidP="00311341">
      <w:pPr>
        <w:rPr>
          <w:lang w:val="en-GB"/>
        </w:rPr>
      </w:pPr>
      <w:r>
        <w:rPr>
          <w:lang w:val="en-GB"/>
        </w:rPr>
        <w:t>T</w:t>
      </w:r>
      <w:r w:rsidRPr="00311341">
        <w:rPr>
          <w:lang w:val="en-GB"/>
        </w:rPr>
        <w:t>his section describes unprompted responses from community members who provided a rating of less than 8 out of 10.</w:t>
      </w:r>
    </w:p>
    <w:p w14:paraId="66158368" w14:textId="5560D520" w:rsidR="00743F99" w:rsidRPr="00743F99" w:rsidRDefault="00743F99" w:rsidP="00E01629">
      <w:pPr>
        <w:pStyle w:val="ListBullet"/>
        <w:rPr>
          <w:lang w:val="en-GB"/>
        </w:rPr>
      </w:pPr>
      <w:r w:rsidRPr="00743F99">
        <w:rPr>
          <w:lang w:val="en-GB"/>
        </w:rPr>
        <w:t xml:space="preserve">29% suggested monitoring and enforcement of compliance, results and/or actions, compared to 15% in 2022. </w:t>
      </w:r>
      <w:r w:rsidR="00DF1CCF">
        <w:rPr>
          <w:lang w:val="en-GB"/>
        </w:rPr>
        <w:t>T</w:t>
      </w:r>
      <w:r w:rsidRPr="00743F99">
        <w:rPr>
          <w:lang w:val="en-GB"/>
        </w:rPr>
        <w:t>he 2023 figure indicat</w:t>
      </w:r>
      <w:r w:rsidR="00DF1CCF">
        <w:rPr>
          <w:lang w:val="en-GB"/>
        </w:rPr>
        <w:t>es</w:t>
      </w:r>
      <w:r w:rsidRPr="00743F99">
        <w:rPr>
          <w:lang w:val="en-GB"/>
        </w:rPr>
        <w:t xml:space="preserve"> a statistically significant increase from 2022, at a 90% confidence level.</w:t>
      </w:r>
    </w:p>
    <w:p w14:paraId="625F1215" w14:textId="77777777" w:rsidR="00743F99" w:rsidRPr="00743F99" w:rsidRDefault="00743F99" w:rsidP="00E01629">
      <w:pPr>
        <w:pStyle w:val="ListBullet"/>
        <w:rPr>
          <w:lang w:val="en-GB"/>
        </w:rPr>
      </w:pPr>
      <w:r w:rsidRPr="00743F99">
        <w:rPr>
          <w:lang w:val="en-GB"/>
        </w:rPr>
        <w:t>16% suggested greater transparency in operations or results of investigations, compared to 14% in 2022.</w:t>
      </w:r>
    </w:p>
    <w:p w14:paraId="74459FA5" w14:textId="77777777" w:rsidR="00743F99" w:rsidRPr="00743F99" w:rsidRDefault="00743F99" w:rsidP="00E01629">
      <w:pPr>
        <w:pStyle w:val="ListBullet"/>
        <w:rPr>
          <w:lang w:val="en-GB"/>
        </w:rPr>
      </w:pPr>
      <w:r w:rsidRPr="00743F99">
        <w:rPr>
          <w:lang w:val="en-GB"/>
        </w:rPr>
        <w:t>12% suggested to increase awareness or the profile of the Inspector General, compared to 14% in 2022.</w:t>
      </w:r>
    </w:p>
    <w:p w14:paraId="2E0A6BFD" w14:textId="77777777" w:rsidR="00743F99" w:rsidRPr="00743F99" w:rsidRDefault="00743F99" w:rsidP="00E01629">
      <w:pPr>
        <w:pStyle w:val="ListBullet"/>
        <w:rPr>
          <w:lang w:val="en-GB"/>
        </w:rPr>
      </w:pPr>
      <w:r w:rsidRPr="00743F99">
        <w:rPr>
          <w:lang w:val="en-GB"/>
        </w:rPr>
        <w:t>8% suggested greater community engagement or consultation, compared to 6% in 2022.</w:t>
      </w:r>
    </w:p>
    <w:p w14:paraId="60DD83E1" w14:textId="03FCC750" w:rsidR="00743F99" w:rsidRPr="00743F99" w:rsidRDefault="00743F99" w:rsidP="00E01629">
      <w:pPr>
        <w:pStyle w:val="ListBullet"/>
        <w:rPr>
          <w:lang w:val="en-GB"/>
        </w:rPr>
      </w:pPr>
      <w:r w:rsidRPr="00743F99">
        <w:rPr>
          <w:lang w:val="en-GB"/>
        </w:rPr>
        <w:t xml:space="preserve">6% suggested communicating or providing clear information to the public, compared to 13% in 2022. </w:t>
      </w:r>
      <w:r w:rsidR="00DF1CCF">
        <w:rPr>
          <w:lang w:val="en-GB"/>
        </w:rPr>
        <w:t>T</w:t>
      </w:r>
      <w:r w:rsidRPr="00743F99">
        <w:rPr>
          <w:lang w:val="en-GB"/>
        </w:rPr>
        <w:t>he 2023 result indicat</w:t>
      </w:r>
      <w:r w:rsidR="00DF1CCF">
        <w:rPr>
          <w:lang w:val="en-GB"/>
        </w:rPr>
        <w:t>es</w:t>
      </w:r>
      <w:r w:rsidRPr="00743F99">
        <w:rPr>
          <w:lang w:val="en-GB"/>
        </w:rPr>
        <w:t xml:space="preserve"> a statistically significant decrease compared to the previous year, at a 90% confidence level.</w:t>
      </w:r>
    </w:p>
    <w:p w14:paraId="2D1926B5" w14:textId="77777777" w:rsidR="00743F99" w:rsidRPr="00743F99" w:rsidRDefault="00743F99" w:rsidP="00E01629">
      <w:pPr>
        <w:pStyle w:val="ListBullet"/>
        <w:rPr>
          <w:lang w:val="en-GB"/>
        </w:rPr>
      </w:pPr>
      <w:r w:rsidRPr="00743F99">
        <w:rPr>
          <w:lang w:val="en-GB"/>
        </w:rPr>
        <w:t>3% suggested more staff or resources. This was a new code added in 2023, thus there is no comparison with the previous year.</w:t>
      </w:r>
    </w:p>
    <w:p w14:paraId="38EEAAAC" w14:textId="018E5231" w:rsidR="00743F99" w:rsidRPr="00743F99" w:rsidRDefault="00743F99" w:rsidP="00E01629">
      <w:pPr>
        <w:pStyle w:val="ListBullet"/>
        <w:rPr>
          <w:lang w:val="en-GB"/>
        </w:rPr>
      </w:pPr>
      <w:r w:rsidRPr="00743F99">
        <w:rPr>
          <w:lang w:val="en-GB"/>
        </w:rPr>
        <w:t xml:space="preserve">2% suggested to ensure impartiality or political neutrality of the Inspector General, compared to 10% in 2022. </w:t>
      </w:r>
      <w:r w:rsidR="00DF1CCF">
        <w:rPr>
          <w:lang w:val="en-GB"/>
        </w:rPr>
        <w:t>T</w:t>
      </w:r>
      <w:r w:rsidRPr="00743F99">
        <w:rPr>
          <w:lang w:val="en-GB"/>
        </w:rPr>
        <w:t>he 2023 result indicat</w:t>
      </w:r>
      <w:r w:rsidR="00DF1CCF">
        <w:rPr>
          <w:lang w:val="en-GB"/>
        </w:rPr>
        <w:t>es</w:t>
      </w:r>
      <w:r w:rsidRPr="00743F99">
        <w:rPr>
          <w:lang w:val="en-GB"/>
        </w:rPr>
        <w:t xml:space="preserve"> a statistically significant decrease compared to the previous year, at a 90% confidence level.</w:t>
      </w:r>
    </w:p>
    <w:p w14:paraId="371655D0" w14:textId="77777777" w:rsidR="00743F99" w:rsidRPr="00743F99" w:rsidRDefault="00743F99" w:rsidP="00E01629">
      <w:pPr>
        <w:pStyle w:val="ListBullet"/>
        <w:rPr>
          <w:lang w:val="en-GB"/>
        </w:rPr>
      </w:pPr>
      <w:r w:rsidRPr="00743F99">
        <w:rPr>
          <w:lang w:val="en-GB"/>
        </w:rPr>
        <w:t>2% suggested to not sell water to overseas companies or non-land holders, compared to 2% in 2022.</w:t>
      </w:r>
    </w:p>
    <w:p w14:paraId="6EE6D16B" w14:textId="655E4A30" w:rsidR="00743F99" w:rsidRPr="00743F99" w:rsidRDefault="00743F99" w:rsidP="00E01629">
      <w:pPr>
        <w:pStyle w:val="ListBullet"/>
        <w:rPr>
          <w:lang w:val="en-GB"/>
        </w:rPr>
      </w:pPr>
      <w:r w:rsidRPr="00743F99">
        <w:rPr>
          <w:lang w:val="en-GB"/>
        </w:rPr>
        <w:t xml:space="preserve">1% had other suggestions, compared to 10% in 2022. </w:t>
      </w:r>
      <w:r w:rsidR="00DF1CCF">
        <w:rPr>
          <w:lang w:val="en-GB"/>
        </w:rPr>
        <w:t>T</w:t>
      </w:r>
      <w:r w:rsidRPr="00743F99">
        <w:rPr>
          <w:lang w:val="en-GB"/>
        </w:rPr>
        <w:t>he 2023 result indica</w:t>
      </w:r>
      <w:r w:rsidR="00DF1CCF">
        <w:rPr>
          <w:lang w:val="en-GB"/>
        </w:rPr>
        <w:t>tes</w:t>
      </w:r>
      <w:r w:rsidRPr="00743F99">
        <w:rPr>
          <w:lang w:val="en-GB"/>
        </w:rPr>
        <w:t xml:space="preserve"> a statistically significant decrease compared to the previous year, at a 90% confidence level.</w:t>
      </w:r>
    </w:p>
    <w:p w14:paraId="5553192A" w14:textId="27FCF34E" w:rsidR="00743F99" w:rsidRDefault="00743F99" w:rsidP="00E01629">
      <w:pPr>
        <w:pStyle w:val="ListBullet"/>
        <w:rPr>
          <w:lang w:val="en-GB"/>
        </w:rPr>
      </w:pPr>
      <w:r w:rsidRPr="00743F99">
        <w:rPr>
          <w:lang w:val="en-GB"/>
        </w:rPr>
        <w:t>31% responded that they didn't know or were unsure, compared to 27% in 2022.</w:t>
      </w:r>
    </w:p>
    <w:p w14:paraId="5AF46168" w14:textId="77777777" w:rsidR="0007759E" w:rsidRDefault="0007759E" w:rsidP="0007759E">
      <w:pPr>
        <w:pStyle w:val="ListBullet"/>
        <w:numPr>
          <w:ilvl w:val="0"/>
          <w:numId w:val="0"/>
        </w:numPr>
        <w:rPr>
          <w:lang w:val="en-GB"/>
        </w:rPr>
      </w:pPr>
    </w:p>
    <w:p w14:paraId="09DCC65C" w14:textId="77777777" w:rsidR="0007759E" w:rsidRDefault="0007759E" w:rsidP="0007759E">
      <w:pPr>
        <w:pStyle w:val="ListBullet"/>
        <w:numPr>
          <w:ilvl w:val="0"/>
          <w:numId w:val="0"/>
        </w:numPr>
        <w:rPr>
          <w:lang w:val="en-GB"/>
        </w:rPr>
      </w:pPr>
      <w:r>
        <w:rPr>
          <w:lang w:val="en-GB"/>
        </w:rPr>
        <w:t>Q</w:t>
      </w:r>
      <w:r w:rsidRPr="0007759E">
        <w:rPr>
          <w:lang w:val="en-GB"/>
        </w:rPr>
        <w:t xml:space="preserve">uestions and data used for the chart above: </w:t>
      </w:r>
    </w:p>
    <w:p w14:paraId="0189CBDB" w14:textId="6C295CDF" w:rsidR="0007759E" w:rsidRPr="0007759E" w:rsidRDefault="0007759E" w:rsidP="0007759E">
      <w:pPr>
        <w:pStyle w:val="ListBullet"/>
      </w:pPr>
      <w:r w:rsidRPr="0007759E">
        <w:t xml:space="preserve">Q38. What can the Inspector-General of Water Compliance or his Office do to increase (your rating of their performance)? [coded text responses] </w:t>
      </w:r>
    </w:p>
    <w:p w14:paraId="77E06178" w14:textId="1E5E4E3A" w:rsidR="0007759E" w:rsidRPr="00311341" w:rsidRDefault="0007759E" w:rsidP="0007759E">
      <w:pPr>
        <w:pStyle w:val="ListBullet"/>
        <w:rPr>
          <w:lang w:val="en-GB"/>
        </w:rPr>
      </w:pPr>
      <w:r w:rsidRPr="0007759E">
        <w:t>The</w:t>
      </w:r>
      <w:r w:rsidRPr="0007759E">
        <w:rPr>
          <w:lang w:val="en-GB"/>
        </w:rPr>
        <w:t xml:space="preserve"> base was community respondents who rated the IGWC’s performance as less than 8 out of 10, excluding those that said ‘nothing’, or those who responded ‘unsure’ at Q37. In 2023 the base size was n=344, and in 2022 it was n=317.</w:t>
      </w:r>
    </w:p>
    <w:sectPr w:rsidR="0007759E" w:rsidRPr="00311341" w:rsidSect="009D1809">
      <w:footerReference w:type="default" r:id="rId12"/>
      <w:headerReference w:type="first" r:id="rId13"/>
      <w:footerReference w:type="first" r:id="rId14"/>
      <w:pgSz w:w="11906" w:h="16838"/>
      <w:pgMar w:top="1284" w:right="1134" w:bottom="816" w:left="1134" w:header="431" w:footer="9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C370C" w14:textId="77777777" w:rsidR="009978BD" w:rsidRDefault="009978BD">
      <w:r>
        <w:separator/>
      </w:r>
    </w:p>
  </w:endnote>
  <w:endnote w:type="continuationSeparator" w:id="0">
    <w:p w14:paraId="2B200F23" w14:textId="77777777" w:rsidR="009978BD" w:rsidRDefault="0099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BDA9B" w14:textId="405BDF93" w:rsidR="003C5491" w:rsidRPr="007421F4" w:rsidRDefault="00794F8E" w:rsidP="007421F4">
    <w:pPr>
      <w:pStyle w:val="Footer"/>
      <w:tabs>
        <w:tab w:val="clear" w:pos="4513"/>
        <w:tab w:val="clear" w:pos="9026"/>
        <w:tab w:val="right" w:pos="9638"/>
      </w:tabs>
    </w:pPr>
    <w:r>
      <w:t xml:space="preserve">IGWC Basin Community Perception </w:t>
    </w:r>
    <w:r w:rsidR="000F4D94">
      <w:t xml:space="preserve">Research 2023 | Research conducted by </w:t>
    </w:r>
    <w:proofErr w:type="spellStart"/>
    <w:r w:rsidR="000F4D94">
      <w:t>Orima</w:t>
    </w:r>
    <w:proofErr w:type="spellEnd"/>
    <w:r w:rsidR="000F4D94">
      <w:t xml:space="preserve"> </w:t>
    </w:r>
    <w:r w:rsidR="007421F4" w:rsidRPr="007421F4">
      <w:tab/>
    </w:r>
    <w:r w:rsidR="007421F4" w:rsidRPr="007421F4">
      <w:fldChar w:fldCharType="begin"/>
    </w:r>
    <w:r w:rsidR="007421F4" w:rsidRPr="007421F4">
      <w:instrText xml:space="preserve"> PAGE   \* MERGEFORMAT </w:instrText>
    </w:r>
    <w:r w:rsidR="007421F4" w:rsidRPr="007421F4">
      <w:fldChar w:fldCharType="separate"/>
    </w:r>
    <w:r w:rsidR="007421F4" w:rsidRPr="007421F4">
      <w:t>1</w:t>
    </w:r>
    <w:r w:rsidR="007421F4" w:rsidRPr="007421F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4A9C" w14:textId="77777777" w:rsidR="00B25458" w:rsidRPr="002C07A5" w:rsidRDefault="00B25458" w:rsidP="002C07A5">
    <w:pPr>
      <w:pStyle w:val="Footer"/>
      <w:tabs>
        <w:tab w:val="clear" w:pos="4513"/>
        <w:tab w:val="clear" w:pos="9026"/>
        <w:tab w:val="right" w:pos="9638"/>
      </w:tabs>
      <w:rPr>
        <w:color w:val="FFFFFF"/>
      </w:rPr>
    </w:pPr>
    <w:r w:rsidRPr="00DA3699">
      <w:rPr>
        <w:color w:val="FF0000"/>
      </w:rPr>
      <w:t>Inspector-General of Water Compliance</w:t>
    </w:r>
    <w:r w:rsidRPr="00DA3699">
      <w:rPr>
        <w:color w:val="FF0000"/>
      </w:rPr>
      <w:tab/>
    </w:r>
    <w:r w:rsidRPr="00DA3699">
      <w:rPr>
        <w:color w:val="FF0000"/>
      </w:rPr>
      <w:fldChar w:fldCharType="begin"/>
    </w:r>
    <w:r w:rsidRPr="00DA3699">
      <w:rPr>
        <w:color w:val="FF0000"/>
      </w:rPr>
      <w:instrText xml:space="preserve"> PAGE   \* MERGEFORMAT </w:instrText>
    </w:r>
    <w:r w:rsidRPr="00DA3699">
      <w:rPr>
        <w:color w:val="FF0000"/>
      </w:rPr>
      <w:fldChar w:fldCharType="separate"/>
    </w:r>
    <w:r w:rsidRPr="00DA3699">
      <w:rPr>
        <w:color w:val="FF0000"/>
      </w:rPr>
      <w:t>3</w:t>
    </w:r>
    <w:r w:rsidRPr="00DA3699">
      <w:rPr>
        <w:noProof/>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2EE9E" w14:textId="77777777" w:rsidR="009978BD" w:rsidRDefault="009978BD">
      <w:r>
        <w:separator/>
      </w:r>
    </w:p>
  </w:footnote>
  <w:footnote w:type="continuationSeparator" w:id="0">
    <w:p w14:paraId="2B3F49A0" w14:textId="77777777" w:rsidR="009978BD" w:rsidRDefault="0099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0BE3D" w14:textId="77777777" w:rsidR="00090D27" w:rsidRDefault="00090D27">
    <w:pPr>
      <w:pStyle w:val="Header"/>
    </w:pPr>
  </w:p>
  <w:p w14:paraId="0EA288ED" w14:textId="77777777" w:rsidR="00090D27" w:rsidRDefault="00090D27">
    <w:pPr>
      <w:pStyle w:val="Header"/>
    </w:pPr>
  </w:p>
  <w:p w14:paraId="650E3E13" w14:textId="77777777" w:rsidR="00090D27" w:rsidRDefault="00090D27">
    <w:pPr>
      <w:pStyle w:val="Header"/>
    </w:pPr>
  </w:p>
  <w:p w14:paraId="671A4AB2" w14:textId="77777777" w:rsidR="00090D27" w:rsidRDefault="00090D27">
    <w:pPr>
      <w:pStyle w:val="Header"/>
    </w:pPr>
  </w:p>
  <w:p w14:paraId="6B634EFA" w14:textId="77777777" w:rsidR="00090D27" w:rsidRDefault="00090D27">
    <w:pPr>
      <w:pStyle w:val="Header"/>
    </w:pPr>
  </w:p>
  <w:p w14:paraId="4C593F69" w14:textId="77777777" w:rsidR="00090D27" w:rsidRDefault="00090D27">
    <w:pPr>
      <w:pStyle w:val="Header"/>
    </w:pPr>
  </w:p>
  <w:p w14:paraId="0A703FE7" w14:textId="77777777" w:rsidR="00090D27" w:rsidRDefault="00090D27">
    <w:pPr>
      <w:pStyle w:val="Header"/>
    </w:pPr>
  </w:p>
  <w:p w14:paraId="1286BD69" w14:textId="77777777" w:rsidR="00090D27" w:rsidRDefault="00090D27">
    <w:pPr>
      <w:pStyle w:val="Header"/>
    </w:pPr>
  </w:p>
  <w:p w14:paraId="364BF1AA" w14:textId="77777777" w:rsidR="00090D27" w:rsidRDefault="00090D27">
    <w:pPr>
      <w:pStyle w:val="Header"/>
    </w:pPr>
  </w:p>
  <w:p w14:paraId="2B287129" w14:textId="77777777" w:rsidR="00090D27" w:rsidRDefault="00090D27">
    <w:pPr>
      <w:pStyle w:val="Header"/>
    </w:pPr>
  </w:p>
  <w:p w14:paraId="4BCC4CB1" w14:textId="77777777" w:rsidR="00090D27" w:rsidRDefault="00090D27">
    <w:pPr>
      <w:pStyle w:val="Header"/>
    </w:pPr>
  </w:p>
  <w:p w14:paraId="59FEBB73" w14:textId="77777777" w:rsidR="00090D27" w:rsidRDefault="00090D27">
    <w:pPr>
      <w:pStyle w:val="Header"/>
    </w:pPr>
  </w:p>
  <w:p w14:paraId="2D2B5172" w14:textId="77777777" w:rsidR="00090D27" w:rsidRDefault="00090D27">
    <w:pPr>
      <w:pStyle w:val="Header"/>
    </w:pPr>
  </w:p>
  <w:p w14:paraId="47963768" w14:textId="77777777" w:rsidR="00090D27" w:rsidRDefault="00090D27">
    <w:pPr>
      <w:pStyle w:val="Header"/>
    </w:pPr>
  </w:p>
  <w:p w14:paraId="502636F4" w14:textId="77777777" w:rsidR="00090D27" w:rsidRDefault="00090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424A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D2C7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BCA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4869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D4BD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708B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469A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4401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744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2E6B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F6F4874"/>
    <w:multiLevelType w:val="hybridMultilevel"/>
    <w:tmpl w:val="7FA08D24"/>
    <w:lvl w:ilvl="0" w:tplc="0C090019">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2"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13" w15:restartNumberingAfterBreak="0">
    <w:nsid w:val="1F745BC2"/>
    <w:multiLevelType w:val="multilevel"/>
    <w:tmpl w:val="E5E89F92"/>
    <w:numStyleLink w:val="BulletList"/>
  </w:abstractNum>
  <w:abstractNum w:abstractNumId="14"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F8614D"/>
    <w:multiLevelType w:val="hybridMultilevel"/>
    <w:tmpl w:val="26CE1DDA"/>
    <w:lvl w:ilvl="0" w:tplc="0C090017">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7" w15:restartNumberingAfterBreak="0">
    <w:nsid w:val="4BBA5DEF"/>
    <w:multiLevelType w:val="singleLevel"/>
    <w:tmpl w:val="27625AB4"/>
    <w:lvl w:ilvl="0">
      <w:start w:val="1"/>
      <w:numFmt w:val="decimal"/>
      <w:lvlText w:val="%1."/>
      <w:lvlJc w:val="left"/>
      <w:pPr>
        <w:tabs>
          <w:tab w:val="num" w:pos="357"/>
        </w:tabs>
        <w:ind w:left="357" w:hanging="357"/>
      </w:pPr>
      <w:rPr>
        <w:rFonts w:hint="default"/>
        <w:b w:val="0"/>
        <w:sz w:val="24"/>
        <w:szCs w:val="24"/>
      </w:rPr>
    </w:lvl>
  </w:abstractNum>
  <w:abstractNum w:abstractNumId="18" w15:restartNumberingAfterBreak="0">
    <w:nsid w:val="4C64641D"/>
    <w:multiLevelType w:val="hybridMultilevel"/>
    <w:tmpl w:val="69EAC6B4"/>
    <w:lvl w:ilvl="0" w:tplc="0C090001">
      <w:start w:val="1"/>
      <w:numFmt w:val="bullet"/>
      <w:lvlText w:val=""/>
      <w:lvlJc w:val="left"/>
      <w:pPr>
        <w:ind w:left="360" w:hanging="360"/>
      </w:pPr>
      <w:rPr>
        <w:rFonts w:ascii="Symbol" w:hAnsi="Symbol" w:hint="default"/>
      </w:rPr>
    </w:lvl>
    <w:lvl w:ilvl="1" w:tplc="6DF4B6FE">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15:restartNumberingAfterBreak="0">
    <w:nsid w:val="56874575"/>
    <w:multiLevelType w:val="multilevel"/>
    <w:tmpl w:val="CEBEDF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CC95F71"/>
    <w:multiLevelType w:val="hybridMultilevel"/>
    <w:tmpl w:val="66E6DDBC"/>
    <w:lvl w:ilvl="0" w:tplc="0C09000F">
      <w:start w:val="1"/>
      <w:numFmt w:val="decimal"/>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21" w15:restartNumberingAfterBreak="0">
    <w:nsid w:val="5FFB6035"/>
    <w:multiLevelType w:val="hybridMultilevel"/>
    <w:tmpl w:val="1B9A4D9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65456429"/>
    <w:multiLevelType w:val="multilevel"/>
    <w:tmpl w:val="D5F21E5A"/>
    <w:lvl w:ilvl="0">
      <w:start w:val="1"/>
      <w:numFmt w:val="decimal"/>
      <w:pStyle w:val="ListNumber"/>
      <w:lvlText w:val="%1."/>
      <w:lvlJc w:val="left"/>
      <w:pPr>
        <w:ind w:left="369" w:hanging="369"/>
      </w:pPr>
      <w:rPr>
        <w:rFonts w:ascii="Calibri" w:hAnsi="Calibri" w:hint="default"/>
        <w:sz w:val="22"/>
        <w:szCs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3"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D814EB9"/>
    <w:multiLevelType w:val="hybridMultilevel"/>
    <w:tmpl w:val="EE5E18A6"/>
    <w:lvl w:ilvl="0" w:tplc="111CDE18">
      <w:start w:val="2023"/>
      <w:numFmt w:val="bullet"/>
      <w:lvlText w:val="-"/>
      <w:lvlJc w:val="left"/>
      <w:pPr>
        <w:ind w:left="720" w:hanging="360"/>
      </w:pPr>
      <w:rPr>
        <w:rFonts w:ascii="Verdana" w:eastAsia="Calibri"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4B7B4D"/>
    <w:multiLevelType w:val="multilevel"/>
    <w:tmpl w:val="1000160E"/>
    <w:lvl w:ilvl="0">
      <w:start w:val="1"/>
      <w:numFmt w:val="bullet"/>
      <w:lvlText w:val=""/>
      <w:lvlJc w:val="left"/>
      <w:pPr>
        <w:ind w:left="369" w:hanging="369"/>
      </w:pPr>
      <w:rPr>
        <w:rFonts w:ascii="Symbol" w:hAnsi="Symbol" w:hint="default"/>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6" w15:restartNumberingAfterBreak="0">
    <w:nsid w:val="6F1308B5"/>
    <w:multiLevelType w:val="hybridMultilevel"/>
    <w:tmpl w:val="5BDC7174"/>
    <w:lvl w:ilvl="0" w:tplc="CF569056">
      <w:start w:val="1"/>
      <w:numFmt w:val="bullet"/>
      <w:lvlText w:val="•"/>
      <w:lvlJc w:val="left"/>
      <w:pPr>
        <w:tabs>
          <w:tab w:val="num" w:pos="720"/>
        </w:tabs>
        <w:ind w:left="720" w:hanging="360"/>
      </w:pPr>
      <w:rPr>
        <w:rFonts w:ascii="Arial" w:hAnsi="Arial" w:hint="default"/>
      </w:rPr>
    </w:lvl>
    <w:lvl w:ilvl="1" w:tplc="AFF6E4C2" w:tentative="1">
      <w:start w:val="1"/>
      <w:numFmt w:val="bullet"/>
      <w:lvlText w:val="•"/>
      <w:lvlJc w:val="left"/>
      <w:pPr>
        <w:tabs>
          <w:tab w:val="num" w:pos="1440"/>
        </w:tabs>
        <w:ind w:left="1440" w:hanging="360"/>
      </w:pPr>
      <w:rPr>
        <w:rFonts w:ascii="Arial" w:hAnsi="Arial" w:hint="default"/>
      </w:rPr>
    </w:lvl>
    <w:lvl w:ilvl="2" w:tplc="77DCBB64" w:tentative="1">
      <w:start w:val="1"/>
      <w:numFmt w:val="bullet"/>
      <w:lvlText w:val="•"/>
      <w:lvlJc w:val="left"/>
      <w:pPr>
        <w:tabs>
          <w:tab w:val="num" w:pos="2160"/>
        </w:tabs>
        <w:ind w:left="2160" w:hanging="360"/>
      </w:pPr>
      <w:rPr>
        <w:rFonts w:ascii="Arial" w:hAnsi="Arial" w:hint="default"/>
      </w:rPr>
    </w:lvl>
    <w:lvl w:ilvl="3" w:tplc="7FDC8FEC" w:tentative="1">
      <w:start w:val="1"/>
      <w:numFmt w:val="bullet"/>
      <w:lvlText w:val="•"/>
      <w:lvlJc w:val="left"/>
      <w:pPr>
        <w:tabs>
          <w:tab w:val="num" w:pos="2880"/>
        </w:tabs>
        <w:ind w:left="2880" w:hanging="360"/>
      </w:pPr>
      <w:rPr>
        <w:rFonts w:ascii="Arial" w:hAnsi="Arial" w:hint="default"/>
      </w:rPr>
    </w:lvl>
    <w:lvl w:ilvl="4" w:tplc="E43A433C" w:tentative="1">
      <w:start w:val="1"/>
      <w:numFmt w:val="bullet"/>
      <w:lvlText w:val="•"/>
      <w:lvlJc w:val="left"/>
      <w:pPr>
        <w:tabs>
          <w:tab w:val="num" w:pos="3600"/>
        </w:tabs>
        <w:ind w:left="3600" w:hanging="360"/>
      </w:pPr>
      <w:rPr>
        <w:rFonts w:ascii="Arial" w:hAnsi="Arial" w:hint="default"/>
      </w:rPr>
    </w:lvl>
    <w:lvl w:ilvl="5" w:tplc="CE54FBBE" w:tentative="1">
      <w:start w:val="1"/>
      <w:numFmt w:val="bullet"/>
      <w:lvlText w:val="•"/>
      <w:lvlJc w:val="left"/>
      <w:pPr>
        <w:tabs>
          <w:tab w:val="num" w:pos="4320"/>
        </w:tabs>
        <w:ind w:left="4320" w:hanging="360"/>
      </w:pPr>
      <w:rPr>
        <w:rFonts w:ascii="Arial" w:hAnsi="Arial" w:hint="default"/>
      </w:rPr>
    </w:lvl>
    <w:lvl w:ilvl="6" w:tplc="2E167446" w:tentative="1">
      <w:start w:val="1"/>
      <w:numFmt w:val="bullet"/>
      <w:lvlText w:val="•"/>
      <w:lvlJc w:val="left"/>
      <w:pPr>
        <w:tabs>
          <w:tab w:val="num" w:pos="5040"/>
        </w:tabs>
        <w:ind w:left="5040" w:hanging="360"/>
      </w:pPr>
      <w:rPr>
        <w:rFonts w:ascii="Arial" w:hAnsi="Arial" w:hint="default"/>
      </w:rPr>
    </w:lvl>
    <w:lvl w:ilvl="7" w:tplc="2034BE9C" w:tentative="1">
      <w:start w:val="1"/>
      <w:numFmt w:val="bullet"/>
      <w:lvlText w:val="•"/>
      <w:lvlJc w:val="left"/>
      <w:pPr>
        <w:tabs>
          <w:tab w:val="num" w:pos="5760"/>
        </w:tabs>
        <w:ind w:left="5760" w:hanging="360"/>
      </w:pPr>
      <w:rPr>
        <w:rFonts w:ascii="Arial" w:hAnsi="Arial" w:hint="default"/>
      </w:rPr>
    </w:lvl>
    <w:lvl w:ilvl="8" w:tplc="F228B3C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28" w15:restartNumberingAfterBreak="0">
    <w:nsid w:val="6FAE23A7"/>
    <w:multiLevelType w:val="singleLevel"/>
    <w:tmpl w:val="BE3C85A2"/>
    <w:lvl w:ilvl="0">
      <w:start w:val="1"/>
      <w:numFmt w:val="upperLetter"/>
      <w:lvlText w:val="%1:"/>
      <w:lvlJc w:val="left"/>
      <w:pPr>
        <w:ind w:left="360" w:hanging="360"/>
      </w:pPr>
      <w:rPr>
        <w:rFonts w:hint="default"/>
        <w:sz w:val="24"/>
        <w:szCs w:val="24"/>
      </w:rPr>
    </w:lvl>
  </w:abstractNum>
  <w:abstractNum w:abstractNumId="29"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91578559">
    <w:abstractNumId w:val="29"/>
  </w:num>
  <w:num w:numId="2" w16cid:durableId="1695494793">
    <w:abstractNumId w:val="10"/>
  </w:num>
  <w:num w:numId="3" w16cid:durableId="837967731">
    <w:abstractNumId w:val="27"/>
  </w:num>
  <w:num w:numId="4" w16cid:durableId="503016937">
    <w:abstractNumId w:val="23"/>
  </w:num>
  <w:num w:numId="5" w16cid:durableId="1193498152">
    <w:abstractNumId w:val="15"/>
  </w:num>
  <w:num w:numId="6" w16cid:durableId="741562954">
    <w:abstractNumId w:val="14"/>
  </w:num>
  <w:num w:numId="7" w16cid:durableId="328093727">
    <w:abstractNumId w:val="22"/>
  </w:num>
  <w:num w:numId="8" w16cid:durableId="904608017">
    <w:abstractNumId w:val="13"/>
  </w:num>
  <w:num w:numId="9" w16cid:durableId="1636716221">
    <w:abstractNumId w:val="12"/>
  </w:num>
  <w:num w:numId="10" w16cid:durableId="421340098">
    <w:abstractNumId w:val="28"/>
  </w:num>
  <w:num w:numId="11" w16cid:durableId="1563101622">
    <w:abstractNumId w:val="22"/>
  </w:num>
  <w:num w:numId="12" w16cid:durableId="13025422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4651029">
    <w:abstractNumId w:val="17"/>
  </w:num>
  <w:num w:numId="14" w16cid:durableId="1320034301">
    <w:abstractNumId w:val="21"/>
  </w:num>
  <w:num w:numId="15" w16cid:durableId="1245845613">
    <w:abstractNumId w:val="25"/>
  </w:num>
  <w:num w:numId="16" w16cid:durableId="1246299485">
    <w:abstractNumId w:val="22"/>
  </w:num>
  <w:num w:numId="17" w16cid:durableId="7854682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9692334">
    <w:abstractNumId w:val="22"/>
  </w:num>
  <w:num w:numId="19" w16cid:durableId="1540781966">
    <w:abstractNumId w:val="18"/>
  </w:num>
  <w:num w:numId="20" w16cid:durableId="1116951293">
    <w:abstractNumId w:val="22"/>
  </w:num>
  <w:num w:numId="21" w16cid:durableId="1883251262">
    <w:abstractNumId w:val="20"/>
  </w:num>
  <w:num w:numId="22" w16cid:durableId="192231740">
    <w:abstractNumId w:val="16"/>
  </w:num>
  <w:num w:numId="23" w16cid:durableId="772290083">
    <w:abstractNumId w:val="11"/>
  </w:num>
  <w:num w:numId="24" w16cid:durableId="1653481782">
    <w:abstractNumId w:val="22"/>
  </w:num>
  <w:num w:numId="25" w16cid:durableId="15009975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6917405">
    <w:abstractNumId w:val="8"/>
  </w:num>
  <w:num w:numId="27" w16cid:durableId="1525173352">
    <w:abstractNumId w:val="19"/>
  </w:num>
  <w:num w:numId="28" w16cid:durableId="11915322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43293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8727208">
    <w:abstractNumId w:val="22"/>
  </w:num>
  <w:num w:numId="31" w16cid:durableId="3751991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214557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40651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59543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912623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339102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364114">
    <w:abstractNumId w:val="0"/>
  </w:num>
  <w:num w:numId="38" w16cid:durableId="1485665366">
    <w:abstractNumId w:val="1"/>
  </w:num>
  <w:num w:numId="39" w16cid:durableId="1159468229">
    <w:abstractNumId w:val="4"/>
  </w:num>
  <w:num w:numId="40" w16cid:durableId="126556623">
    <w:abstractNumId w:val="5"/>
  </w:num>
  <w:num w:numId="41" w16cid:durableId="498614628">
    <w:abstractNumId w:val="6"/>
  </w:num>
  <w:num w:numId="42" w16cid:durableId="1899632683">
    <w:abstractNumId w:val="9"/>
  </w:num>
  <w:num w:numId="43" w16cid:durableId="309598067">
    <w:abstractNumId w:val="7"/>
  </w:num>
  <w:num w:numId="44" w16cid:durableId="694695995">
    <w:abstractNumId w:val="3"/>
  </w:num>
  <w:num w:numId="45" w16cid:durableId="1598707838">
    <w:abstractNumId w:val="2"/>
  </w:num>
  <w:num w:numId="46" w16cid:durableId="654920052">
    <w:abstractNumId w:val="26"/>
  </w:num>
  <w:num w:numId="47" w16cid:durableId="37901330">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TableGridLight"/>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1E"/>
    <w:rsid w:val="000001A1"/>
    <w:rsid w:val="00002287"/>
    <w:rsid w:val="000032A0"/>
    <w:rsid w:val="00007DE1"/>
    <w:rsid w:val="000131EE"/>
    <w:rsid w:val="00027643"/>
    <w:rsid w:val="00046798"/>
    <w:rsid w:val="000514BD"/>
    <w:rsid w:val="0005181B"/>
    <w:rsid w:val="0005366D"/>
    <w:rsid w:val="00055589"/>
    <w:rsid w:val="000613B1"/>
    <w:rsid w:val="00071327"/>
    <w:rsid w:val="0007759E"/>
    <w:rsid w:val="00081166"/>
    <w:rsid w:val="000811A3"/>
    <w:rsid w:val="00081F58"/>
    <w:rsid w:val="00082E59"/>
    <w:rsid w:val="00090D27"/>
    <w:rsid w:val="00091B06"/>
    <w:rsid w:val="000A048E"/>
    <w:rsid w:val="000A0A47"/>
    <w:rsid w:val="000A545D"/>
    <w:rsid w:val="000C1C6B"/>
    <w:rsid w:val="000C66E5"/>
    <w:rsid w:val="000D06D9"/>
    <w:rsid w:val="000D0B34"/>
    <w:rsid w:val="000D0DF9"/>
    <w:rsid w:val="000D1751"/>
    <w:rsid w:val="000D62DA"/>
    <w:rsid w:val="000D6789"/>
    <w:rsid w:val="000E1E4F"/>
    <w:rsid w:val="000E5C12"/>
    <w:rsid w:val="000F4D94"/>
    <w:rsid w:val="000F55E7"/>
    <w:rsid w:val="00105C5F"/>
    <w:rsid w:val="00114BA0"/>
    <w:rsid w:val="0013156A"/>
    <w:rsid w:val="001316EC"/>
    <w:rsid w:val="0013454F"/>
    <w:rsid w:val="001345C9"/>
    <w:rsid w:val="0013463C"/>
    <w:rsid w:val="0014182C"/>
    <w:rsid w:val="00142D08"/>
    <w:rsid w:val="00142E0B"/>
    <w:rsid w:val="001467BC"/>
    <w:rsid w:val="00146875"/>
    <w:rsid w:val="00156132"/>
    <w:rsid w:val="0015695F"/>
    <w:rsid w:val="0017077A"/>
    <w:rsid w:val="00170D66"/>
    <w:rsid w:val="00170DC6"/>
    <w:rsid w:val="0017351A"/>
    <w:rsid w:val="001776E2"/>
    <w:rsid w:val="001827C2"/>
    <w:rsid w:val="00186E6F"/>
    <w:rsid w:val="00191CC7"/>
    <w:rsid w:val="00197857"/>
    <w:rsid w:val="001A6007"/>
    <w:rsid w:val="001C0255"/>
    <w:rsid w:val="001C0F11"/>
    <w:rsid w:val="001C1ABF"/>
    <w:rsid w:val="001E434A"/>
    <w:rsid w:val="001F2A15"/>
    <w:rsid w:val="00204E35"/>
    <w:rsid w:val="0021103E"/>
    <w:rsid w:val="00221662"/>
    <w:rsid w:val="00222CB5"/>
    <w:rsid w:val="00223EBF"/>
    <w:rsid w:val="00226F53"/>
    <w:rsid w:val="00230C4C"/>
    <w:rsid w:val="00230F46"/>
    <w:rsid w:val="00231A97"/>
    <w:rsid w:val="0023381A"/>
    <w:rsid w:val="00233A50"/>
    <w:rsid w:val="00234238"/>
    <w:rsid w:val="00234917"/>
    <w:rsid w:val="00250CB7"/>
    <w:rsid w:val="002561B9"/>
    <w:rsid w:val="00272B0B"/>
    <w:rsid w:val="00272CBB"/>
    <w:rsid w:val="00280050"/>
    <w:rsid w:val="002857D6"/>
    <w:rsid w:val="00296907"/>
    <w:rsid w:val="002A5A1E"/>
    <w:rsid w:val="002A7384"/>
    <w:rsid w:val="002B41C1"/>
    <w:rsid w:val="002B4251"/>
    <w:rsid w:val="002C07A5"/>
    <w:rsid w:val="002C086E"/>
    <w:rsid w:val="002C481A"/>
    <w:rsid w:val="002C5D57"/>
    <w:rsid w:val="002C6C13"/>
    <w:rsid w:val="002D3EC0"/>
    <w:rsid w:val="002E177E"/>
    <w:rsid w:val="002E351B"/>
    <w:rsid w:val="002E4CCA"/>
    <w:rsid w:val="002E5A71"/>
    <w:rsid w:val="002E712A"/>
    <w:rsid w:val="002F0C90"/>
    <w:rsid w:val="00303D1F"/>
    <w:rsid w:val="00311341"/>
    <w:rsid w:val="0032356E"/>
    <w:rsid w:val="00323A24"/>
    <w:rsid w:val="003268F7"/>
    <w:rsid w:val="00334F52"/>
    <w:rsid w:val="00335559"/>
    <w:rsid w:val="00347E33"/>
    <w:rsid w:val="0035128A"/>
    <w:rsid w:val="003522E8"/>
    <w:rsid w:val="00352BB1"/>
    <w:rsid w:val="00361A48"/>
    <w:rsid w:val="0036565C"/>
    <w:rsid w:val="00371808"/>
    <w:rsid w:val="00374588"/>
    <w:rsid w:val="00374903"/>
    <w:rsid w:val="00374D93"/>
    <w:rsid w:val="00376A5A"/>
    <w:rsid w:val="00384EC2"/>
    <w:rsid w:val="00392E3E"/>
    <w:rsid w:val="0039416C"/>
    <w:rsid w:val="00396323"/>
    <w:rsid w:val="003A06E6"/>
    <w:rsid w:val="003A39E1"/>
    <w:rsid w:val="003A39FE"/>
    <w:rsid w:val="003A6733"/>
    <w:rsid w:val="003A7927"/>
    <w:rsid w:val="003A7B06"/>
    <w:rsid w:val="003B10AF"/>
    <w:rsid w:val="003B3811"/>
    <w:rsid w:val="003B3A01"/>
    <w:rsid w:val="003B523D"/>
    <w:rsid w:val="003B64C4"/>
    <w:rsid w:val="003B7B80"/>
    <w:rsid w:val="003C464C"/>
    <w:rsid w:val="003C5491"/>
    <w:rsid w:val="003D32AF"/>
    <w:rsid w:val="003D4686"/>
    <w:rsid w:val="003D63BD"/>
    <w:rsid w:val="003D6EDB"/>
    <w:rsid w:val="003D7A59"/>
    <w:rsid w:val="003F5D2E"/>
    <w:rsid w:val="003F7DA8"/>
    <w:rsid w:val="00402EF9"/>
    <w:rsid w:val="004036BC"/>
    <w:rsid w:val="00406DCC"/>
    <w:rsid w:val="00407D3B"/>
    <w:rsid w:val="004101E6"/>
    <w:rsid w:val="004111F5"/>
    <w:rsid w:val="00412531"/>
    <w:rsid w:val="0041656D"/>
    <w:rsid w:val="004201BD"/>
    <w:rsid w:val="00430C98"/>
    <w:rsid w:val="00435004"/>
    <w:rsid w:val="00447D96"/>
    <w:rsid w:val="00455651"/>
    <w:rsid w:val="00460B80"/>
    <w:rsid w:val="00463BE8"/>
    <w:rsid w:val="0046437D"/>
    <w:rsid w:val="0046450A"/>
    <w:rsid w:val="00473F5B"/>
    <w:rsid w:val="00474D5B"/>
    <w:rsid w:val="00490047"/>
    <w:rsid w:val="00492AE6"/>
    <w:rsid w:val="004A3264"/>
    <w:rsid w:val="004B05C1"/>
    <w:rsid w:val="004B6AB8"/>
    <w:rsid w:val="004C2235"/>
    <w:rsid w:val="004C4A25"/>
    <w:rsid w:val="004C561D"/>
    <w:rsid w:val="004D00AF"/>
    <w:rsid w:val="004D5646"/>
    <w:rsid w:val="004D7688"/>
    <w:rsid w:val="004E09A7"/>
    <w:rsid w:val="004E2305"/>
    <w:rsid w:val="004E30CC"/>
    <w:rsid w:val="004E6B6D"/>
    <w:rsid w:val="004E7BFE"/>
    <w:rsid w:val="004F33A8"/>
    <w:rsid w:val="004F4AA6"/>
    <w:rsid w:val="004F4B86"/>
    <w:rsid w:val="004F560A"/>
    <w:rsid w:val="004F5BB5"/>
    <w:rsid w:val="00502127"/>
    <w:rsid w:val="00503E62"/>
    <w:rsid w:val="00503EDD"/>
    <w:rsid w:val="005102AB"/>
    <w:rsid w:val="00510BCE"/>
    <w:rsid w:val="00522D98"/>
    <w:rsid w:val="005268BF"/>
    <w:rsid w:val="005278D2"/>
    <w:rsid w:val="005359F0"/>
    <w:rsid w:val="0053628B"/>
    <w:rsid w:val="00545945"/>
    <w:rsid w:val="0055136D"/>
    <w:rsid w:val="005611DF"/>
    <w:rsid w:val="00564FB9"/>
    <w:rsid w:val="00567A92"/>
    <w:rsid w:val="00570643"/>
    <w:rsid w:val="0057289E"/>
    <w:rsid w:val="00584DDB"/>
    <w:rsid w:val="00585FD1"/>
    <w:rsid w:val="00586BD3"/>
    <w:rsid w:val="00587CF7"/>
    <w:rsid w:val="0059001F"/>
    <w:rsid w:val="005B18FD"/>
    <w:rsid w:val="005B2F67"/>
    <w:rsid w:val="005B6E13"/>
    <w:rsid w:val="005C5D99"/>
    <w:rsid w:val="005E0E9E"/>
    <w:rsid w:val="005E2A4B"/>
    <w:rsid w:val="005E3025"/>
    <w:rsid w:val="005E3F3F"/>
    <w:rsid w:val="005F0B50"/>
    <w:rsid w:val="005F2369"/>
    <w:rsid w:val="005F4732"/>
    <w:rsid w:val="00606C45"/>
    <w:rsid w:val="006135FF"/>
    <w:rsid w:val="00617D03"/>
    <w:rsid w:val="00617D67"/>
    <w:rsid w:val="00622053"/>
    <w:rsid w:val="006221F2"/>
    <w:rsid w:val="00625BF6"/>
    <w:rsid w:val="006308C9"/>
    <w:rsid w:val="006318A8"/>
    <w:rsid w:val="006413FA"/>
    <w:rsid w:val="0065066C"/>
    <w:rsid w:val="00653283"/>
    <w:rsid w:val="006537FD"/>
    <w:rsid w:val="0065411A"/>
    <w:rsid w:val="00656C46"/>
    <w:rsid w:val="00656F47"/>
    <w:rsid w:val="00661884"/>
    <w:rsid w:val="00661C53"/>
    <w:rsid w:val="0066217F"/>
    <w:rsid w:val="0066305B"/>
    <w:rsid w:val="006701E1"/>
    <w:rsid w:val="006704D1"/>
    <w:rsid w:val="00672A68"/>
    <w:rsid w:val="00686F17"/>
    <w:rsid w:val="00690360"/>
    <w:rsid w:val="00692AF2"/>
    <w:rsid w:val="00695108"/>
    <w:rsid w:val="006A6E80"/>
    <w:rsid w:val="006B2B83"/>
    <w:rsid w:val="006C7649"/>
    <w:rsid w:val="006D01B3"/>
    <w:rsid w:val="006D0B90"/>
    <w:rsid w:val="006E0EC3"/>
    <w:rsid w:val="006E2B5F"/>
    <w:rsid w:val="006E7B4A"/>
    <w:rsid w:val="006F3470"/>
    <w:rsid w:val="006F5E69"/>
    <w:rsid w:val="00702411"/>
    <w:rsid w:val="00710673"/>
    <w:rsid w:val="00723BDE"/>
    <w:rsid w:val="00725B2A"/>
    <w:rsid w:val="00726031"/>
    <w:rsid w:val="007318A8"/>
    <w:rsid w:val="00736ACC"/>
    <w:rsid w:val="007421F4"/>
    <w:rsid w:val="00743ABB"/>
    <w:rsid w:val="00743F99"/>
    <w:rsid w:val="007440F7"/>
    <w:rsid w:val="0074454B"/>
    <w:rsid w:val="0076113A"/>
    <w:rsid w:val="007623D7"/>
    <w:rsid w:val="00770DD9"/>
    <w:rsid w:val="00774B4C"/>
    <w:rsid w:val="0077560D"/>
    <w:rsid w:val="00780DA9"/>
    <w:rsid w:val="00783454"/>
    <w:rsid w:val="00787A51"/>
    <w:rsid w:val="00792822"/>
    <w:rsid w:val="007935B6"/>
    <w:rsid w:val="00794F8E"/>
    <w:rsid w:val="007966A3"/>
    <w:rsid w:val="007A1E2C"/>
    <w:rsid w:val="007A29DB"/>
    <w:rsid w:val="007B381A"/>
    <w:rsid w:val="007B47EF"/>
    <w:rsid w:val="007B5225"/>
    <w:rsid w:val="007C3F00"/>
    <w:rsid w:val="007C67CA"/>
    <w:rsid w:val="007D076D"/>
    <w:rsid w:val="007D41E5"/>
    <w:rsid w:val="007E0334"/>
    <w:rsid w:val="007E17AB"/>
    <w:rsid w:val="007E57F2"/>
    <w:rsid w:val="007E60B7"/>
    <w:rsid w:val="007F10C1"/>
    <w:rsid w:val="007F220F"/>
    <w:rsid w:val="008015ED"/>
    <w:rsid w:val="0080319E"/>
    <w:rsid w:val="00804115"/>
    <w:rsid w:val="0080536E"/>
    <w:rsid w:val="008142C7"/>
    <w:rsid w:val="00825EBF"/>
    <w:rsid w:val="0082712F"/>
    <w:rsid w:val="00834088"/>
    <w:rsid w:val="00837020"/>
    <w:rsid w:val="00841CF8"/>
    <w:rsid w:val="00843C1C"/>
    <w:rsid w:val="00852318"/>
    <w:rsid w:val="008535A6"/>
    <w:rsid w:val="00854106"/>
    <w:rsid w:val="008557E4"/>
    <w:rsid w:val="008567A3"/>
    <w:rsid w:val="00861326"/>
    <w:rsid w:val="00865F75"/>
    <w:rsid w:val="00866D50"/>
    <w:rsid w:val="00867137"/>
    <w:rsid w:val="00871777"/>
    <w:rsid w:val="0087312F"/>
    <w:rsid w:val="00876FEF"/>
    <w:rsid w:val="008773E5"/>
    <w:rsid w:val="00892B80"/>
    <w:rsid w:val="008A0665"/>
    <w:rsid w:val="008A2AB3"/>
    <w:rsid w:val="008A6BDC"/>
    <w:rsid w:val="008A7636"/>
    <w:rsid w:val="008B1BA2"/>
    <w:rsid w:val="008B7664"/>
    <w:rsid w:val="008B7E56"/>
    <w:rsid w:val="008C182C"/>
    <w:rsid w:val="008C3DEE"/>
    <w:rsid w:val="008D20CB"/>
    <w:rsid w:val="008D5099"/>
    <w:rsid w:val="008D5EF9"/>
    <w:rsid w:val="008E1935"/>
    <w:rsid w:val="008F1E81"/>
    <w:rsid w:val="008F202F"/>
    <w:rsid w:val="008F224C"/>
    <w:rsid w:val="008F3F34"/>
    <w:rsid w:val="00901597"/>
    <w:rsid w:val="009045AB"/>
    <w:rsid w:val="00905566"/>
    <w:rsid w:val="009067DC"/>
    <w:rsid w:val="009114B8"/>
    <w:rsid w:val="009125C0"/>
    <w:rsid w:val="00923DF7"/>
    <w:rsid w:val="0093159F"/>
    <w:rsid w:val="009427AA"/>
    <w:rsid w:val="00951AD8"/>
    <w:rsid w:val="00951EB3"/>
    <w:rsid w:val="0097075D"/>
    <w:rsid w:val="00971D28"/>
    <w:rsid w:val="00985678"/>
    <w:rsid w:val="00990617"/>
    <w:rsid w:val="00990DBB"/>
    <w:rsid w:val="00994A4F"/>
    <w:rsid w:val="00994C1F"/>
    <w:rsid w:val="009978BD"/>
    <w:rsid w:val="009A412F"/>
    <w:rsid w:val="009A650D"/>
    <w:rsid w:val="009A74DE"/>
    <w:rsid w:val="009C3510"/>
    <w:rsid w:val="009C47DF"/>
    <w:rsid w:val="009C7029"/>
    <w:rsid w:val="009D1809"/>
    <w:rsid w:val="009D602D"/>
    <w:rsid w:val="009E078F"/>
    <w:rsid w:val="009E2969"/>
    <w:rsid w:val="009E2D71"/>
    <w:rsid w:val="009E4C07"/>
    <w:rsid w:val="009F0367"/>
    <w:rsid w:val="009F140E"/>
    <w:rsid w:val="00A0033E"/>
    <w:rsid w:val="00A0041E"/>
    <w:rsid w:val="00A01A7C"/>
    <w:rsid w:val="00A02D2E"/>
    <w:rsid w:val="00A1160B"/>
    <w:rsid w:val="00A122AB"/>
    <w:rsid w:val="00A2526F"/>
    <w:rsid w:val="00A26C2C"/>
    <w:rsid w:val="00A27E49"/>
    <w:rsid w:val="00A32892"/>
    <w:rsid w:val="00A4261E"/>
    <w:rsid w:val="00A645E5"/>
    <w:rsid w:val="00A648C8"/>
    <w:rsid w:val="00A65AB3"/>
    <w:rsid w:val="00A66860"/>
    <w:rsid w:val="00A72F55"/>
    <w:rsid w:val="00A74736"/>
    <w:rsid w:val="00A74C3E"/>
    <w:rsid w:val="00A74C64"/>
    <w:rsid w:val="00A879DC"/>
    <w:rsid w:val="00A87B87"/>
    <w:rsid w:val="00A94BCC"/>
    <w:rsid w:val="00AA2167"/>
    <w:rsid w:val="00AA3CE9"/>
    <w:rsid w:val="00AA7CB2"/>
    <w:rsid w:val="00AB3BEE"/>
    <w:rsid w:val="00AB7AE2"/>
    <w:rsid w:val="00AC0B97"/>
    <w:rsid w:val="00AC4678"/>
    <w:rsid w:val="00AD639E"/>
    <w:rsid w:val="00AF0C17"/>
    <w:rsid w:val="00AF49AB"/>
    <w:rsid w:val="00AF63BF"/>
    <w:rsid w:val="00B00DE4"/>
    <w:rsid w:val="00B1156A"/>
    <w:rsid w:val="00B115A2"/>
    <w:rsid w:val="00B12041"/>
    <w:rsid w:val="00B244EC"/>
    <w:rsid w:val="00B25458"/>
    <w:rsid w:val="00B26CA9"/>
    <w:rsid w:val="00B32316"/>
    <w:rsid w:val="00B43D03"/>
    <w:rsid w:val="00B478DE"/>
    <w:rsid w:val="00B51968"/>
    <w:rsid w:val="00B51E7D"/>
    <w:rsid w:val="00B534BB"/>
    <w:rsid w:val="00B62B0C"/>
    <w:rsid w:val="00B66CF4"/>
    <w:rsid w:val="00B66E4C"/>
    <w:rsid w:val="00B7143B"/>
    <w:rsid w:val="00B86445"/>
    <w:rsid w:val="00B86AEC"/>
    <w:rsid w:val="00B924B6"/>
    <w:rsid w:val="00BA0F24"/>
    <w:rsid w:val="00BA1C1B"/>
    <w:rsid w:val="00BA7881"/>
    <w:rsid w:val="00BB235C"/>
    <w:rsid w:val="00BC31CE"/>
    <w:rsid w:val="00BC5280"/>
    <w:rsid w:val="00BC52E2"/>
    <w:rsid w:val="00BD1CAC"/>
    <w:rsid w:val="00BD5734"/>
    <w:rsid w:val="00BD586E"/>
    <w:rsid w:val="00BE4EC2"/>
    <w:rsid w:val="00BE74BB"/>
    <w:rsid w:val="00BE76F0"/>
    <w:rsid w:val="00BF237F"/>
    <w:rsid w:val="00BF7140"/>
    <w:rsid w:val="00BF7940"/>
    <w:rsid w:val="00C0103F"/>
    <w:rsid w:val="00C118DE"/>
    <w:rsid w:val="00C2061E"/>
    <w:rsid w:val="00C27B9F"/>
    <w:rsid w:val="00C31E8E"/>
    <w:rsid w:val="00C322D8"/>
    <w:rsid w:val="00C33FDA"/>
    <w:rsid w:val="00C42C02"/>
    <w:rsid w:val="00C455A2"/>
    <w:rsid w:val="00C4688F"/>
    <w:rsid w:val="00C47057"/>
    <w:rsid w:val="00C50A47"/>
    <w:rsid w:val="00C548FA"/>
    <w:rsid w:val="00C5495A"/>
    <w:rsid w:val="00C56A2A"/>
    <w:rsid w:val="00C65F8C"/>
    <w:rsid w:val="00C721EA"/>
    <w:rsid w:val="00C73622"/>
    <w:rsid w:val="00C77664"/>
    <w:rsid w:val="00C827DA"/>
    <w:rsid w:val="00C82C04"/>
    <w:rsid w:val="00C83D74"/>
    <w:rsid w:val="00C94BF5"/>
    <w:rsid w:val="00C97CFE"/>
    <w:rsid w:val="00CA1834"/>
    <w:rsid w:val="00CA62BF"/>
    <w:rsid w:val="00CB4316"/>
    <w:rsid w:val="00CC0D65"/>
    <w:rsid w:val="00CC19F8"/>
    <w:rsid w:val="00CC44C7"/>
    <w:rsid w:val="00CC76D5"/>
    <w:rsid w:val="00CC7983"/>
    <w:rsid w:val="00CD12E6"/>
    <w:rsid w:val="00CD346C"/>
    <w:rsid w:val="00CD3921"/>
    <w:rsid w:val="00CE1ED6"/>
    <w:rsid w:val="00CF2F22"/>
    <w:rsid w:val="00CF7A50"/>
    <w:rsid w:val="00D0112D"/>
    <w:rsid w:val="00D02834"/>
    <w:rsid w:val="00D0672A"/>
    <w:rsid w:val="00D06B94"/>
    <w:rsid w:val="00D167D0"/>
    <w:rsid w:val="00D20DD3"/>
    <w:rsid w:val="00D235BB"/>
    <w:rsid w:val="00D3516F"/>
    <w:rsid w:val="00D37335"/>
    <w:rsid w:val="00D446A8"/>
    <w:rsid w:val="00D50C76"/>
    <w:rsid w:val="00D53A16"/>
    <w:rsid w:val="00D544D1"/>
    <w:rsid w:val="00D55F96"/>
    <w:rsid w:val="00D57125"/>
    <w:rsid w:val="00D57408"/>
    <w:rsid w:val="00D624A3"/>
    <w:rsid w:val="00D62612"/>
    <w:rsid w:val="00D62F55"/>
    <w:rsid w:val="00D65A2F"/>
    <w:rsid w:val="00D76CD4"/>
    <w:rsid w:val="00D77587"/>
    <w:rsid w:val="00D775D1"/>
    <w:rsid w:val="00D80621"/>
    <w:rsid w:val="00D807FA"/>
    <w:rsid w:val="00D82E42"/>
    <w:rsid w:val="00DA3699"/>
    <w:rsid w:val="00DA39B7"/>
    <w:rsid w:val="00DA3B85"/>
    <w:rsid w:val="00DA7B5C"/>
    <w:rsid w:val="00DB4BB7"/>
    <w:rsid w:val="00DC6237"/>
    <w:rsid w:val="00DD3E75"/>
    <w:rsid w:val="00DE06C0"/>
    <w:rsid w:val="00DF1CCF"/>
    <w:rsid w:val="00DF2153"/>
    <w:rsid w:val="00DF7D36"/>
    <w:rsid w:val="00E000B9"/>
    <w:rsid w:val="00E01629"/>
    <w:rsid w:val="00E01EA0"/>
    <w:rsid w:val="00E04993"/>
    <w:rsid w:val="00E14509"/>
    <w:rsid w:val="00E200CC"/>
    <w:rsid w:val="00E20D61"/>
    <w:rsid w:val="00E2229D"/>
    <w:rsid w:val="00E3588F"/>
    <w:rsid w:val="00E37723"/>
    <w:rsid w:val="00E41A78"/>
    <w:rsid w:val="00E4728C"/>
    <w:rsid w:val="00E51BFA"/>
    <w:rsid w:val="00E56ACF"/>
    <w:rsid w:val="00E73825"/>
    <w:rsid w:val="00E75161"/>
    <w:rsid w:val="00E77B8C"/>
    <w:rsid w:val="00E87F1A"/>
    <w:rsid w:val="00E97A4A"/>
    <w:rsid w:val="00EA33BD"/>
    <w:rsid w:val="00EC1817"/>
    <w:rsid w:val="00EC5BF0"/>
    <w:rsid w:val="00ED1B2C"/>
    <w:rsid w:val="00ED30D0"/>
    <w:rsid w:val="00ED327E"/>
    <w:rsid w:val="00ED498D"/>
    <w:rsid w:val="00EE3B11"/>
    <w:rsid w:val="00EF191F"/>
    <w:rsid w:val="00EF336C"/>
    <w:rsid w:val="00F01162"/>
    <w:rsid w:val="00F01AEB"/>
    <w:rsid w:val="00F1542C"/>
    <w:rsid w:val="00F20134"/>
    <w:rsid w:val="00F23F93"/>
    <w:rsid w:val="00F246C1"/>
    <w:rsid w:val="00F256D8"/>
    <w:rsid w:val="00F267AC"/>
    <w:rsid w:val="00F26CA8"/>
    <w:rsid w:val="00F3130F"/>
    <w:rsid w:val="00F33200"/>
    <w:rsid w:val="00F33452"/>
    <w:rsid w:val="00F40AD4"/>
    <w:rsid w:val="00F46856"/>
    <w:rsid w:val="00F47020"/>
    <w:rsid w:val="00F54AA6"/>
    <w:rsid w:val="00F54E62"/>
    <w:rsid w:val="00F56549"/>
    <w:rsid w:val="00F70602"/>
    <w:rsid w:val="00F8107D"/>
    <w:rsid w:val="00F81F21"/>
    <w:rsid w:val="00F92297"/>
    <w:rsid w:val="00F93899"/>
    <w:rsid w:val="00F94D44"/>
    <w:rsid w:val="00FA0421"/>
    <w:rsid w:val="00FA05FE"/>
    <w:rsid w:val="00FA5CD7"/>
    <w:rsid w:val="00FA69DC"/>
    <w:rsid w:val="00FB0DE5"/>
    <w:rsid w:val="00FC2697"/>
    <w:rsid w:val="00FD1C48"/>
    <w:rsid w:val="00FD2E1F"/>
    <w:rsid w:val="00FD3D22"/>
    <w:rsid w:val="00FD467B"/>
    <w:rsid w:val="00FE0C2F"/>
    <w:rsid w:val="00FE1267"/>
    <w:rsid w:val="00FE21E0"/>
    <w:rsid w:val="00FE2603"/>
    <w:rsid w:val="00FF0F0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87BA"/>
  <w15:docId w15:val="{482308D9-A3C2-4A9A-BD60-DA3EC8B4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D9"/>
    <w:pPr>
      <w:spacing w:after="200"/>
    </w:pPr>
    <w:rPr>
      <w:rFonts w:ascii="Verdana" w:hAnsi="Verdana"/>
      <w:sz w:val="20"/>
      <w:lang w:eastAsia="en-US"/>
    </w:rPr>
  </w:style>
  <w:style w:type="paragraph" w:styleId="Heading1">
    <w:name w:val="heading 1"/>
    <w:basedOn w:val="Normal"/>
    <w:next w:val="Normal"/>
    <w:link w:val="Heading1Char"/>
    <w:uiPriority w:val="9"/>
    <w:qFormat/>
    <w:rsid w:val="00DF2153"/>
    <w:pPr>
      <w:pageBreakBefore/>
      <w:tabs>
        <w:tab w:val="center" w:pos="4513"/>
        <w:tab w:val="right" w:pos="9026"/>
      </w:tabs>
      <w:spacing w:after="480"/>
      <w:outlineLvl w:val="0"/>
    </w:pPr>
    <w:rPr>
      <w:b/>
      <w:color w:val="4C6968" w:themeColor="text1"/>
      <w:sz w:val="50"/>
      <w:szCs w:val="24"/>
    </w:rPr>
  </w:style>
  <w:style w:type="paragraph" w:styleId="Heading2">
    <w:name w:val="heading 2"/>
    <w:basedOn w:val="Normal"/>
    <w:next w:val="Normal"/>
    <w:link w:val="Heading2Char"/>
    <w:uiPriority w:val="9"/>
    <w:qFormat/>
    <w:rsid w:val="003268F7"/>
    <w:pPr>
      <w:keepNext/>
      <w:spacing w:before="360" w:after="240"/>
      <w:outlineLvl w:val="1"/>
    </w:pPr>
    <w:rPr>
      <w:b/>
      <w:color w:val="48555E" w:themeColor="text2"/>
      <w:sz w:val="32"/>
      <w:szCs w:val="20"/>
    </w:rPr>
  </w:style>
  <w:style w:type="paragraph" w:styleId="Heading3">
    <w:name w:val="heading 3"/>
    <w:basedOn w:val="Normal"/>
    <w:next w:val="Normal"/>
    <w:link w:val="Heading3Char"/>
    <w:uiPriority w:val="9"/>
    <w:qFormat/>
    <w:rsid w:val="003268F7"/>
    <w:pPr>
      <w:keepNext/>
      <w:spacing w:before="120" w:after="120"/>
      <w:outlineLvl w:val="2"/>
    </w:pPr>
    <w:rPr>
      <w:rFonts w:cs="Arial"/>
      <w:b/>
      <w:color w:val="48555E" w:themeColor="text2"/>
      <w:sz w:val="26"/>
    </w:rPr>
  </w:style>
  <w:style w:type="paragraph" w:styleId="Heading4">
    <w:name w:val="heading 4"/>
    <w:basedOn w:val="Normal"/>
    <w:next w:val="Normal"/>
    <w:link w:val="Heading4Char"/>
    <w:uiPriority w:val="9"/>
    <w:qFormat/>
    <w:rsid w:val="003268F7"/>
    <w:pPr>
      <w:keepNext/>
      <w:spacing w:before="120"/>
      <w:outlineLvl w:val="3"/>
    </w:pPr>
    <w:rPr>
      <w:rFonts w:cs="Arial"/>
      <w:sz w:val="22"/>
    </w:rPr>
  </w:style>
  <w:style w:type="paragraph" w:styleId="Heading5">
    <w:name w:val="heading 5"/>
    <w:basedOn w:val="Normal"/>
    <w:next w:val="Normal"/>
    <w:link w:val="Heading5Char"/>
    <w:uiPriority w:val="9"/>
    <w:unhideWhenUsed/>
    <w:rsid w:val="008015ED"/>
    <w:pPr>
      <w:keepNext/>
      <w:keepLines/>
      <w:spacing w:before="40" w:after="240"/>
      <w:outlineLvl w:val="4"/>
    </w:pPr>
    <w:rPr>
      <w:rFonts w:eastAsiaTheme="majorEastAsia" w:cstheme="majorBidi"/>
      <w:i/>
      <w:color w:val="4C6968"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rsid w:val="00CA62BF"/>
    <w:rPr>
      <w:b/>
      <w:color w:val="4C6968" w:themeColor="text1"/>
      <w:sz w:val="24"/>
    </w:rPr>
  </w:style>
  <w:style w:type="character" w:customStyle="1" w:styleId="DateChar">
    <w:name w:val="Date Char"/>
    <w:basedOn w:val="DefaultParagraphFont"/>
    <w:link w:val="Date"/>
    <w:uiPriority w:val="99"/>
    <w:rsid w:val="00CA62BF"/>
    <w:rPr>
      <w:rFonts w:ascii="Verdana" w:hAnsi="Verdana"/>
      <w:b/>
      <w:color w:val="4C6968" w:themeColor="text1"/>
      <w:sz w:val="24"/>
      <w:lang w:eastAsia="en-US"/>
    </w:rPr>
  </w:style>
  <w:style w:type="paragraph" w:styleId="Footer">
    <w:name w:val="footer"/>
    <w:basedOn w:val="Normal"/>
    <w:link w:val="FooterChar"/>
    <w:uiPriority w:val="99"/>
    <w:unhideWhenUsed/>
    <w:rsid w:val="00DE06C0"/>
    <w:pPr>
      <w:tabs>
        <w:tab w:val="center" w:pos="4513"/>
        <w:tab w:val="right" w:pos="9026"/>
      </w:tabs>
      <w:spacing w:after="0"/>
    </w:pPr>
    <w:rPr>
      <w:sz w:val="16"/>
    </w:rPr>
  </w:style>
  <w:style w:type="character" w:customStyle="1" w:styleId="FooterChar">
    <w:name w:val="Footer Char"/>
    <w:basedOn w:val="DefaultParagraphFont"/>
    <w:link w:val="Footer"/>
    <w:uiPriority w:val="99"/>
    <w:rsid w:val="00DE06C0"/>
    <w:rPr>
      <w:rFonts w:ascii="Verdana" w:hAnsi="Verdana"/>
      <w:sz w:val="16"/>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KeyPoints">
    <w:name w:val="Key Points"/>
    <w:basedOn w:val="NoList"/>
    <w:uiPriority w:val="99"/>
    <w:pPr>
      <w:numPr>
        <w:numId w:val="1"/>
      </w:numPr>
    </w:pPr>
  </w:style>
  <w:style w:type="paragraph" w:customStyle="1" w:styleId="1NumberedPointsStyle">
    <w:name w:val="1. Numbered Points Style"/>
    <w:basedOn w:val="Normal"/>
    <w:uiPriority w:val="99"/>
    <w:semiHidden/>
  </w:style>
  <w:style w:type="numbering" w:customStyle="1" w:styleId="BulletList">
    <w:name w:val="Bullet List"/>
    <w:uiPriority w:val="99"/>
    <w:pPr>
      <w:numPr>
        <w:numId w:val="2"/>
      </w:numPr>
    </w:pPr>
  </w:style>
  <w:style w:type="paragraph" w:customStyle="1" w:styleId="1BulletStyleList">
    <w:name w:val="1. Bullet Style List"/>
    <w:basedOn w:val="Normal"/>
    <w:uiPriority w:val="99"/>
    <w:semiHidden/>
    <w:rPr>
      <w:rFonts w:eastAsia="Times New Roman"/>
      <w:szCs w:val="20"/>
      <w:lang w:eastAsia="en-AU"/>
    </w:rPr>
  </w:style>
  <w:style w:type="character" w:customStyle="1" w:styleId="Heading1Char">
    <w:name w:val="Heading 1 Char"/>
    <w:basedOn w:val="DefaultParagraphFont"/>
    <w:link w:val="Heading1"/>
    <w:uiPriority w:val="9"/>
    <w:rsid w:val="00DF2153"/>
    <w:rPr>
      <w:rFonts w:ascii="Verdana" w:hAnsi="Verdana"/>
      <w:b/>
      <w:color w:val="4C6968" w:themeColor="text1"/>
      <w:sz w:val="50"/>
      <w:szCs w:val="24"/>
      <w:lang w:eastAsia="en-US"/>
    </w:rPr>
  </w:style>
  <w:style w:type="character" w:customStyle="1" w:styleId="Heading2Char">
    <w:name w:val="Heading 2 Char"/>
    <w:basedOn w:val="DefaultParagraphFont"/>
    <w:link w:val="Heading2"/>
    <w:uiPriority w:val="9"/>
    <w:rsid w:val="003268F7"/>
    <w:rPr>
      <w:rFonts w:ascii="Verdana" w:hAnsi="Verdana"/>
      <w:b/>
      <w:color w:val="48555E" w:themeColor="text2"/>
      <w:sz w:val="32"/>
      <w:szCs w:val="20"/>
      <w:lang w:eastAsia="en-US"/>
    </w:rPr>
  </w:style>
  <w:style w:type="character" w:customStyle="1" w:styleId="Heading3Char">
    <w:name w:val="Heading 3 Char"/>
    <w:basedOn w:val="DefaultParagraphFont"/>
    <w:link w:val="Heading3"/>
    <w:uiPriority w:val="9"/>
    <w:rsid w:val="003268F7"/>
    <w:rPr>
      <w:rFonts w:ascii="Verdana" w:hAnsi="Verdana" w:cs="Arial"/>
      <w:b/>
      <w:color w:val="48555E" w:themeColor="text2"/>
      <w:sz w:val="26"/>
      <w:lang w:eastAsia="en-US"/>
    </w:rPr>
  </w:style>
  <w:style w:type="character" w:customStyle="1" w:styleId="Heading4Char">
    <w:name w:val="Heading 4 Char"/>
    <w:basedOn w:val="DefaultParagraphFont"/>
    <w:link w:val="Heading4"/>
    <w:uiPriority w:val="9"/>
    <w:rsid w:val="003268F7"/>
    <w:rPr>
      <w:rFonts w:ascii="Verdana" w:hAnsi="Verdana" w:cs="Arial"/>
      <w:lang w:eastAsia="en-US"/>
    </w:rPr>
  </w:style>
  <w:style w:type="paragraph" w:styleId="ListBullet">
    <w:name w:val="List Bullet"/>
    <w:basedOn w:val="Normal"/>
    <w:uiPriority w:val="99"/>
    <w:unhideWhenUsed/>
    <w:qFormat/>
    <w:rsid w:val="007C3F00"/>
    <w:pPr>
      <w:numPr>
        <w:numId w:val="8"/>
      </w:numPr>
      <w:spacing w:after="120"/>
    </w:pPr>
  </w:style>
  <w:style w:type="paragraph" w:styleId="ListBullet2">
    <w:name w:val="List Bullet 2"/>
    <w:basedOn w:val="Normal"/>
    <w:uiPriority w:val="99"/>
    <w:unhideWhenUsed/>
    <w:pPr>
      <w:numPr>
        <w:ilvl w:val="1"/>
        <w:numId w:val="8"/>
      </w:numPr>
    </w:pPr>
  </w:style>
  <w:style w:type="numbering" w:customStyle="1" w:styleId="Attach">
    <w:name w:val="Attach"/>
    <w:basedOn w:val="NoList"/>
    <w:uiPriority w:val="99"/>
    <w:pPr>
      <w:numPr>
        <w:numId w:val="5"/>
      </w:numPr>
    </w:pPr>
  </w:style>
  <w:style w:type="character" w:customStyle="1" w:styleId="Heading5Char">
    <w:name w:val="Heading 5 Char"/>
    <w:basedOn w:val="DefaultParagraphFont"/>
    <w:link w:val="Heading5"/>
    <w:uiPriority w:val="9"/>
    <w:rsid w:val="008015ED"/>
    <w:rPr>
      <w:rFonts w:ascii="Verdana" w:eastAsiaTheme="majorEastAsia" w:hAnsi="Verdana" w:cstheme="majorBidi"/>
      <w:i/>
      <w:color w:val="4C6968" w:themeColor="text1"/>
      <w:sz w:val="20"/>
      <w:lang w:eastAsia="en-US"/>
    </w:rPr>
  </w:style>
  <w:style w:type="paragraph" w:styleId="ListNumber">
    <w:name w:val="List Number"/>
    <w:basedOn w:val="Normal"/>
    <w:uiPriority w:val="99"/>
    <w:qFormat/>
    <w:pPr>
      <w:numPr>
        <w:numId w:val="11"/>
      </w:numPr>
      <w:spacing w:before="120" w:after="120"/>
    </w:pPr>
  </w:style>
  <w:style w:type="paragraph" w:styleId="ListNumber2">
    <w:name w:val="List Number 2"/>
    <w:basedOn w:val="Normal"/>
    <w:uiPriority w:val="99"/>
    <w:rsid w:val="00FE0C2F"/>
    <w:pPr>
      <w:numPr>
        <w:ilvl w:val="1"/>
        <w:numId w:val="11"/>
      </w:numPr>
      <w:spacing w:after="120"/>
    </w:pPr>
    <w:rPr>
      <w:rFonts w:cs="Segoe UI"/>
    </w:rPr>
  </w:style>
  <w:style w:type="paragraph" w:styleId="ListNumber3">
    <w:name w:val="List Number 3"/>
    <w:basedOn w:val="Normal"/>
    <w:uiPriority w:val="99"/>
    <w:rsid w:val="00FE0C2F"/>
    <w:pPr>
      <w:numPr>
        <w:ilvl w:val="2"/>
        <w:numId w:val="11"/>
      </w:numPr>
      <w:spacing w:after="120"/>
      <w:ind w:left="1106"/>
    </w:pPr>
    <w:rPr>
      <w:rFonts w:cs="Segoe UI"/>
    </w:rPr>
  </w:style>
  <w:style w:type="paragraph" w:styleId="Header">
    <w:name w:val="header"/>
    <w:basedOn w:val="Normal"/>
    <w:link w:val="HeaderChar"/>
    <w:uiPriority w:val="99"/>
    <w:unhideWhenUsed/>
    <w:rsid w:val="004E09A7"/>
    <w:pPr>
      <w:tabs>
        <w:tab w:val="center" w:pos="4513"/>
        <w:tab w:val="right" w:pos="9026"/>
      </w:tabs>
      <w:spacing w:after="0"/>
    </w:pPr>
  </w:style>
  <w:style w:type="character" w:customStyle="1" w:styleId="HeaderChar">
    <w:name w:val="Header Char"/>
    <w:basedOn w:val="DefaultParagraphFont"/>
    <w:link w:val="Header"/>
    <w:uiPriority w:val="99"/>
    <w:rsid w:val="004E09A7"/>
    <w:rPr>
      <w:rFonts w:ascii="Verdana" w:hAnsi="Verdana"/>
      <w:sz w:val="20"/>
      <w:lang w:eastAsia="en-US"/>
    </w:rPr>
  </w:style>
  <w:style w:type="table" w:styleId="TableGrid">
    <w:name w:val="Table Grid"/>
    <w:basedOn w:val="TableNormal"/>
    <w:uiPriority w:val="59"/>
    <w:tblPr>
      <w:tblBorders>
        <w:top w:val="single" w:sz="4" w:space="0" w:color="4C6968" w:themeColor="text1"/>
        <w:left w:val="single" w:sz="4" w:space="0" w:color="4C6968" w:themeColor="text1"/>
        <w:bottom w:val="single" w:sz="4" w:space="0" w:color="4C6968" w:themeColor="text1"/>
        <w:right w:val="single" w:sz="4" w:space="0" w:color="4C6968" w:themeColor="text1"/>
        <w:insideH w:val="single" w:sz="4" w:space="0" w:color="4C6968" w:themeColor="text1"/>
        <w:insideV w:val="single" w:sz="4" w:space="0" w:color="4C6968" w:themeColor="text1"/>
      </w:tblBorders>
    </w:tblPr>
  </w:style>
  <w:style w:type="paragraph" w:styleId="Title">
    <w:name w:val="Title"/>
    <w:basedOn w:val="Normal"/>
    <w:next w:val="Normal"/>
    <w:link w:val="TitleChar"/>
    <w:uiPriority w:val="10"/>
    <w:qFormat/>
    <w:rsid w:val="00473F5B"/>
    <w:pPr>
      <w:spacing w:after="0"/>
      <w:contextualSpacing/>
    </w:pPr>
    <w:rPr>
      <w:rFonts w:eastAsiaTheme="majorEastAsia" w:cstheme="majorBidi"/>
      <w:b/>
      <w:color w:val="FFFFFF"/>
      <w:spacing w:val="-10"/>
      <w:kern w:val="28"/>
      <w:sz w:val="70"/>
      <w:szCs w:val="56"/>
    </w:rPr>
  </w:style>
  <w:style w:type="character" w:customStyle="1" w:styleId="TitleChar">
    <w:name w:val="Title Char"/>
    <w:basedOn w:val="DefaultParagraphFont"/>
    <w:link w:val="Title"/>
    <w:uiPriority w:val="10"/>
    <w:rsid w:val="00473F5B"/>
    <w:rPr>
      <w:rFonts w:ascii="Verdana" w:eastAsiaTheme="majorEastAsia" w:hAnsi="Verdana" w:cstheme="majorBidi"/>
      <w:b/>
      <w:color w:val="FFFFFF"/>
      <w:spacing w:val="-10"/>
      <w:kern w:val="28"/>
      <w:sz w:val="70"/>
      <w:szCs w:val="56"/>
      <w:lang w:eastAsia="en-US"/>
    </w:rPr>
  </w:style>
  <w:style w:type="character" w:styleId="CommentReference">
    <w:name w:val="annotation reference"/>
    <w:basedOn w:val="DefaultParagraphFont"/>
    <w:uiPriority w:val="99"/>
    <w:semiHidden/>
    <w:unhideWhenUsed/>
    <w:rPr>
      <w:sz w:val="16"/>
      <w:szCs w:val="16"/>
    </w:rPr>
  </w:style>
  <w:style w:type="table" w:styleId="PlainTable1">
    <w:name w:val="Plain Table 1"/>
    <w:basedOn w:val="TableNormal"/>
    <w:uiPriority w:val="41"/>
    <w:rsid w:val="007C3F00"/>
    <w:tblPr>
      <w:tblStyleRowBandSize w:val="1"/>
      <w:tblStyleColBandSize w:val="1"/>
      <w:tblBorders>
        <w:top w:val="single" w:sz="4" w:space="0" w:color="72ADC4" w:themeColor="background1" w:themeShade="BF"/>
        <w:left w:val="single" w:sz="4" w:space="0" w:color="72ADC4" w:themeColor="background1" w:themeShade="BF"/>
        <w:bottom w:val="single" w:sz="4" w:space="0" w:color="72ADC4" w:themeColor="background1" w:themeShade="BF"/>
        <w:right w:val="single" w:sz="4" w:space="0" w:color="72ADC4" w:themeColor="background1" w:themeShade="BF"/>
        <w:insideH w:val="single" w:sz="4" w:space="0" w:color="72ADC4" w:themeColor="background1" w:themeShade="BF"/>
        <w:insideV w:val="single" w:sz="4" w:space="0" w:color="72ADC4" w:themeColor="background1" w:themeShade="BF"/>
      </w:tblBorders>
    </w:tblPr>
    <w:tblStylePr w:type="firstRow">
      <w:rPr>
        <w:b/>
        <w:bCs/>
      </w:rPr>
    </w:tblStylePr>
    <w:tblStylePr w:type="lastRow">
      <w:rPr>
        <w:b/>
        <w:bCs/>
      </w:rPr>
      <w:tblPr/>
      <w:tcPr>
        <w:tcBorders>
          <w:top w:val="double" w:sz="4" w:space="0" w:color="72ADC4" w:themeColor="background1" w:themeShade="BF"/>
        </w:tcBorders>
      </w:tcPr>
    </w:tblStylePr>
    <w:tblStylePr w:type="firstCol">
      <w:rPr>
        <w:b/>
        <w:bCs/>
      </w:rPr>
    </w:tblStylePr>
    <w:tblStylePr w:type="lastCol">
      <w:rPr>
        <w:b/>
        <w:bCs/>
      </w:rPr>
    </w:tblStylePr>
    <w:tblStylePr w:type="band1Vert">
      <w:tblPr/>
      <w:tcPr>
        <w:shd w:val="clear" w:color="auto" w:fill="ACCFDC" w:themeFill="background1" w:themeFillShade="F2"/>
      </w:tcPr>
    </w:tblStylePr>
    <w:tblStylePr w:type="band1Horz">
      <w:tblPr/>
      <w:tcPr>
        <w:shd w:val="clear" w:color="auto" w:fill="ACCFDC" w:themeFill="background1" w:themeFillShade="F2"/>
      </w:tcPr>
    </w:tblStylePr>
  </w:style>
  <w:style w:type="paragraph" w:customStyle="1" w:styleId="TableHeader">
    <w:name w:val="Table Header"/>
    <w:basedOn w:val="Normal"/>
    <w:qFormat/>
    <w:rsid w:val="003268F7"/>
    <w:pPr>
      <w:spacing w:before="120" w:after="120"/>
    </w:pPr>
    <w:rPr>
      <w:b/>
      <w:color w:val="FFFFFF"/>
    </w:rPr>
  </w:style>
  <w:style w:type="paragraph" w:styleId="CommentSubject">
    <w:name w:val="annotation subject"/>
    <w:basedOn w:val="Normal"/>
    <w:next w:val="Normal"/>
    <w:link w:val="CommentSubjectChar"/>
    <w:uiPriority w:val="99"/>
    <w:semiHidden/>
    <w:unhideWhenUsed/>
    <w:rsid w:val="00CA62BF"/>
    <w:rPr>
      <w:b/>
      <w:bCs/>
      <w:szCs w:val="20"/>
    </w:rPr>
  </w:style>
  <w:style w:type="character" w:customStyle="1" w:styleId="CommentSubjectChar">
    <w:name w:val="Comment Subject Char"/>
    <w:basedOn w:val="DefaultParagraphFont"/>
    <w:link w:val="CommentSubject"/>
    <w:uiPriority w:val="99"/>
    <w:semiHidden/>
    <w:rsid w:val="00CA62BF"/>
    <w:rPr>
      <w:rFonts w:ascii="Calibri" w:hAnsi="Calibri"/>
      <w:b/>
      <w:bCs/>
      <w:sz w:val="20"/>
      <w:szCs w:val="20"/>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lang w:eastAsia="en-AU"/>
    </w:rPr>
  </w:style>
  <w:style w:type="paragraph" w:customStyle="1" w:styleId="TableText">
    <w:name w:val="Table Text"/>
    <w:basedOn w:val="Normal"/>
    <w:qFormat/>
    <w:rsid w:val="003268F7"/>
    <w:pPr>
      <w:spacing w:before="120" w:after="120"/>
    </w:p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48545E" w:themeColor="hyperlink"/>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sid w:val="00AA7CB2"/>
    <w:rPr>
      <w:color w:val="FFFFFF" w:themeColor="followedHyperlink"/>
      <w:u w:val="single"/>
    </w:rPr>
  </w:style>
  <w:style w:type="character" w:styleId="UnresolvedMention">
    <w:name w:val="Unresolved Mention"/>
    <w:basedOn w:val="DefaultParagraphFont"/>
    <w:uiPriority w:val="99"/>
    <w:semiHidden/>
    <w:unhideWhenUsed/>
    <w:rsid w:val="00AA7CB2"/>
    <w:rPr>
      <w:color w:val="605E5C"/>
      <w:shd w:val="clear" w:color="auto" w:fill="E1DFDD"/>
    </w:rPr>
  </w:style>
  <w:style w:type="paragraph" w:customStyle="1" w:styleId="TableHeading">
    <w:name w:val="Table Heading"/>
    <w:basedOn w:val="Normal"/>
    <w:qFormat/>
    <w:rsid w:val="003268F7"/>
    <w:pPr>
      <w:spacing w:before="240" w:after="120"/>
    </w:pPr>
    <w:rPr>
      <w:color w:val="4C6968" w:themeColor="text1"/>
    </w:rPr>
  </w:style>
  <w:style w:type="table" w:styleId="TableGridLight">
    <w:name w:val="Grid Table Light"/>
    <w:basedOn w:val="TableNormal"/>
    <w:uiPriority w:val="40"/>
    <w:rsid w:val="003268F7"/>
    <w:rPr>
      <w:rFonts w:ascii="Verdana" w:hAnsi="Verdana"/>
      <w:sz w:val="20"/>
    </w:rPr>
    <w:tblPr>
      <w:tblBorders>
        <w:top w:val="single" w:sz="4" w:space="0" w:color="48555E" w:themeColor="text2"/>
        <w:bottom w:val="single" w:sz="4" w:space="0" w:color="48555E" w:themeColor="text2"/>
        <w:insideH w:val="single" w:sz="4" w:space="0" w:color="48555E" w:themeColor="text2"/>
      </w:tblBorders>
    </w:tblPr>
    <w:tblStylePr w:type="firstRow">
      <w:tblPr/>
      <w:tcPr>
        <w:shd w:val="clear" w:color="auto" w:fill="4C6968" w:themeFill="text1"/>
      </w:tcPr>
    </w:tblStylePr>
  </w:style>
  <w:style w:type="paragraph" w:styleId="Subtitle">
    <w:name w:val="Subtitle"/>
    <w:basedOn w:val="Normal"/>
    <w:next w:val="Normal"/>
    <w:link w:val="SubtitleChar"/>
    <w:uiPriority w:val="11"/>
    <w:unhideWhenUsed/>
    <w:qFormat/>
    <w:rsid w:val="00E56ACF"/>
    <w:pPr>
      <w:numPr>
        <w:ilvl w:val="1"/>
      </w:numPr>
      <w:spacing w:before="360" w:after="160"/>
    </w:pPr>
    <w:rPr>
      <w:rFonts w:eastAsiaTheme="minorEastAsia" w:cstheme="minorBidi"/>
      <w:color w:val="FFFFFF"/>
      <w:spacing w:val="15"/>
      <w:sz w:val="30"/>
    </w:rPr>
  </w:style>
  <w:style w:type="character" w:customStyle="1" w:styleId="SubtitleChar">
    <w:name w:val="Subtitle Char"/>
    <w:basedOn w:val="DefaultParagraphFont"/>
    <w:link w:val="Subtitle"/>
    <w:uiPriority w:val="11"/>
    <w:rsid w:val="00E56ACF"/>
    <w:rPr>
      <w:rFonts w:ascii="Verdana" w:eastAsiaTheme="minorEastAsia" w:hAnsi="Verdana" w:cstheme="minorBidi"/>
      <w:color w:val="FFFFFF"/>
      <w:spacing w:val="15"/>
      <w:sz w:val="30"/>
      <w:lang w:eastAsia="en-US"/>
    </w:rPr>
  </w:style>
  <w:style w:type="paragraph" w:customStyle="1" w:styleId="Author">
    <w:name w:val="Author"/>
    <w:basedOn w:val="Normal"/>
    <w:qFormat/>
    <w:rsid w:val="00E56ACF"/>
    <w:pPr>
      <w:spacing w:before="600" w:after="120"/>
    </w:pPr>
    <w:rPr>
      <w:color w:val="FFFFFF"/>
    </w:rPr>
  </w:style>
  <w:style w:type="paragraph" w:customStyle="1" w:styleId="IntroductionParagraph">
    <w:name w:val="Introduction Paragraph"/>
    <w:basedOn w:val="Normal"/>
    <w:qFormat/>
    <w:rsid w:val="002C07A5"/>
    <w:pPr>
      <w:spacing w:after="360"/>
    </w:pPr>
    <w:rPr>
      <w:b/>
      <w:color w:val="FFFFFF"/>
      <w:sz w:val="28"/>
    </w:rPr>
  </w:style>
  <w:style w:type="paragraph" w:customStyle="1" w:styleId="NormalWhite">
    <w:name w:val="Normal White"/>
    <w:basedOn w:val="Normal"/>
    <w:qFormat/>
    <w:rsid w:val="002C07A5"/>
    <w:rPr>
      <w:color w:val="FFFFFF"/>
    </w:rPr>
  </w:style>
  <w:style w:type="paragraph" w:customStyle="1" w:styleId="FigureHeading">
    <w:name w:val="Figure Heading"/>
    <w:basedOn w:val="TableHeading"/>
    <w:qFormat/>
    <w:rsid w:val="00142E0B"/>
  </w:style>
  <w:style w:type="paragraph" w:styleId="TOC2">
    <w:name w:val="toc 2"/>
    <w:basedOn w:val="Normal"/>
    <w:next w:val="Normal"/>
    <w:autoRedefine/>
    <w:uiPriority w:val="39"/>
    <w:unhideWhenUsed/>
    <w:rsid w:val="0066217F"/>
    <w:pPr>
      <w:tabs>
        <w:tab w:val="right" w:leader="dot" w:pos="9628"/>
      </w:tabs>
      <w:spacing w:after="100"/>
      <w:ind w:left="200"/>
    </w:pPr>
    <w:rPr>
      <w:noProof/>
    </w:rPr>
  </w:style>
  <w:style w:type="paragraph" w:styleId="TOC1">
    <w:name w:val="toc 1"/>
    <w:basedOn w:val="Normal"/>
    <w:next w:val="Normal"/>
    <w:autoRedefine/>
    <w:uiPriority w:val="39"/>
    <w:unhideWhenUsed/>
    <w:rsid w:val="001C0F11"/>
    <w:pPr>
      <w:tabs>
        <w:tab w:val="right" w:leader="dot" w:pos="9628"/>
      </w:tabs>
      <w:spacing w:before="240" w:after="100"/>
    </w:pPr>
    <w:rPr>
      <w:b/>
      <w:noProof/>
      <w:color w:val="48555E" w:themeColor="text2"/>
      <w:sz w:val="24"/>
    </w:rPr>
  </w:style>
  <w:style w:type="paragraph" w:styleId="TOC3">
    <w:name w:val="toc 3"/>
    <w:basedOn w:val="Normal"/>
    <w:next w:val="Normal"/>
    <w:autoRedefine/>
    <w:uiPriority w:val="39"/>
    <w:unhideWhenUsed/>
    <w:rsid w:val="0066217F"/>
    <w:pPr>
      <w:tabs>
        <w:tab w:val="right" w:leader="dot" w:pos="9628"/>
      </w:tabs>
      <w:spacing w:after="100"/>
      <w:ind w:left="400"/>
    </w:pPr>
    <w:rPr>
      <w:noProof/>
    </w:rPr>
  </w:style>
  <w:style w:type="paragraph" w:customStyle="1" w:styleId="AppendicesHeading1">
    <w:name w:val="Appendices Heading 1"/>
    <w:basedOn w:val="Heading1"/>
    <w:qFormat/>
    <w:rsid w:val="007935B6"/>
  </w:style>
  <w:style w:type="paragraph" w:customStyle="1" w:styleId="AppendicesHeading2">
    <w:name w:val="Appendices Heading 2"/>
    <w:basedOn w:val="Heading2"/>
    <w:qFormat/>
    <w:rsid w:val="007935B6"/>
  </w:style>
  <w:style w:type="paragraph" w:customStyle="1" w:styleId="AppendicesHeading3">
    <w:name w:val="Appendices Heading 3"/>
    <w:basedOn w:val="Heading3"/>
    <w:qFormat/>
    <w:rsid w:val="007935B6"/>
  </w:style>
  <w:style w:type="paragraph" w:customStyle="1" w:styleId="AppendicesHeading4">
    <w:name w:val="Appendices Heading 4"/>
    <w:basedOn w:val="Heading4"/>
    <w:qFormat/>
    <w:rsid w:val="007935B6"/>
  </w:style>
  <w:style w:type="paragraph" w:customStyle="1" w:styleId="AppendicesHeading5">
    <w:name w:val="Appendices Heading 5"/>
    <w:basedOn w:val="Heading5"/>
    <w:qFormat/>
    <w:rsid w:val="007935B6"/>
  </w:style>
  <w:style w:type="paragraph" w:customStyle="1" w:styleId="Instructions">
    <w:name w:val="Instructions"/>
    <w:basedOn w:val="Normal"/>
    <w:qFormat/>
    <w:rsid w:val="001C0F11"/>
    <w:pPr>
      <w:pBdr>
        <w:top w:val="single" w:sz="4" w:space="1" w:color="BCD8E3" w:themeColor="background1"/>
        <w:left w:val="single" w:sz="4" w:space="4" w:color="BCD8E3" w:themeColor="background1"/>
        <w:bottom w:val="single" w:sz="4" w:space="1" w:color="BCD8E3" w:themeColor="background1"/>
        <w:right w:val="single" w:sz="4" w:space="4" w:color="BCD8E3" w:themeColor="background1"/>
      </w:pBdr>
      <w:shd w:val="clear" w:color="auto" w:fill="BCD8E3" w:themeFill="background1"/>
      <w:ind w:left="113" w:right="113"/>
    </w:pPr>
  </w:style>
  <w:style w:type="character" w:styleId="Emphasis">
    <w:name w:val="Emphasis"/>
    <w:basedOn w:val="DefaultParagraphFont"/>
    <w:uiPriority w:val="20"/>
    <w:qFormat/>
    <w:rsid w:val="00C118DE"/>
    <w:rPr>
      <w:i/>
      <w:iCs/>
    </w:rPr>
  </w:style>
  <w:style w:type="paragraph" w:styleId="CommentText">
    <w:name w:val="annotation text"/>
    <w:basedOn w:val="Normal"/>
    <w:link w:val="CommentTextChar"/>
    <w:uiPriority w:val="99"/>
    <w:unhideWhenUsed/>
    <w:rsid w:val="00C118DE"/>
    <w:pPr>
      <w:suppressAutoHyphens/>
      <w:spacing w:before="60" w:after="60"/>
    </w:pPr>
    <w:rPr>
      <w:rFonts w:ascii="Arial" w:eastAsiaTheme="minorEastAsia" w:hAnsi="Arial" w:cstheme="minorBidi"/>
      <w:szCs w:val="20"/>
      <w:lang w:eastAsia="en-GB"/>
    </w:rPr>
  </w:style>
  <w:style w:type="character" w:customStyle="1" w:styleId="CommentTextChar">
    <w:name w:val="Comment Text Char"/>
    <w:basedOn w:val="DefaultParagraphFont"/>
    <w:link w:val="CommentText"/>
    <w:uiPriority w:val="99"/>
    <w:rsid w:val="00C118DE"/>
    <w:rPr>
      <w:rFonts w:eastAsiaTheme="minorEastAsia" w:cstheme="minorBidi"/>
      <w:sz w:val="20"/>
      <w:szCs w:val="20"/>
      <w:lang w:eastAsia="en-GB"/>
    </w:rPr>
  </w:style>
  <w:style w:type="paragraph" w:styleId="ListParagraph">
    <w:name w:val="List Paragraph"/>
    <w:basedOn w:val="Normal"/>
    <w:uiPriority w:val="34"/>
    <w:rsid w:val="00B71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7942">
      <w:bodyDiv w:val="1"/>
      <w:marLeft w:val="0"/>
      <w:marRight w:val="0"/>
      <w:marTop w:val="0"/>
      <w:marBottom w:val="0"/>
      <w:divBdr>
        <w:top w:val="none" w:sz="0" w:space="0" w:color="auto"/>
        <w:left w:val="none" w:sz="0" w:space="0" w:color="auto"/>
        <w:bottom w:val="none" w:sz="0" w:space="0" w:color="auto"/>
        <w:right w:val="none" w:sz="0" w:space="0" w:color="auto"/>
      </w:divBdr>
    </w:div>
    <w:div w:id="151416315">
      <w:bodyDiv w:val="1"/>
      <w:marLeft w:val="0"/>
      <w:marRight w:val="0"/>
      <w:marTop w:val="0"/>
      <w:marBottom w:val="0"/>
      <w:divBdr>
        <w:top w:val="none" w:sz="0" w:space="0" w:color="auto"/>
        <w:left w:val="none" w:sz="0" w:space="0" w:color="auto"/>
        <w:bottom w:val="none" w:sz="0" w:space="0" w:color="auto"/>
        <w:right w:val="none" w:sz="0" w:space="0" w:color="auto"/>
      </w:divBdr>
    </w:div>
    <w:div w:id="188183857">
      <w:bodyDiv w:val="1"/>
      <w:marLeft w:val="0"/>
      <w:marRight w:val="0"/>
      <w:marTop w:val="0"/>
      <w:marBottom w:val="0"/>
      <w:divBdr>
        <w:top w:val="none" w:sz="0" w:space="0" w:color="auto"/>
        <w:left w:val="none" w:sz="0" w:space="0" w:color="auto"/>
        <w:bottom w:val="none" w:sz="0" w:space="0" w:color="auto"/>
        <w:right w:val="none" w:sz="0" w:space="0" w:color="auto"/>
      </w:divBdr>
    </w:div>
    <w:div w:id="210003767">
      <w:bodyDiv w:val="1"/>
      <w:marLeft w:val="0"/>
      <w:marRight w:val="0"/>
      <w:marTop w:val="0"/>
      <w:marBottom w:val="0"/>
      <w:divBdr>
        <w:top w:val="none" w:sz="0" w:space="0" w:color="auto"/>
        <w:left w:val="none" w:sz="0" w:space="0" w:color="auto"/>
        <w:bottom w:val="none" w:sz="0" w:space="0" w:color="auto"/>
        <w:right w:val="none" w:sz="0" w:space="0" w:color="auto"/>
      </w:divBdr>
      <w:divsChild>
        <w:div w:id="144397795">
          <w:marLeft w:val="0"/>
          <w:marRight w:val="0"/>
          <w:marTop w:val="0"/>
          <w:marBottom w:val="0"/>
          <w:divBdr>
            <w:top w:val="none" w:sz="0" w:space="0" w:color="auto"/>
            <w:left w:val="none" w:sz="0" w:space="0" w:color="auto"/>
            <w:bottom w:val="none" w:sz="0" w:space="0" w:color="auto"/>
            <w:right w:val="none" w:sz="0" w:space="0" w:color="auto"/>
          </w:divBdr>
          <w:divsChild>
            <w:div w:id="1157264909">
              <w:marLeft w:val="0"/>
              <w:marRight w:val="0"/>
              <w:marTop w:val="0"/>
              <w:marBottom w:val="0"/>
              <w:divBdr>
                <w:top w:val="single" w:sz="6" w:space="0" w:color="666666"/>
                <w:left w:val="single" w:sz="6" w:space="0" w:color="666666"/>
                <w:bottom w:val="single" w:sz="48" w:space="0" w:color="000000"/>
                <w:right w:val="single" w:sz="6" w:space="0" w:color="666666"/>
              </w:divBdr>
              <w:divsChild>
                <w:div w:id="562184448">
                  <w:marLeft w:val="0"/>
                  <w:marRight w:val="0"/>
                  <w:marTop w:val="0"/>
                  <w:marBottom w:val="0"/>
                  <w:divBdr>
                    <w:top w:val="none" w:sz="0" w:space="0" w:color="auto"/>
                    <w:left w:val="none" w:sz="0" w:space="0" w:color="auto"/>
                    <w:bottom w:val="none" w:sz="0" w:space="0" w:color="auto"/>
                    <w:right w:val="none" w:sz="0" w:space="0" w:color="auto"/>
                  </w:divBdr>
                  <w:divsChild>
                    <w:div w:id="629476871">
                      <w:marLeft w:val="150"/>
                      <w:marRight w:val="0"/>
                      <w:marTop w:val="150"/>
                      <w:marBottom w:val="0"/>
                      <w:divBdr>
                        <w:top w:val="none" w:sz="0" w:space="0" w:color="auto"/>
                        <w:left w:val="none" w:sz="0" w:space="0" w:color="auto"/>
                        <w:bottom w:val="none" w:sz="0" w:space="0" w:color="auto"/>
                        <w:right w:val="none" w:sz="0" w:space="0" w:color="auto"/>
                      </w:divBdr>
                      <w:divsChild>
                        <w:div w:id="805513206">
                          <w:marLeft w:val="0"/>
                          <w:marRight w:val="0"/>
                          <w:marTop w:val="0"/>
                          <w:marBottom w:val="0"/>
                          <w:divBdr>
                            <w:top w:val="none" w:sz="0" w:space="0" w:color="auto"/>
                            <w:left w:val="none" w:sz="0" w:space="0" w:color="auto"/>
                            <w:bottom w:val="none" w:sz="0" w:space="0" w:color="auto"/>
                            <w:right w:val="none" w:sz="0" w:space="0" w:color="auto"/>
                          </w:divBdr>
                          <w:divsChild>
                            <w:div w:id="1205947322">
                              <w:marLeft w:val="0"/>
                              <w:marRight w:val="0"/>
                              <w:marTop w:val="0"/>
                              <w:marBottom w:val="0"/>
                              <w:divBdr>
                                <w:top w:val="none" w:sz="0" w:space="0" w:color="auto"/>
                                <w:left w:val="none" w:sz="0" w:space="0" w:color="auto"/>
                                <w:bottom w:val="none" w:sz="0" w:space="0" w:color="auto"/>
                                <w:right w:val="none" w:sz="0" w:space="0" w:color="auto"/>
                              </w:divBdr>
                              <w:divsChild>
                                <w:div w:id="1520924222">
                                  <w:marLeft w:val="0"/>
                                  <w:marRight w:val="0"/>
                                  <w:marTop w:val="0"/>
                                  <w:marBottom w:val="0"/>
                                  <w:divBdr>
                                    <w:top w:val="none" w:sz="0" w:space="0" w:color="auto"/>
                                    <w:left w:val="none" w:sz="0" w:space="0" w:color="auto"/>
                                    <w:bottom w:val="none" w:sz="0" w:space="0" w:color="auto"/>
                                    <w:right w:val="none" w:sz="0" w:space="0" w:color="auto"/>
                                  </w:divBdr>
                                  <w:divsChild>
                                    <w:div w:id="1266616800">
                                      <w:marLeft w:val="0"/>
                                      <w:marRight w:val="0"/>
                                      <w:marTop w:val="0"/>
                                      <w:marBottom w:val="0"/>
                                      <w:divBdr>
                                        <w:top w:val="none" w:sz="0" w:space="0" w:color="auto"/>
                                        <w:left w:val="none" w:sz="0" w:space="0" w:color="auto"/>
                                        <w:bottom w:val="none" w:sz="0" w:space="0" w:color="auto"/>
                                        <w:right w:val="none" w:sz="0" w:space="0" w:color="auto"/>
                                      </w:divBdr>
                                      <w:divsChild>
                                        <w:div w:id="327951791">
                                          <w:marLeft w:val="0"/>
                                          <w:marRight w:val="0"/>
                                          <w:marTop w:val="0"/>
                                          <w:marBottom w:val="0"/>
                                          <w:divBdr>
                                            <w:top w:val="none" w:sz="0" w:space="0" w:color="auto"/>
                                            <w:left w:val="none" w:sz="0" w:space="0" w:color="auto"/>
                                            <w:bottom w:val="none" w:sz="0" w:space="0" w:color="auto"/>
                                            <w:right w:val="none" w:sz="0" w:space="0" w:color="auto"/>
                                          </w:divBdr>
                                          <w:divsChild>
                                            <w:div w:id="2080905658">
                                              <w:marLeft w:val="0"/>
                                              <w:marRight w:val="0"/>
                                              <w:marTop w:val="0"/>
                                              <w:marBottom w:val="0"/>
                                              <w:divBdr>
                                                <w:top w:val="none" w:sz="0" w:space="0" w:color="auto"/>
                                                <w:left w:val="none" w:sz="0" w:space="0" w:color="auto"/>
                                                <w:bottom w:val="none" w:sz="0" w:space="0" w:color="auto"/>
                                                <w:right w:val="none" w:sz="0" w:space="0" w:color="auto"/>
                                              </w:divBdr>
                                              <w:divsChild>
                                                <w:div w:id="2098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37326">
      <w:bodyDiv w:val="1"/>
      <w:marLeft w:val="0"/>
      <w:marRight w:val="0"/>
      <w:marTop w:val="0"/>
      <w:marBottom w:val="0"/>
      <w:divBdr>
        <w:top w:val="none" w:sz="0" w:space="0" w:color="auto"/>
        <w:left w:val="none" w:sz="0" w:space="0" w:color="auto"/>
        <w:bottom w:val="none" w:sz="0" w:space="0" w:color="auto"/>
        <w:right w:val="none" w:sz="0" w:space="0" w:color="auto"/>
      </w:divBdr>
    </w:div>
    <w:div w:id="284703432">
      <w:bodyDiv w:val="1"/>
      <w:marLeft w:val="0"/>
      <w:marRight w:val="0"/>
      <w:marTop w:val="0"/>
      <w:marBottom w:val="0"/>
      <w:divBdr>
        <w:top w:val="none" w:sz="0" w:space="0" w:color="auto"/>
        <w:left w:val="none" w:sz="0" w:space="0" w:color="auto"/>
        <w:bottom w:val="none" w:sz="0" w:space="0" w:color="auto"/>
        <w:right w:val="none" w:sz="0" w:space="0" w:color="auto"/>
      </w:divBdr>
    </w:div>
    <w:div w:id="330452024">
      <w:bodyDiv w:val="1"/>
      <w:marLeft w:val="0"/>
      <w:marRight w:val="0"/>
      <w:marTop w:val="0"/>
      <w:marBottom w:val="0"/>
      <w:divBdr>
        <w:top w:val="none" w:sz="0" w:space="0" w:color="auto"/>
        <w:left w:val="none" w:sz="0" w:space="0" w:color="auto"/>
        <w:bottom w:val="none" w:sz="0" w:space="0" w:color="auto"/>
        <w:right w:val="none" w:sz="0" w:space="0" w:color="auto"/>
      </w:divBdr>
    </w:div>
    <w:div w:id="413429802">
      <w:bodyDiv w:val="1"/>
      <w:marLeft w:val="0"/>
      <w:marRight w:val="0"/>
      <w:marTop w:val="0"/>
      <w:marBottom w:val="0"/>
      <w:divBdr>
        <w:top w:val="none" w:sz="0" w:space="0" w:color="auto"/>
        <w:left w:val="none" w:sz="0" w:space="0" w:color="auto"/>
        <w:bottom w:val="none" w:sz="0" w:space="0" w:color="auto"/>
        <w:right w:val="none" w:sz="0" w:space="0" w:color="auto"/>
      </w:divBdr>
    </w:div>
    <w:div w:id="429665900">
      <w:bodyDiv w:val="1"/>
      <w:marLeft w:val="0"/>
      <w:marRight w:val="0"/>
      <w:marTop w:val="0"/>
      <w:marBottom w:val="0"/>
      <w:divBdr>
        <w:top w:val="none" w:sz="0" w:space="0" w:color="auto"/>
        <w:left w:val="none" w:sz="0" w:space="0" w:color="auto"/>
        <w:bottom w:val="none" w:sz="0" w:space="0" w:color="auto"/>
        <w:right w:val="none" w:sz="0" w:space="0" w:color="auto"/>
      </w:divBdr>
    </w:div>
    <w:div w:id="472018850">
      <w:bodyDiv w:val="1"/>
      <w:marLeft w:val="0"/>
      <w:marRight w:val="0"/>
      <w:marTop w:val="0"/>
      <w:marBottom w:val="0"/>
      <w:divBdr>
        <w:top w:val="none" w:sz="0" w:space="0" w:color="auto"/>
        <w:left w:val="none" w:sz="0" w:space="0" w:color="auto"/>
        <w:bottom w:val="none" w:sz="0" w:space="0" w:color="auto"/>
        <w:right w:val="none" w:sz="0" w:space="0" w:color="auto"/>
      </w:divBdr>
    </w:div>
    <w:div w:id="510144471">
      <w:bodyDiv w:val="1"/>
      <w:marLeft w:val="0"/>
      <w:marRight w:val="0"/>
      <w:marTop w:val="0"/>
      <w:marBottom w:val="0"/>
      <w:divBdr>
        <w:top w:val="none" w:sz="0" w:space="0" w:color="auto"/>
        <w:left w:val="none" w:sz="0" w:space="0" w:color="auto"/>
        <w:bottom w:val="none" w:sz="0" w:space="0" w:color="auto"/>
        <w:right w:val="none" w:sz="0" w:space="0" w:color="auto"/>
      </w:divBdr>
    </w:div>
    <w:div w:id="557088119">
      <w:bodyDiv w:val="1"/>
      <w:marLeft w:val="0"/>
      <w:marRight w:val="0"/>
      <w:marTop w:val="0"/>
      <w:marBottom w:val="0"/>
      <w:divBdr>
        <w:top w:val="none" w:sz="0" w:space="0" w:color="auto"/>
        <w:left w:val="none" w:sz="0" w:space="0" w:color="auto"/>
        <w:bottom w:val="none" w:sz="0" w:space="0" w:color="auto"/>
        <w:right w:val="none" w:sz="0" w:space="0" w:color="auto"/>
      </w:divBdr>
    </w:div>
    <w:div w:id="585504175">
      <w:bodyDiv w:val="1"/>
      <w:marLeft w:val="0"/>
      <w:marRight w:val="0"/>
      <w:marTop w:val="0"/>
      <w:marBottom w:val="0"/>
      <w:divBdr>
        <w:top w:val="none" w:sz="0" w:space="0" w:color="auto"/>
        <w:left w:val="none" w:sz="0" w:space="0" w:color="auto"/>
        <w:bottom w:val="none" w:sz="0" w:space="0" w:color="auto"/>
        <w:right w:val="none" w:sz="0" w:space="0" w:color="auto"/>
      </w:divBdr>
    </w:div>
    <w:div w:id="680934046">
      <w:bodyDiv w:val="1"/>
      <w:marLeft w:val="0"/>
      <w:marRight w:val="0"/>
      <w:marTop w:val="0"/>
      <w:marBottom w:val="0"/>
      <w:divBdr>
        <w:top w:val="none" w:sz="0" w:space="0" w:color="auto"/>
        <w:left w:val="none" w:sz="0" w:space="0" w:color="auto"/>
        <w:bottom w:val="none" w:sz="0" w:space="0" w:color="auto"/>
        <w:right w:val="none" w:sz="0" w:space="0" w:color="auto"/>
      </w:divBdr>
    </w:div>
    <w:div w:id="786855956">
      <w:bodyDiv w:val="1"/>
      <w:marLeft w:val="0"/>
      <w:marRight w:val="0"/>
      <w:marTop w:val="0"/>
      <w:marBottom w:val="0"/>
      <w:divBdr>
        <w:top w:val="none" w:sz="0" w:space="0" w:color="auto"/>
        <w:left w:val="none" w:sz="0" w:space="0" w:color="auto"/>
        <w:bottom w:val="none" w:sz="0" w:space="0" w:color="auto"/>
        <w:right w:val="none" w:sz="0" w:space="0" w:color="auto"/>
      </w:divBdr>
    </w:div>
    <w:div w:id="966474225">
      <w:bodyDiv w:val="1"/>
      <w:marLeft w:val="0"/>
      <w:marRight w:val="0"/>
      <w:marTop w:val="0"/>
      <w:marBottom w:val="0"/>
      <w:divBdr>
        <w:top w:val="none" w:sz="0" w:space="0" w:color="auto"/>
        <w:left w:val="none" w:sz="0" w:space="0" w:color="auto"/>
        <w:bottom w:val="none" w:sz="0" w:space="0" w:color="auto"/>
        <w:right w:val="none" w:sz="0" w:space="0" w:color="auto"/>
      </w:divBdr>
    </w:div>
    <w:div w:id="979503108">
      <w:bodyDiv w:val="1"/>
      <w:marLeft w:val="0"/>
      <w:marRight w:val="0"/>
      <w:marTop w:val="0"/>
      <w:marBottom w:val="0"/>
      <w:divBdr>
        <w:top w:val="none" w:sz="0" w:space="0" w:color="auto"/>
        <w:left w:val="none" w:sz="0" w:space="0" w:color="auto"/>
        <w:bottom w:val="none" w:sz="0" w:space="0" w:color="auto"/>
        <w:right w:val="none" w:sz="0" w:space="0" w:color="auto"/>
      </w:divBdr>
    </w:div>
    <w:div w:id="1108353888">
      <w:bodyDiv w:val="1"/>
      <w:marLeft w:val="0"/>
      <w:marRight w:val="0"/>
      <w:marTop w:val="0"/>
      <w:marBottom w:val="0"/>
      <w:divBdr>
        <w:top w:val="none" w:sz="0" w:space="0" w:color="auto"/>
        <w:left w:val="none" w:sz="0" w:space="0" w:color="auto"/>
        <w:bottom w:val="none" w:sz="0" w:space="0" w:color="auto"/>
        <w:right w:val="none" w:sz="0" w:space="0" w:color="auto"/>
      </w:divBdr>
    </w:div>
    <w:div w:id="1127310373">
      <w:bodyDiv w:val="1"/>
      <w:marLeft w:val="0"/>
      <w:marRight w:val="0"/>
      <w:marTop w:val="0"/>
      <w:marBottom w:val="0"/>
      <w:divBdr>
        <w:top w:val="none" w:sz="0" w:space="0" w:color="auto"/>
        <w:left w:val="none" w:sz="0" w:space="0" w:color="auto"/>
        <w:bottom w:val="none" w:sz="0" w:space="0" w:color="auto"/>
        <w:right w:val="none" w:sz="0" w:space="0" w:color="auto"/>
      </w:divBdr>
    </w:div>
    <w:div w:id="1157067616">
      <w:bodyDiv w:val="1"/>
      <w:marLeft w:val="0"/>
      <w:marRight w:val="0"/>
      <w:marTop w:val="0"/>
      <w:marBottom w:val="0"/>
      <w:divBdr>
        <w:top w:val="none" w:sz="0" w:space="0" w:color="auto"/>
        <w:left w:val="none" w:sz="0" w:space="0" w:color="auto"/>
        <w:bottom w:val="none" w:sz="0" w:space="0" w:color="auto"/>
        <w:right w:val="none" w:sz="0" w:space="0" w:color="auto"/>
      </w:divBdr>
    </w:div>
    <w:div w:id="1167675210">
      <w:bodyDiv w:val="1"/>
      <w:marLeft w:val="0"/>
      <w:marRight w:val="0"/>
      <w:marTop w:val="0"/>
      <w:marBottom w:val="0"/>
      <w:divBdr>
        <w:top w:val="none" w:sz="0" w:space="0" w:color="auto"/>
        <w:left w:val="none" w:sz="0" w:space="0" w:color="auto"/>
        <w:bottom w:val="none" w:sz="0" w:space="0" w:color="auto"/>
        <w:right w:val="none" w:sz="0" w:space="0" w:color="auto"/>
      </w:divBdr>
    </w:div>
    <w:div w:id="1167790867">
      <w:bodyDiv w:val="1"/>
      <w:marLeft w:val="0"/>
      <w:marRight w:val="0"/>
      <w:marTop w:val="0"/>
      <w:marBottom w:val="0"/>
      <w:divBdr>
        <w:top w:val="none" w:sz="0" w:space="0" w:color="auto"/>
        <w:left w:val="none" w:sz="0" w:space="0" w:color="auto"/>
        <w:bottom w:val="none" w:sz="0" w:space="0" w:color="auto"/>
        <w:right w:val="none" w:sz="0" w:space="0" w:color="auto"/>
      </w:divBdr>
    </w:div>
    <w:div w:id="1241140429">
      <w:bodyDiv w:val="1"/>
      <w:marLeft w:val="0"/>
      <w:marRight w:val="0"/>
      <w:marTop w:val="0"/>
      <w:marBottom w:val="0"/>
      <w:divBdr>
        <w:top w:val="none" w:sz="0" w:space="0" w:color="auto"/>
        <w:left w:val="none" w:sz="0" w:space="0" w:color="auto"/>
        <w:bottom w:val="none" w:sz="0" w:space="0" w:color="auto"/>
        <w:right w:val="none" w:sz="0" w:space="0" w:color="auto"/>
      </w:divBdr>
      <w:divsChild>
        <w:div w:id="1582984278">
          <w:marLeft w:val="274"/>
          <w:marRight w:val="0"/>
          <w:marTop w:val="60"/>
          <w:marBottom w:val="120"/>
          <w:divBdr>
            <w:top w:val="none" w:sz="0" w:space="0" w:color="auto"/>
            <w:left w:val="none" w:sz="0" w:space="0" w:color="auto"/>
            <w:bottom w:val="none" w:sz="0" w:space="0" w:color="auto"/>
            <w:right w:val="none" w:sz="0" w:space="0" w:color="auto"/>
          </w:divBdr>
        </w:div>
        <w:div w:id="1164512165">
          <w:marLeft w:val="274"/>
          <w:marRight w:val="0"/>
          <w:marTop w:val="60"/>
          <w:marBottom w:val="120"/>
          <w:divBdr>
            <w:top w:val="none" w:sz="0" w:space="0" w:color="auto"/>
            <w:left w:val="none" w:sz="0" w:space="0" w:color="auto"/>
            <w:bottom w:val="none" w:sz="0" w:space="0" w:color="auto"/>
            <w:right w:val="none" w:sz="0" w:space="0" w:color="auto"/>
          </w:divBdr>
        </w:div>
      </w:divsChild>
    </w:div>
    <w:div w:id="1265846162">
      <w:bodyDiv w:val="1"/>
      <w:marLeft w:val="0"/>
      <w:marRight w:val="0"/>
      <w:marTop w:val="0"/>
      <w:marBottom w:val="0"/>
      <w:divBdr>
        <w:top w:val="none" w:sz="0" w:space="0" w:color="auto"/>
        <w:left w:val="none" w:sz="0" w:space="0" w:color="auto"/>
        <w:bottom w:val="none" w:sz="0" w:space="0" w:color="auto"/>
        <w:right w:val="none" w:sz="0" w:space="0" w:color="auto"/>
      </w:divBdr>
    </w:div>
    <w:div w:id="1346830608">
      <w:bodyDiv w:val="1"/>
      <w:marLeft w:val="0"/>
      <w:marRight w:val="0"/>
      <w:marTop w:val="0"/>
      <w:marBottom w:val="0"/>
      <w:divBdr>
        <w:top w:val="none" w:sz="0" w:space="0" w:color="auto"/>
        <w:left w:val="none" w:sz="0" w:space="0" w:color="auto"/>
        <w:bottom w:val="none" w:sz="0" w:space="0" w:color="auto"/>
        <w:right w:val="none" w:sz="0" w:space="0" w:color="auto"/>
      </w:divBdr>
    </w:div>
    <w:div w:id="1469084127">
      <w:bodyDiv w:val="1"/>
      <w:marLeft w:val="0"/>
      <w:marRight w:val="0"/>
      <w:marTop w:val="0"/>
      <w:marBottom w:val="0"/>
      <w:divBdr>
        <w:top w:val="none" w:sz="0" w:space="0" w:color="auto"/>
        <w:left w:val="none" w:sz="0" w:space="0" w:color="auto"/>
        <w:bottom w:val="none" w:sz="0" w:space="0" w:color="auto"/>
        <w:right w:val="none" w:sz="0" w:space="0" w:color="auto"/>
      </w:divBdr>
    </w:div>
    <w:div w:id="1536692304">
      <w:bodyDiv w:val="1"/>
      <w:marLeft w:val="0"/>
      <w:marRight w:val="0"/>
      <w:marTop w:val="0"/>
      <w:marBottom w:val="0"/>
      <w:divBdr>
        <w:top w:val="none" w:sz="0" w:space="0" w:color="auto"/>
        <w:left w:val="none" w:sz="0" w:space="0" w:color="auto"/>
        <w:bottom w:val="none" w:sz="0" w:space="0" w:color="auto"/>
        <w:right w:val="none" w:sz="0" w:space="0" w:color="auto"/>
      </w:divBdr>
    </w:div>
    <w:div w:id="1626424428">
      <w:bodyDiv w:val="1"/>
      <w:marLeft w:val="0"/>
      <w:marRight w:val="0"/>
      <w:marTop w:val="0"/>
      <w:marBottom w:val="0"/>
      <w:divBdr>
        <w:top w:val="none" w:sz="0" w:space="0" w:color="auto"/>
        <w:left w:val="none" w:sz="0" w:space="0" w:color="auto"/>
        <w:bottom w:val="none" w:sz="0" w:space="0" w:color="auto"/>
        <w:right w:val="none" w:sz="0" w:space="0" w:color="auto"/>
      </w:divBdr>
    </w:div>
    <w:div w:id="1629121873">
      <w:bodyDiv w:val="1"/>
      <w:marLeft w:val="0"/>
      <w:marRight w:val="0"/>
      <w:marTop w:val="0"/>
      <w:marBottom w:val="0"/>
      <w:divBdr>
        <w:top w:val="none" w:sz="0" w:space="0" w:color="auto"/>
        <w:left w:val="none" w:sz="0" w:space="0" w:color="auto"/>
        <w:bottom w:val="none" w:sz="0" w:space="0" w:color="auto"/>
        <w:right w:val="none" w:sz="0" w:space="0" w:color="auto"/>
      </w:divBdr>
    </w:div>
    <w:div w:id="1708990622">
      <w:bodyDiv w:val="1"/>
      <w:marLeft w:val="0"/>
      <w:marRight w:val="0"/>
      <w:marTop w:val="0"/>
      <w:marBottom w:val="0"/>
      <w:divBdr>
        <w:top w:val="none" w:sz="0" w:space="0" w:color="auto"/>
        <w:left w:val="none" w:sz="0" w:space="0" w:color="auto"/>
        <w:bottom w:val="none" w:sz="0" w:space="0" w:color="auto"/>
        <w:right w:val="none" w:sz="0" w:space="0" w:color="auto"/>
      </w:divBdr>
      <w:divsChild>
        <w:div w:id="986591248">
          <w:marLeft w:val="0"/>
          <w:marRight w:val="0"/>
          <w:marTop w:val="0"/>
          <w:marBottom w:val="0"/>
          <w:divBdr>
            <w:top w:val="none" w:sz="0" w:space="0" w:color="auto"/>
            <w:left w:val="none" w:sz="0" w:space="0" w:color="auto"/>
            <w:bottom w:val="none" w:sz="0" w:space="0" w:color="auto"/>
            <w:right w:val="none" w:sz="0" w:space="0" w:color="auto"/>
          </w:divBdr>
          <w:divsChild>
            <w:div w:id="1172724320">
              <w:marLeft w:val="0"/>
              <w:marRight w:val="0"/>
              <w:marTop w:val="0"/>
              <w:marBottom w:val="0"/>
              <w:divBdr>
                <w:top w:val="single" w:sz="6" w:space="0" w:color="666666"/>
                <w:left w:val="single" w:sz="6" w:space="0" w:color="666666"/>
                <w:bottom w:val="single" w:sz="48" w:space="0" w:color="000000"/>
                <w:right w:val="single" w:sz="6" w:space="0" w:color="666666"/>
              </w:divBdr>
              <w:divsChild>
                <w:div w:id="1874033384">
                  <w:marLeft w:val="0"/>
                  <w:marRight w:val="0"/>
                  <w:marTop w:val="0"/>
                  <w:marBottom w:val="0"/>
                  <w:divBdr>
                    <w:top w:val="none" w:sz="0" w:space="0" w:color="auto"/>
                    <w:left w:val="none" w:sz="0" w:space="0" w:color="auto"/>
                    <w:bottom w:val="none" w:sz="0" w:space="0" w:color="auto"/>
                    <w:right w:val="none" w:sz="0" w:space="0" w:color="auto"/>
                  </w:divBdr>
                  <w:divsChild>
                    <w:div w:id="290744654">
                      <w:marLeft w:val="150"/>
                      <w:marRight w:val="0"/>
                      <w:marTop w:val="150"/>
                      <w:marBottom w:val="0"/>
                      <w:divBdr>
                        <w:top w:val="none" w:sz="0" w:space="0" w:color="auto"/>
                        <w:left w:val="none" w:sz="0" w:space="0" w:color="auto"/>
                        <w:bottom w:val="none" w:sz="0" w:space="0" w:color="auto"/>
                        <w:right w:val="none" w:sz="0" w:space="0" w:color="auto"/>
                      </w:divBdr>
                      <w:divsChild>
                        <w:div w:id="1945720995">
                          <w:marLeft w:val="0"/>
                          <w:marRight w:val="0"/>
                          <w:marTop w:val="0"/>
                          <w:marBottom w:val="0"/>
                          <w:divBdr>
                            <w:top w:val="none" w:sz="0" w:space="0" w:color="auto"/>
                            <w:left w:val="none" w:sz="0" w:space="0" w:color="auto"/>
                            <w:bottom w:val="none" w:sz="0" w:space="0" w:color="auto"/>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sChild>
                                <w:div w:id="143010660">
                                  <w:marLeft w:val="0"/>
                                  <w:marRight w:val="0"/>
                                  <w:marTop w:val="0"/>
                                  <w:marBottom w:val="0"/>
                                  <w:divBdr>
                                    <w:top w:val="none" w:sz="0" w:space="0" w:color="auto"/>
                                    <w:left w:val="none" w:sz="0" w:space="0" w:color="auto"/>
                                    <w:bottom w:val="none" w:sz="0" w:space="0" w:color="auto"/>
                                    <w:right w:val="none" w:sz="0" w:space="0" w:color="auto"/>
                                  </w:divBdr>
                                  <w:divsChild>
                                    <w:div w:id="499203016">
                                      <w:marLeft w:val="0"/>
                                      <w:marRight w:val="0"/>
                                      <w:marTop w:val="0"/>
                                      <w:marBottom w:val="0"/>
                                      <w:divBdr>
                                        <w:top w:val="none" w:sz="0" w:space="0" w:color="auto"/>
                                        <w:left w:val="none" w:sz="0" w:space="0" w:color="auto"/>
                                        <w:bottom w:val="none" w:sz="0" w:space="0" w:color="auto"/>
                                        <w:right w:val="none" w:sz="0" w:space="0" w:color="auto"/>
                                      </w:divBdr>
                                      <w:divsChild>
                                        <w:div w:id="485636354">
                                          <w:marLeft w:val="0"/>
                                          <w:marRight w:val="0"/>
                                          <w:marTop w:val="0"/>
                                          <w:marBottom w:val="0"/>
                                          <w:divBdr>
                                            <w:top w:val="none" w:sz="0" w:space="0" w:color="auto"/>
                                            <w:left w:val="none" w:sz="0" w:space="0" w:color="auto"/>
                                            <w:bottom w:val="none" w:sz="0" w:space="0" w:color="auto"/>
                                            <w:right w:val="none" w:sz="0" w:space="0" w:color="auto"/>
                                          </w:divBdr>
                                          <w:divsChild>
                                            <w:div w:id="200362086">
                                              <w:marLeft w:val="0"/>
                                              <w:marRight w:val="0"/>
                                              <w:marTop w:val="0"/>
                                              <w:marBottom w:val="0"/>
                                              <w:divBdr>
                                                <w:top w:val="none" w:sz="0" w:space="0" w:color="auto"/>
                                                <w:left w:val="none" w:sz="0" w:space="0" w:color="auto"/>
                                                <w:bottom w:val="none" w:sz="0" w:space="0" w:color="auto"/>
                                                <w:right w:val="none" w:sz="0" w:space="0" w:color="auto"/>
                                              </w:divBdr>
                                              <w:divsChild>
                                                <w:div w:id="2139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300757">
      <w:bodyDiv w:val="1"/>
      <w:marLeft w:val="0"/>
      <w:marRight w:val="0"/>
      <w:marTop w:val="0"/>
      <w:marBottom w:val="0"/>
      <w:divBdr>
        <w:top w:val="none" w:sz="0" w:space="0" w:color="auto"/>
        <w:left w:val="none" w:sz="0" w:space="0" w:color="auto"/>
        <w:bottom w:val="none" w:sz="0" w:space="0" w:color="auto"/>
        <w:right w:val="none" w:sz="0" w:space="0" w:color="auto"/>
      </w:divBdr>
    </w:div>
    <w:div w:id="1759015632">
      <w:bodyDiv w:val="1"/>
      <w:marLeft w:val="0"/>
      <w:marRight w:val="0"/>
      <w:marTop w:val="0"/>
      <w:marBottom w:val="0"/>
      <w:divBdr>
        <w:top w:val="none" w:sz="0" w:space="0" w:color="auto"/>
        <w:left w:val="none" w:sz="0" w:space="0" w:color="auto"/>
        <w:bottom w:val="none" w:sz="0" w:space="0" w:color="auto"/>
        <w:right w:val="none" w:sz="0" w:space="0" w:color="auto"/>
      </w:divBdr>
    </w:div>
    <w:div w:id="1759520415">
      <w:bodyDiv w:val="1"/>
      <w:marLeft w:val="0"/>
      <w:marRight w:val="0"/>
      <w:marTop w:val="0"/>
      <w:marBottom w:val="0"/>
      <w:divBdr>
        <w:top w:val="none" w:sz="0" w:space="0" w:color="auto"/>
        <w:left w:val="none" w:sz="0" w:space="0" w:color="auto"/>
        <w:bottom w:val="none" w:sz="0" w:space="0" w:color="auto"/>
        <w:right w:val="none" w:sz="0" w:space="0" w:color="auto"/>
      </w:divBdr>
    </w:div>
    <w:div w:id="1763643441">
      <w:bodyDiv w:val="1"/>
      <w:marLeft w:val="0"/>
      <w:marRight w:val="0"/>
      <w:marTop w:val="0"/>
      <w:marBottom w:val="0"/>
      <w:divBdr>
        <w:top w:val="none" w:sz="0" w:space="0" w:color="auto"/>
        <w:left w:val="none" w:sz="0" w:space="0" w:color="auto"/>
        <w:bottom w:val="none" w:sz="0" w:space="0" w:color="auto"/>
        <w:right w:val="none" w:sz="0" w:space="0" w:color="auto"/>
      </w:divBdr>
    </w:div>
    <w:div w:id="1856840202">
      <w:bodyDiv w:val="1"/>
      <w:marLeft w:val="0"/>
      <w:marRight w:val="0"/>
      <w:marTop w:val="0"/>
      <w:marBottom w:val="0"/>
      <w:divBdr>
        <w:top w:val="none" w:sz="0" w:space="0" w:color="auto"/>
        <w:left w:val="none" w:sz="0" w:space="0" w:color="auto"/>
        <w:bottom w:val="none" w:sz="0" w:space="0" w:color="auto"/>
        <w:right w:val="none" w:sz="0" w:space="0" w:color="auto"/>
      </w:divBdr>
    </w:div>
    <w:div w:id="2032216849">
      <w:bodyDiv w:val="1"/>
      <w:marLeft w:val="0"/>
      <w:marRight w:val="0"/>
      <w:marTop w:val="0"/>
      <w:marBottom w:val="0"/>
      <w:divBdr>
        <w:top w:val="none" w:sz="0" w:space="0" w:color="auto"/>
        <w:left w:val="none" w:sz="0" w:space="0" w:color="auto"/>
        <w:bottom w:val="none" w:sz="0" w:space="0" w:color="auto"/>
        <w:right w:val="none" w:sz="0" w:space="0" w:color="auto"/>
      </w:divBdr>
    </w:div>
    <w:div w:id="2032411996">
      <w:bodyDiv w:val="1"/>
      <w:marLeft w:val="0"/>
      <w:marRight w:val="0"/>
      <w:marTop w:val="0"/>
      <w:marBottom w:val="0"/>
      <w:divBdr>
        <w:top w:val="none" w:sz="0" w:space="0" w:color="auto"/>
        <w:left w:val="none" w:sz="0" w:space="0" w:color="auto"/>
        <w:bottom w:val="none" w:sz="0" w:space="0" w:color="auto"/>
        <w:right w:val="none" w:sz="0" w:space="0" w:color="auto"/>
      </w:divBdr>
    </w:div>
    <w:div w:id="205450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Internal%20briefing\Internal_general_briefing_template.dotx" TargetMode="External"/></Relationships>
</file>

<file path=word/theme/theme1.xml><?xml version="1.0" encoding="utf-8"?>
<a:theme xmlns:a="http://schemas.openxmlformats.org/drawingml/2006/main" name="Office Theme">
  <a:themeElements>
    <a:clrScheme name="IGWC">
      <a:dk1>
        <a:srgbClr val="4C6968"/>
      </a:dk1>
      <a:lt1>
        <a:srgbClr val="BCD8E3"/>
      </a:lt1>
      <a:dk2>
        <a:srgbClr val="48555E"/>
      </a:dk2>
      <a:lt2>
        <a:srgbClr val="E7E6E6"/>
      </a:lt2>
      <a:accent1>
        <a:srgbClr val="4C6968"/>
      </a:accent1>
      <a:accent2>
        <a:srgbClr val="48545E"/>
      </a:accent2>
      <a:accent3>
        <a:srgbClr val="BCD7E2"/>
      </a:accent3>
      <a:accent4>
        <a:srgbClr val="6E8C81"/>
      </a:accent4>
      <a:accent5>
        <a:srgbClr val="F0C88A"/>
      </a:accent5>
      <a:accent6>
        <a:srgbClr val="CE9282"/>
      </a:accent6>
      <a:hlink>
        <a:srgbClr val="48545E"/>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b98728ac-f998-415c-abee-6b046fb1441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5" ma:contentTypeDescription="Create a new document." ma:contentTypeScope="" ma:versionID="6e48aec5def834d40ec44ff6c92fbf08">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987a2097c9261067d7968c54a9b0e15b"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385E95-9A94-4671-BB86-D1435D0A38C2}">
  <ds:schemaRefs>
    <ds:schemaRef ds:uri="http://schemas.microsoft.com/office/2006/metadata/properties"/>
    <ds:schemaRef ds:uri="http://purl.org/dc/terms/"/>
    <ds:schemaRef ds:uri="http://purl.org/dc/elements/1.1/"/>
    <ds:schemaRef ds:uri="http://schemas.microsoft.com/office/infopath/2007/PartnerControls"/>
    <ds:schemaRef ds:uri="http://schemas.microsoft.com/office/2006/documentManagement/types"/>
    <ds:schemaRef ds:uri="b98728ac-f998-415c-abee-6b046fb1441e"/>
    <ds:schemaRef ds:uri="http://schemas.openxmlformats.org/package/2006/metadata/core-properties"/>
    <ds:schemaRef ds:uri="81c01dc6-2c49-4730-b140-874c95cac377"/>
    <ds:schemaRef ds:uri="d869c146-c82e-4435-92e4-da91542262fd"/>
    <ds:schemaRef ds:uri="http://www.w3.org/XML/1998/namespace"/>
    <ds:schemaRef ds:uri="http://purl.org/dc/dcmitype/"/>
  </ds:schemaRefs>
</ds:datastoreItem>
</file>

<file path=customXml/itemProps2.xml><?xml version="1.0" encoding="utf-8"?>
<ds:datastoreItem xmlns:ds="http://schemas.openxmlformats.org/officeDocument/2006/customXml" ds:itemID="{90D734C4-D968-4507-B028-2B1DF3E942C7}">
  <ds:schemaRefs>
    <ds:schemaRef ds:uri="http://schemas.microsoft.com/sharepoint/v3/contenttype/forms"/>
  </ds:schemaRefs>
</ds:datastoreItem>
</file>

<file path=customXml/itemProps3.xml><?xml version="1.0" encoding="utf-8"?>
<ds:datastoreItem xmlns:ds="http://schemas.openxmlformats.org/officeDocument/2006/customXml" ds:itemID="{677B0AE6-33CD-438E-A4D0-E68A34112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728ac-f998-415c-abee-6b046fb1441e"/>
    <ds:schemaRef ds:uri="81c01dc6-2c49-4730-b140-874c95cac377"/>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Internal_general_briefing_template</Template>
  <TotalTime>23</TotalTime>
  <Pages>6</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Murray–Darling Basin community perceptions research 2023 Findings relating to the Inspector-General of Water Compliance</vt:lpstr>
    </vt:vector>
  </TitlesOfParts>
  <Manager/>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Murray–Darling Basin community perceptions research 2023 Findings relating to the Inspector-General of Water Compliance</dc:title>
  <dc:subject>
  </dc:subject>
  <dc:creator>Rychevska, Ivanna</dc:creator>
  <cp:keywords>
  </cp:keywords>
  <dc:description>
  </dc:description>
  <cp:revision>32</cp:revision>
  <cp:lastPrinted>2021-12-15T06:45:00Z</cp:lastPrinted>
  <dcterms:created xsi:type="dcterms:W3CDTF">2024-05-24T00:49:00Z</dcterms:created>
  <dcterms:modified xsi:type="dcterms:W3CDTF">2024-06-03T02:12:00Z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y fmtid="{D5CDD505-2E9C-101B-9397-08002B2CF9AE}" pid="3" name="MediaServiceImageTags">
    <vt:lpwstr/>
  </property>
</Properties>
</file>