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C73F" w14:textId="40773028" w:rsidR="00473F5B" w:rsidRDefault="007A1E2C" w:rsidP="00473F5B">
      <w:pPr>
        <w:pStyle w:val="Title"/>
      </w:pPr>
      <w:r w:rsidRPr="003A6733">
        <w:rPr>
          <w:noProof/>
        </w:rPr>
        <w:drawing>
          <wp:anchor distT="0" distB="0" distL="114300" distR="114300" simplePos="0" relativeHeight="251659264" behindDoc="1" locked="1" layoutInCell="1" allowOverlap="1" wp14:anchorId="75AAD8E9" wp14:editId="769EEFBC">
            <wp:simplePos x="0" y="0"/>
            <wp:positionH relativeFrom="column">
              <wp:posOffset>-754380</wp:posOffset>
            </wp:positionH>
            <wp:positionV relativeFrom="paragraph">
              <wp:posOffset>-2599055</wp:posOffset>
            </wp:positionV>
            <wp:extent cx="7597140" cy="10751185"/>
            <wp:effectExtent l="0" t="0" r="3810" b="0"/>
            <wp:wrapNone/>
            <wp:docPr id="47" name="Pictur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4434F8DB" wp14:editId="549862F5">
            <wp:simplePos x="0" y="0"/>
            <wp:positionH relativeFrom="page">
              <wp:posOffset>594360</wp:posOffset>
            </wp:positionH>
            <wp:positionV relativeFrom="paragraph">
              <wp:posOffset>-1986280</wp:posOffset>
            </wp:positionV>
            <wp:extent cx="3600450" cy="1040130"/>
            <wp:effectExtent l="0" t="0" r="0" b="0"/>
            <wp:wrapNone/>
            <wp:docPr id="66" name="Pictur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1A" w:rsidRPr="0065411A">
        <w:t>Murray–Darling Basin community perceptions research 2023</w:t>
      </w:r>
    </w:p>
    <w:p w14:paraId="07FC3C62" w14:textId="5709D529" w:rsidR="00473F5B" w:rsidRPr="00323A24" w:rsidRDefault="00567A92" w:rsidP="00C50A47">
      <w:pPr>
        <w:pStyle w:val="Subtitle"/>
      </w:pPr>
      <w:r w:rsidRPr="00567A92">
        <w:rPr>
          <w:lang w:val="en-GB"/>
        </w:rPr>
        <w:t>Perceptions relating to water management in the Murray–Darling Basin</w:t>
      </w:r>
      <w:r w:rsidR="00473F5B">
        <w:br w:type="page"/>
      </w:r>
    </w:p>
    <w:p w14:paraId="772B22A0" w14:textId="77777777" w:rsidR="004D00AF" w:rsidRDefault="004D00AF" w:rsidP="00323A24">
      <w:pPr>
        <w:rPr>
          <w:b/>
          <w:color w:val="4C6968" w:themeColor="text1"/>
          <w:sz w:val="50"/>
          <w:szCs w:val="24"/>
        </w:rPr>
      </w:pPr>
      <w:r w:rsidRPr="004D00AF">
        <w:rPr>
          <w:b/>
          <w:color w:val="4C6968" w:themeColor="text1"/>
          <w:sz w:val="50"/>
          <w:szCs w:val="24"/>
        </w:rPr>
        <w:lastRenderedPageBreak/>
        <w:t>Perceptions of water management</w:t>
      </w:r>
    </w:p>
    <w:p w14:paraId="18F11D7D" w14:textId="134028EF" w:rsidR="004D00AF" w:rsidRPr="004D00AF" w:rsidRDefault="004D00AF" w:rsidP="000811A3">
      <w:r w:rsidRPr="004D00AF">
        <w:rPr>
          <w:lang w:val="en-US"/>
        </w:rPr>
        <w:t xml:space="preserve">While perceptions of water management among community respondents have improved slightly from the previous research, water </w:t>
      </w:r>
      <w:proofErr w:type="spellStart"/>
      <w:r w:rsidRPr="004D00AF">
        <w:rPr>
          <w:lang w:val="en-US"/>
        </w:rPr>
        <w:t>licence</w:t>
      </w:r>
      <w:proofErr w:type="spellEnd"/>
      <w:r w:rsidRPr="004D00AF">
        <w:rPr>
          <w:lang w:val="en-US"/>
        </w:rPr>
        <w:t xml:space="preserve"> holder respondents were significantly less likely to provide a positive rating. Across both audiences, negative perceptions were more commonly reported than positive. </w:t>
      </w:r>
    </w:p>
    <w:p w14:paraId="30C919B3" w14:textId="77777777" w:rsidR="004D00AF" w:rsidRPr="004D00AF" w:rsidRDefault="004D00AF" w:rsidP="004D00AF">
      <w:pPr>
        <w:rPr>
          <w:rFonts w:cs="Arial"/>
          <w:b/>
          <w:bCs/>
          <w:color w:val="48555E" w:themeColor="text2"/>
          <w:sz w:val="26"/>
        </w:rPr>
      </w:pPr>
      <w:r w:rsidRPr="004D00AF">
        <w:rPr>
          <w:rFonts w:cs="Arial"/>
          <w:b/>
          <w:bCs/>
          <w:color w:val="48555E" w:themeColor="text2"/>
          <w:sz w:val="26"/>
          <w:lang w:val="en-GB"/>
        </w:rPr>
        <w:t>Feelings towards the management of water in the Basin…</w:t>
      </w:r>
    </w:p>
    <w:p w14:paraId="035A71D7" w14:textId="77777777" w:rsidR="00347E33" w:rsidRDefault="00347E33" w:rsidP="00347E33">
      <w:r>
        <w:t xml:space="preserve">For community members, 18% provided a negative response, 71% gave a neutral or unsure response, and 11% gave a positive response; compared to 26% who provided a negative response, 68% gave a neutral or unsure response, and 6% who gave a positive response in 2022. A downward arrow can be seen beside the 2023 figure for the proportion of negative responses and an upward arrow beside the proportion of positive responses, indicating a statistically significant decrease in negative responses and a significant increase in positive responses compared to the previous year, at a 90% confidence level. </w:t>
      </w:r>
    </w:p>
    <w:p w14:paraId="0845287A" w14:textId="77777777" w:rsidR="00347E33" w:rsidRDefault="00347E33" w:rsidP="00347E33">
      <w:r>
        <w:t>For water licence holders, 26% gave a negative response, 64% gave a neutral or unsure response, and 9% gave a positive response; compared to 25% who gave a negative response, 58% gave a neutral or unsure response, and 17% gave a positive response in 2022. A downward arrow can be seen beside the 2023 proportion of positive responses, indicating a statistically significant decrease in the proportion of positive responses compared to the previous year, at a 90% confidence level.</w:t>
      </w:r>
    </w:p>
    <w:p w14:paraId="3E458370" w14:textId="4EEA2974" w:rsidR="00146875" w:rsidRDefault="00146875" w:rsidP="00347E33">
      <w:r>
        <w:t>Questions and data used for the charts above:</w:t>
      </w:r>
    </w:p>
    <w:p w14:paraId="5E111ED6" w14:textId="77777777" w:rsidR="00CA1834" w:rsidRDefault="00347E33" w:rsidP="00CA1834">
      <w:pPr>
        <w:pStyle w:val="ListBullet"/>
      </w:pPr>
      <w:r>
        <w:t xml:space="preserve">Q17. On a scale from 1 to 10, where ‘1’ is extremely negative, and ‘10’ is extremely positive, based on what you know, how would you rate your feelings about the management of water in the Basin…? Negative = 1-3, Neutral = 4-7, Positive = 8-10. </w:t>
      </w:r>
    </w:p>
    <w:p w14:paraId="67EC4F85" w14:textId="4125B157" w:rsidR="00692AF2" w:rsidRDefault="00347E33" w:rsidP="00CA1834">
      <w:pPr>
        <w:pStyle w:val="ListBullet"/>
      </w:pPr>
      <w:r>
        <w:t>The community base size in 2023 was n=800; and in 2022 it was n=817. The water licence base size in 2023 was n=214; and in 2022 it was n=200.</w:t>
      </w:r>
    </w:p>
    <w:p w14:paraId="73ECD126" w14:textId="77777777" w:rsidR="00CA1834" w:rsidRDefault="00CA1834" w:rsidP="00661C53">
      <w:pPr>
        <w:rPr>
          <w:rFonts w:cs="Arial"/>
          <w:b/>
          <w:color w:val="48555E" w:themeColor="text2"/>
          <w:sz w:val="26"/>
        </w:rPr>
      </w:pPr>
      <w:r w:rsidRPr="00CA1834">
        <w:rPr>
          <w:rFonts w:cs="Arial"/>
          <w:b/>
          <w:color w:val="48555E" w:themeColor="text2"/>
          <w:sz w:val="26"/>
        </w:rPr>
        <w:t xml:space="preserve">Key perceptions of water management identified in the qualitative </w:t>
      </w:r>
      <w:proofErr w:type="gramStart"/>
      <w:r w:rsidRPr="00CA1834">
        <w:rPr>
          <w:rFonts w:cs="Arial"/>
          <w:b/>
          <w:color w:val="48555E" w:themeColor="text2"/>
          <w:sz w:val="26"/>
        </w:rPr>
        <w:t>research</w:t>
      </w:r>
      <w:proofErr w:type="gramEnd"/>
    </w:p>
    <w:p w14:paraId="633053CA" w14:textId="77777777" w:rsidR="00CA1834" w:rsidRDefault="00CA1834" w:rsidP="008E1935">
      <w:r w:rsidRPr="00CA1834">
        <w:t xml:space="preserve">As found previously, perceptions of water management were influenced by what participants saw and heard… </w:t>
      </w:r>
    </w:p>
    <w:p w14:paraId="1B68279F" w14:textId="1D8E043B" w:rsidR="00046798" w:rsidRDefault="00046798" w:rsidP="00046798">
      <w:pPr>
        <w:pStyle w:val="Heading4"/>
      </w:pPr>
      <w:r w:rsidRPr="00046798">
        <w:t>Key positive perceptions identified in 2023 research included:</w:t>
      </w:r>
    </w:p>
    <w:p w14:paraId="4B91D952" w14:textId="77777777" w:rsidR="00046798" w:rsidRDefault="00046798" w:rsidP="00046798">
      <w:pPr>
        <w:pStyle w:val="ListBullet"/>
      </w:pPr>
      <w:r>
        <w:t xml:space="preserve">More water in the system currently – which reduced </w:t>
      </w:r>
      <w:proofErr w:type="spellStart"/>
      <w:r>
        <w:t>skepticism</w:t>
      </w:r>
      <w:proofErr w:type="spellEnd"/>
      <w:r>
        <w:t xml:space="preserve"> and concerns about management of </w:t>
      </w:r>
      <w:proofErr w:type="gramStart"/>
      <w:r>
        <w:t>water;</w:t>
      </w:r>
      <w:proofErr w:type="gramEnd"/>
    </w:p>
    <w:p w14:paraId="354AEA2B" w14:textId="77777777" w:rsidR="00046798" w:rsidRDefault="00046798" w:rsidP="00046798">
      <w:pPr>
        <w:pStyle w:val="ListBullet"/>
      </w:pPr>
      <w:r>
        <w:t>A greater focus on water efficiency in agricultural and irrigation decisions and practices, such as drip irrigation, more efficient crops, planting decisions and crop variation; and</w:t>
      </w:r>
    </w:p>
    <w:p w14:paraId="3B0BB73C" w14:textId="77777777" w:rsidR="00046798" w:rsidRDefault="00046798" w:rsidP="00046798">
      <w:pPr>
        <w:pStyle w:val="ListBullet"/>
      </w:pPr>
      <w:r>
        <w:t>Environmental flows having improved biodiversity, such as flora and fauna, and water quality.</w:t>
      </w:r>
    </w:p>
    <w:p w14:paraId="7D9ED923" w14:textId="186510A6" w:rsidR="00BE4EC2" w:rsidRDefault="007318A8" w:rsidP="007318A8">
      <w:pPr>
        <w:pStyle w:val="Heading4"/>
      </w:pPr>
      <w:r w:rsidRPr="007318A8">
        <w:t>Key negative perceptions identified in 2023 research included:</w:t>
      </w:r>
    </w:p>
    <w:p w14:paraId="79426B2E" w14:textId="77777777" w:rsidR="007318A8" w:rsidRDefault="007318A8" w:rsidP="007318A8">
      <w:pPr>
        <w:pStyle w:val="ListBullet"/>
      </w:pPr>
      <w:r>
        <w:t xml:space="preserve">Foreign ownership of water and using Australia’s water to grow products for export, such as cotton, which was disadvantaging Australian growers and </w:t>
      </w:r>
      <w:proofErr w:type="gramStart"/>
      <w:r>
        <w:t>community;</w:t>
      </w:r>
      <w:proofErr w:type="gramEnd"/>
    </w:p>
    <w:p w14:paraId="0416C3FE" w14:textId="77777777" w:rsidR="007318A8" w:rsidRDefault="007318A8" w:rsidP="007318A8">
      <w:pPr>
        <w:pStyle w:val="ListBullet"/>
      </w:pPr>
      <w:r>
        <w:t xml:space="preserve">Environmental flows destroying the environment, for example, erosion of banks, flow fluctuations, the Barmah </w:t>
      </w:r>
      <w:proofErr w:type="gramStart"/>
      <w:r>
        <w:t>Choke;</w:t>
      </w:r>
      <w:proofErr w:type="gramEnd"/>
    </w:p>
    <w:p w14:paraId="7869998C" w14:textId="77777777" w:rsidR="007318A8" w:rsidRDefault="007318A8" w:rsidP="007318A8">
      <w:pPr>
        <w:pStyle w:val="ListBullet"/>
      </w:pPr>
      <w:r>
        <w:lastRenderedPageBreak/>
        <w:t xml:space="preserve">Water not being shared fairly and inconsistencies in rules and regulations between States/ </w:t>
      </w:r>
      <w:proofErr w:type="gramStart"/>
      <w:r>
        <w:t>Territory;</w:t>
      </w:r>
      <w:proofErr w:type="gramEnd"/>
    </w:p>
    <w:p w14:paraId="06348B7F" w14:textId="77777777" w:rsidR="007318A8" w:rsidRDefault="007318A8" w:rsidP="007318A8">
      <w:pPr>
        <w:pStyle w:val="ListBullet"/>
      </w:pPr>
      <w:r>
        <w:t>Not enough action taken to prepare communities and businesses for weather events such as drought, flooding; and</w:t>
      </w:r>
    </w:p>
    <w:p w14:paraId="29F9CB20" w14:textId="28D82F86" w:rsidR="007318A8" w:rsidRPr="007318A8" w:rsidRDefault="007318A8" w:rsidP="007318A8">
      <w:pPr>
        <w:pStyle w:val="ListBullet"/>
      </w:pPr>
      <w:r>
        <w:t>Political motives driving water management decisions.</w:t>
      </w:r>
    </w:p>
    <w:sectPr w:rsidR="007318A8" w:rsidRPr="007318A8" w:rsidSect="009D1809">
      <w:footerReference w:type="default" r:id="rId12"/>
      <w:headerReference w:type="first" r:id="rId13"/>
      <w:footerReference w:type="first" r:id="rId14"/>
      <w:pgSz w:w="11906" w:h="16838"/>
      <w:pgMar w:top="1284" w:right="1134" w:bottom="816" w:left="1134" w:header="431" w:footer="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81FD" w14:textId="77777777" w:rsidR="00BC79DD" w:rsidRDefault="00BC79DD">
      <w:r>
        <w:separator/>
      </w:r>
    </w:p>
  </w:endnote>
  <w:endnote w:type="continuationSeparator" w:id="0">
    <w:p w14:paraId="26BE5F5E" w14:textId="77777777" w:rsidR="00BC79DD" w:rsidRDefault="00BC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A9B" w14:textId="405BDF93" w:rsidR="003C5491" w:rsidRPr="007421F4" w:rsidRDefault="00794F8E" w:rsidP="007421F4">
    <w:pPr>
      <w:pStyle w:val="Footer"/>
      <w:tabs>
        <w:tab w:val="clear" w:pos="4513"/>
        <w:tab w:val="clear" w:pos="9026"/>
        <w:tab w:val="right" w:pos="9638"/>
      </w:tabs>
    </w:pPr>
    <w:r>
      <w:t xml:space="preserve">IGWC Basin Community Perception </w:t>
    </w:r>
    <w:r w:rsidR="000F4D94">
      <w:t xml:space="preserve">Research 2023 | Research conducted by </w:t>
    </w:r>
    <w:proofErr w:type="spellStart"/>
    <w:r w:rsidR="000F4D94">
      <w:t>Orima</w:t>
    </w:r>
    <w:proofErr w:type="spellEnd"/>
    <w:r w:rsidR="000F4D94">
      <w:t xml:space="preserve"> </w:t>
    </w:r>
    <w:r w:rsidR="007421F4" w:rsidRPr="007421F4">
      <w:tab/>
    </w:r>
    <w:r w:rsidR="007421F4" w:rsidRPr="007421F4">
      <w:fldChar w:fldCharType="begin"/>
    </w:r>
    <w:r w:rsidR="007421F4" w:rsidRPr="007421F4">
      <w:instrText xml:space="preserve"> PAGE   \* MERGEFORMAT </w:instrText>
    </w:r>
    <w:r w:rsidR="007421F4" w:rsidRPr="007421F4">
      <w:fldChar w:fldCharType="separate"/>
    </w:r>
    <w:r w:rsidR="007421F4" w:rsidRPr="007421F4">
      <w:t>1</w:t>
    </w:r>
    <w:r w:rsidR="007421F4" w:rsidRPr="007421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4A9C" w14:textId="77777777" w:rsidR="00B25458" w:rsidRPr="002C07A5" w:rsidRDefault="00B25458" w:rsidP="002C07A5">
    <w:pPr>
      <w:pStyle w:val="Footer"/>
      <w:tabs>
        <w:tab w:val="clear" w:pos="4513"/>
        <w:tab w:val="clear" w:pos="9026"/>
        <w:tab w:val="right" w:pos="9638"/>
      </w:tabs>
      <w:rPr>
        <w:color w:val="FFFFFF"/>
      </w:rPr>
    </w:pPr>
    <w:r w:rsidRPr="00DA3699">
      <w:rPr>
        <w:color w:val="FF0000"/>
      </w:rPr>
      <w:t>Inspector-General of Water Compliance</w:t>
    </w:r>
    <w:r w:rsidRPr="00DA3699">
      <w:rPr>
        <w:color w:val="FF0000"/>
      </w:rPr>
      <w:tab/>
    </w:r>
    <w:r w:rsidRPr="00DA3699">
      <w:rPr>
        <w:color w:val="FF0000"/>
      </w:rPr>
      <w:fldChar w:fldCharType="begin"/>
    </w:r>
    <w:r w:rsidRPr="00DA3699">
      <w:rPr>
        <w:color w:val="FF0000"/>
      </w:rPr>
      <w:instrText xml:space="preserve"> PAGE   \* MERGEFORMAT </w:instrText>
    </w:r>
    <w:r w:rsidRPr="00DA3699">
      <w:rPr>
        <w:color w:val="FF0000"/>
      </w:rPr>
      <w:fldChar w:fldCharType="separate"/>
    </w:r>
    <w:r w:rsidRPr="00DA3699">
      <w:rPr>
        <w:color w:val="FF0000"/>
      </w:rPr>
      <w:t>3</w:t>
    </w:r>
    <w:r w:rsidRPr="00DA3699">
      <w:rPr>
        <w:noProof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A419" w14:textId="77777777" w:rsidR="00BC79DD" w:rsidRDefault="00BC79DD">
      <w:r>
        <w:separator/>
      </w:r>
    </w:p>
  </w:footnote>
  <w:footnote w:type="continuationSeparator" w:id="0">
    <w:p w14:paraId="41740533" w14:textId="77777777" w:rsidR="00BC79DD" w:rsidRDefault="00BC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BE3D" w14:textId="77777777" w:rsidR="00090D27" w:rsidRDefault="00090D27">
    <w:pPr>
      <w:pStyle w:val="Header"/>
    </w:pPr>
  </w:p>
  <w:p w14:paraId="0EA288ED" w14:textId="77777777" w:rsidR="00090D27" w:rsidRDefault="00090D27">
    <w:pPr>
      <w:pStyle w:val="Header"/>
    </w:pPr>
  </w:p>
  <w:p w14:paraId="650E3E13" w14:textId="77777777" w:rsidR="00090D27" w:rsidRDefault="00090D27">
    <w:pPr>
      <w:pStyle w:val="Header"/>
    </w:pPr>
  </w:p>
  <w:p w14:paraId="671A4AB2" w14:textId="77777777" w:rsidR="00090D27" w:rsidRDefault="00090D27">
    <w:pPr>
      <w:pStyle w:val="Header"/>
    </w:pPr>
  </w:p>
  <w:p w14:paraId="6B634EFA" w14:textId="77777777" w:rsidR="00090D27" w:rsidRDefault="00090D27">
    <w:pPr>
      <w:pStyle w:val="Header"/>
    </w:pPr>
  </w:p>
  <w:p w14:paraId="4C593F69" w14:textId="77777777" w:rsidR="00090D27" w:rsidRDefault="00090D27">
    <w:pPr>
      <w:pStyle w:val="Header"/>
    </w:pPr>
  </w:p>
  <w:p w14:paraId="0A703FE7" w14:textId="77777777" w:rsidR="00090D27" w:rsidRDefault="00090D27">
    <w:pPr>
      <w:pStyle w:val="Header"/>
    </w:pPr>
  </w:p>
  <w:p w14:paraId="1286BD69" w14:textId="77777777" w:rsidR="00090D27" w:rsidRDefault="00090D27">
    <w:pPr>
      <w:pStyle w:val="Header"/>
    </w:pPr>
  </w:p>
  <w:p w14:paraId="364BF1AA" w14:textId="77777777" w:rsidR="00090D27" w:rsidRDefault="00090D27">
    <w:pPr>
      <w:pStyle w:val="Header"/>
    </w:pPr>
  </w:p>
  <w:p w14:paraId="2B287129" w14:textId="77777777" w:rsidR="00090D27" w:rsidRDefault="00090D27">
    <w:pPr>
      <w:pStyle w:val="Header"/>
    </w:pPr>
  </w:p>
  <w:p w14:paraId="4BCC4CB1" w14:textId="77777777" w:rsidR="00090D27" w:rsidRDefault="00090D27">
    <w:pPr>
      <w:pStyle w:val="Header"/>
    </w:pPr>
  </w:p>
  <w:p w14:paraId="59FEBB73" w14:textId="77777777" w:rsidR="00090D27" w:rsidRDefault="00090D27">
    <w:pPr>
      <w:pStyle w:val="Header"/>
    </w:pPr>
  </w:p>
  <w:p w14:paraId="2D2B5172" w14:textId="77777777" w:rsidR="00090D27" w:rsidRDefault="00090D27">
    <w:pPr>
      <w:pStyle w:val="Header"/>
    </w:pPr>
  </w:p>
  <w:p w14:paraId="47963768" w14:textId="77777777" w:rsidR="00090D27" w:rsidRDefault="00090D27">
    <w:pPr>
      <w:pStyle w:val="Header"/>
    </w:pPr>
  </w:p>
  <w:p w14:paraId="502636F4" w14:textId="77777777" w:rsidR="00090D27" w:rsidRDefault="00090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424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D2C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CA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86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D4B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08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469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40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E6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F6F4874"/>
    <w:multiLevelType w:val="hybridMultilevel"/>
    <w:tmpl w:val="7FA08D24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F8614D"/>
    <w:multiLevelType w:val="hybridMultilevel"/>
    <w:tmpl w:val="26CE1DDA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4BBA5DEF"/>
    <w:multiLevelType w:val="singleLevel"/>
    <w:tmpl w:val="27625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</w:abstractNum>
  <w:abstractNum w:abstractNumId="18" w15:restartNumberingAfterBreak="0">
    <w:nsid w:val="4C64641D"/>
    <w:multiLevelType w:val="hybridMultilevel"/>
    <w:tmpl w:val="69EAC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F4B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74575"/>
    <w:multiLevelType w:val="multilevel"/>
    <w:tmpl w:val="CEBE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95F71"/>
    <w:multiLevelType w:val="hybridMultilevel"/>
    <w:tmpl w:val="66E6DDBC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5FFB6035"/>
    <w:multiLevelType w:val="hybridMultilevel"/>
    <w:tmpl w:val="1B9A4D9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5456429"/>
    <w:multiLevelType w:val="multilevel"/>
    <w:tmpl w:val="D5F21E5A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814EB9"/>
    <w:multiLevelType w:val="hybridMultilevel"/>
    <w:tmpl w:val="EE5E18A6"/>
    <w:lvl w:ilvl="0" w:tplc="111CDE18">
      <w:start w:val="202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B7B4D"/>
    <w:multiLevelType w:val="multilevel"/>
    <w:tmpl w:val="1000160E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6" w15:restartNumberingAfterBreak="0">
    <w:nsid w:val="6F1308B5"/>
    <w:multiLevelType w:val="hybridMultilevel"/>
    <w:tmpl w:val="5BDC7174"/>
    <w:lvl w:ilvl="0" w:tplc="CF569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6E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CB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C8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A4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4F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67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4B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8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3A7"/>
    <w:multiLevelType w:val="singleLevel"/>
    <w:tmpl w:val="BE3C85A2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91578559">
    <w:abstractNumId w:val="29"/>
  </w:num>
  <w:num w:numId="2" w16cid:durableId="1695494793">
    <w:abstractNumId w:val="10"/>
  </w:num>
  <w:num w:numId="3" w16cid:durableId="837967731">
    <w:abstractNumId w:val="27"/>
  </w:num>
  <w:num w:numId="4" w16cid:durableId="503016937">
    <w:abstractNumId w:val="23"/>
  </w:num>
  <w:num w:numId="5" w16cid:durableId="1193498152">
    <w:abstractNumId w:val="15"/>
  </w:num>
  <w:num w:numId="6" w16cid:durableId="741562954">
    <w:abstractNumId w:val="14"/>
  </w:num>
  <w:num w:numId="7" w16cid:durableId="328093727">
    <w:abstractNumId w:val="22"/>
  </w:num>
  <w:num w:numId="8" w16cid:durableId="904608017">
    <w:abstractNumId w:val="13"/>
  </w:num>
  <w:num w:numId="9" w16cid:durableId="1636716221">
    <w:abstractNumId w:val="12"/>
  </w:num>
  <w:num w:numId="10" w16cid:durableId="421340098">
    <w:abstractNumId w:val="28"/>
  </w:num>
  <w:num w:numId="11" w16cid:durableId="1563101622">
    <w:abstractNumId w:val="22"/>
  </w:num>
  <w:num w:numId="12" w16cid:durableId="13025422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651029">
    <w:abstractNumId w:val="17"/>
  </w:num>
  <w:num w:numId="14" w16cid:durableId="1320034301">
    <w:abstractNumId w:val="21"/>
  </w:num>
  <w:num w:numId="15" w16cid:durableId="1245845613">
    <w:abstractNumId w:val="25"/>
  </w:num>
  <w:num w:numId="16" w16cid:durableId="1246299485">
    <w:abstractNumId w:val="22"/>
  </w:num>
  <w:num w:numId="17" w16cid:durableId="7854682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9692334">
    <w:abstractNumId w:val="22"/>
  </w:num>
  <w:num w:numId="19" w16cid:durableId="1540781966">
    <w:abstractNumId w:val="18"/>
  </w:num>
  <w:num w:numId="20" w16cid:durableId="1116951293">
    <w:abstractNumId w:val="22"/>
  </w:num>
  <w:num w:numId="21" w16cid:durableId="1883251262">
    <w:abstractNumId w:val="20"/>
  </w:num>
  <w:num w:numId="22" w16cid:durableId="192231740">
    <w:abstractNumId w:val="16"/>
  </w:num>
  <w:num w:numId="23" w16cid:durableId="772290083">
    <w:abstractNumId w:val="11"/>
  </w:num>
  <w:num w:numId="24" w16cid:durableId="1653481782">
    <w:abstractNumId w:val="22"/>
  </w:num>
  <w:num w:numId="25" w16cid:durableId="1500997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6917405">
    <w:abstractNumId w:val="8"/>
  </w:num>
  <w:num w:numId="27" w16cid:durableId="1525173352">
    <w:abstractNumId w:val="19"/>
  </w:num>
  <w:num w:numId="28" w16cid:durableId="1191532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43293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727208">
    <w:abstractNumId w:val="22"/>
  </w:num>
  <w:num w:numId="31" w16cid:durableId="375199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1455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4065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59543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1262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3910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364114">
    <w:abstractNumId w:val="0"/>
  </w:num>
  <w:num w:numId="38" w16cid:durableId="1485665366">
    <w:abstractNumId w:val="1"/>
  </w:num>
  <w:num w:numId="39" w16cid:durableId="1159468229">
    <w:abstractNumId w:val="4"/>
  </w:num>
  <w:num w:numId="40" w16cid:durableId="126556623">
    <w:abstractNumId w:val="5"/>
  </w:num>
  <w:num w:numId="41" w16cid:durableId="498614628">
    <w:abstractNumId w:val="6"/>
  </w:num>
  <w:num w:numId="42" w16cid:durableId="1899632683">
    <w:abstractNumId w:val="9"/>
  </w:num>
  <w:num w:numId="43" w16cid:durableId="309598067">
    <w:abstractNumId w:val="7"/>
  </w:num>
  <w:num w:numId="44" w16cid:durableId="694695995">
    <w:abstractNumId w:val="3"/>
  </w:num>
  <w:num w:numId="45" w16cid:durableId="1598707838">
    <w:abstractNumId w:val="2"/>
  </w:num>
  <w:num w:numId="46" w16cid:durableId="654920052">
    <w:abstractNumId w:val="26"/>
  </w:num>
  <w:num w:numId="47" w16cid:durableId="379013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Light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E"/>
    <w:rsid w:val="000001A1"/>
    <w:rsid w:val="00002287"/>
    <w:rsid w:val="000032A0"/>
    <w:rsid w:val="00007DE1"/>
    <w:rsid w:val="000131EE"/>
    <w:rsid w:val="00027643"/>
    <w:rsid w:val="00046798"/>
    <w:rsid w:val="000514BD"/>
    <w:rsid w:val="0005181B"/>
    <w:rsid w:val="0005366D"/>
    <w:rsid w:val="00055589"/>
    <w:rsid w:val="000613B1"/>
    <w:rsid w:val="00071327"/>
    <w:rsid w:val="00081166"/>
    <w:rsid w:val="000811A3"/>
    <w:rsid w:val="00081F58"/>
    <w:rsid w:val="00082E59"/>
    <w:rsid w:val="00090D27"/>
    <w:rsid w:val="00091B06"/>
    <w:rsid w:val="000A048E"/>
    <w:rsid w:val="000A0A47"/>
    <w:rsid w:val="000A545D"/>
    <w:rsid w:val="000C1C6B"/>
    <w:rsid w:val="000C66E5"/>
    <w:rsid w:val="000D06D9"/>
    <w:rsid w:val="000D0B34"/>
    <w:rsid w:val="000D0DF9"/>
    <w:rsid w:val="000D1751"/>
    <w:rsid w:val="000D62DA"/>
    <w:rsid w:val="000D6789"/>
    <w:rsid w:val="000E1E4F"/>
    <w:rsid w:val="000E5C12"/>
    <w:rsid w:val="000F4D94"/>
    <w:rsid w:val="000F55E7"/>
    <w:rsid w:val="00105C5F"/>
    <w:rsid w:val="00114BA0"/>
    <w:rsid w:val="0012585C"/>
    <w:rsid w:val="0013156A"/>
    <w:rsid w:val="001316EC"/>
    <w:rsid w:val="0013454F"/>
    <w:rsid w:val="001345C9"/>
    <w:rsid w:val="0013463C"/>
    <w:rsid w:val="0014182C"/>
    <w:rsid w:val="00142D08"/>
    <w:rsid w:val="00142E0B"/>
    <w:rsid w:val="001467BC"/>
    <w:rsid w:val="00146875"/>
    <w:rsid w:val="00156132"/>
    <w:rsid w:val="0015695F"/>
    <w:rsid w:val="0017077A"/>
    <w:rsid w:val="00170D66"/>
    <w:rsid w:val="00170DC6"/>
    <w:rsid w:val="0017351A"/>
    <w:rsid w:val="001827C2"/>
    <w:rsid w:val="00186E6F"/>
    <w:rsid w:val="00191CC7"/>
    <w:rsid w:val="00197857"/>
    <w:rsid w:val="001A6007"/>
    <w:rsid w:val="001C0255"/>
    <w:rsid w:val="001C0F11"/>
    <w:rsid w:val="001C1ABF"/>
    <w:rsid w:val="001E434A"/>
    <w:rsid w:val="001F2A15"/>
    <w:rsid w:val="00204E35"/>
    <w:rsid w:val="0021103E"/>
    <w:rsid w:val="00221662"/>
    <w:rsid w:val="00222CB5"/>
    <w:rsid w:val="00223EBF"/>
    <w:rsid w:val="00226F53"/>
    <w:rsid w:val="00230C4C"/>
    <w:rsid w:val="00230F46"/>
    <w:rsid w:val="00231A97"/>
    <w:rsid w:val="0023381A"/>
    <w:rsid w:val="00234917"/>
    <w:rsid w:val="00250CB7"/>
    <w:rsid w:val="002561B9"/>
    <w:rsid w:val="00272B0B"/>
    <w:rsid w:val="00272CBB"/>
    <w:rsid w:val="00280050"/>
    <w:rsid w:val="002857D6"/>
    <w:rsid w:val="00296907"/>
    <w:rsid w:val="002A5A1E"/>
    <w:rsid w:val="002A7384"/>
    <w:rsid w:val="002B41C1"/>
    <w:rsid w:val="002B4251"/>
    <w:rsid w:val="002C07A5"/>
    <w:rsid w:val="002C086E"/>
    <w:rsid w:val="002C481A"/>
    <w:rsid w:val="002C5D57"/>
    <w:rsid w:val="002C6C13"/>
    <w:rsid w:val="002D3EC0"/>
    <w:rsid w:val="002E177E"/>
    <w:rsid w:val="002E351B"/>
    <w:rsid w:val="002E4CCA"/>
    <w:rsid w:val="002E5A71"/>
    <w:rsid w:val="002E712A"/>
    <w:rsid w:val="002F0C90"/>
    <w:rsid w:val="00303D1F"/>
    <w:rsid w:val="0032356E"/>
    <w:rsid w:val="00323A24"/>
    <w:rsid w:val="003268F7"/>
    <w:rsid w:val="00334F52"/>
    <w:rsid w:val="00335559"/>
    <w:rsid w:val="00347E33"/>
    <w:rsid w:val="0035128A"/>
    <w:rsid w:val="003522E8"/>
    <w:rsid w:val="00352BB1"/>
    <w:rsid w:val="00361A48"/>
    <w:rsid w:val="0036565C"/>
    <w:rsid w:val="00371808"/>
    <w:rsid w:val="00374588"/>
    <w:rsid w:val="00374903"/>
    <w:rsid w:val="00374D93"/>
    <w:rsid w:val="00376A5A"/>
    <w:rsid w:val="00384EC2"/>
    <w:rsid w:val="00392E3E"/>
    <w:rsid w:val="0039416C"/>
    <w:rsid w:val="00396323"/>
    <w:rsid w:val="003A39E1"/>
    <w:rsid w:val="003A39FE"/>
    <w:rsid w:val="003A6733"/>
    <w:rsid w:val="003A7927"/>
    <w:rsid w:val="003B10AF"/>
    <w:rsid w:val="003B3811"/>
    <w:rsid w:val="003B523D"/>
    <w:rsid w:val="003B64C4"/>
    <w:rsid w:val="003B7B80"/>
    <w:rsid w:val="003C464C"/>
    <w:rsid w:val="003C5491"/>
    <w:rsid w:val="003D32AF"/>
    <w:rsid w:val="003D4686"/>
    <w:rsid w:val="003D63BD"/>
    <w:rsid w:val="003D6EDB"/>
    <w:rsid w:val="003D7A59"/>
    <w:rsid w:val="003F5D2E"/>
    <w:rsid w:val="003F7DA8"/>
    <w:rsid w:val="00402EF9"/>
    <w:rsid w:val="004036BC"/>
    <w:rsid w:val="00406DCC"/>
    <w:rsid w:val="00407D3B"/>
    <w:rsid w:val="004101E6"/>
    <w:rsid w:val="004111F5"/>
    <w:rsid w:val="00412531"/>
    <w:rsid w:val="0041656D"/>
    <w:rsid w:val="004201BD"/>
    <w:rsid w:val="00430C98"/>
    <w:rsid w:val="00435004"/>
    <w:rsid w:val="00447D96"/>
    <w:rsid w:val="00455651"/>
    <w:rsid w:val="00460B80"/>
    <w:rsid w:val="00463BE8"/>
    <w:rsid w:val="0046437D"/>
    <w:rsid w:val="0046450A"/>
    <w:rsid w:val="00473F5B"/>
    <w:rsid w:val="00474D5B"/>
    <w:rsid w:val="00490047"/>
    <w:rsid w:val="00492AE6"/>
    <w:rsid w:val="004A3264"/>
    <w:rsid w:val="004B05C1"/>
    <w:rsid w:val="004B6AB8"/>
    <w:rsid w:val="004C2235"/>
    <w:rsid w:val="004C4A25"/>
    <w:rsid w:val="004C561D"/>
    <w:rsid w:val="004D00AF"/>
    <w:rsid w:val="004D5646"/>
    <w:rsid w:val="004D7688"/>
    <w:rsid w:val="004E09A7"/>
    <w:rsid w:val="004E2305"/>
    <w:rsid w:val="004E30CC"/>
    <w:rsid w:val="004E6B6D"/>
    <w:rsid w:val="004E7BFE"/>
    <w:rsid w:val="004F33A8"/>
    <w:rsid w:val="004F4AA6"/>
    <w:rsid w:val="004F4B86"/>
    <w:rsid w:val="004F560A"/>
    <w:rsid w:val="004F5BB5"/>
    <w:rsid w:val="00502127"/>
    <w:rsid w:val="00503E62"/>
    <w:rsid w:val="00503EDD"/>
    <w:rsid w:val="005102AB"/>
    <w:rsid w:val="00510BCE"/>
    <w:rsid w:val="00522D98"/>
    <w:rsid w:val="005268BF"/>
    <w:rsid w:val="005278D2"/>
    <w:rsid w:val="005359F0"/>
    <w:rsid w:val="0053628B"/>
    <w:rsid w:val="00545945"/>
    <w:rsid w:val="0055136D"/>
    <w:rsid w:val="005611DF"/>
    <w:rsid w:val="00564FB9"/>
    <w:rsid w:val="00567A92"/>
    <w:rsid w:val="00570643"/>
    <w:rsid w:val="0057289E"/>
    <w:rsid w:val="00584DDB"/>
    <w:rsid w:val="00585FD1"/>
    <w:rsid w:val="00587CF7"/>
    <w:rsid w:val="0059001F"/>
    <w:rsid w:val="005B18FD"/>
    <w:rsid w:val="005B2F67"/>
    <w:rsid w:val="005B6E13"/>
    <w:rsid w:val="005C5D99"/>
    <w:rsid w:val="005E0E9E"/>
    <w:rsid w:val="005E2A4B"/>
    <w:rsid w:val="005E3025"/>
    <w:rsid w:val="005E3F3F"/>
    <w:rsid w:val="005F0B50"/>
    <w:rsid w:val="005F2369"/>
    <w:rsid w:val="005F4732"/>
    <w:rsid w:val="00606C45"/>
    <w:rsid w:val="00617D03"/>
    <w:rsid w:val="00617D67"/>
    <w:rsid w:val="00622053"/>
    <w:rsid w:val="00625BF6"/>
    <w:rsid w:val="006308C9"/>
    <w:rsid w:val="006318A8"/>
    <w:rsid w:val="006413FA"/>
    <w:rsid w:val="0065066C"/>
    <w:rsid w:val="00653283"/>
    <w:rsid w:val="006537FD"/>
    <w:rsid w:val="0065411A"/>
    <w:rsid w:val="00656C46"/>
    <w:rsid w:val="00656F47"/>
    <w:rsid w:val="00661C53"/>
    <w:rsid w:val="0066217F"/>
    <w:rsid w:val="006701E1"/>
    <w:rsid w:val="006704D1"/>
    <w:rsid w:val="00672A68"/>
    <w:rsid w:val="00686F17"/>
    <w:rsid w:val="00690360"/>
    <w:rsid w:val="00692AF2"/>
    <w:rsid w:val="006A6E80"/>
    <w:rsid w:val="006B2B83"/>
    <w:rsid w:val="006C7649"/>
    <w:rsid w:val="006D01B3"/>
    <w:rsid w:val="006D0B90"/>
    <w:rsid w:val="006E0EC3"/>
    <w:rsid w:val="006E2B5F"/>
    <w:rsid w:val="006E7B4A"/>
    <w:rsid w:val="006F3470"/>
    <w:rsid w:val="006F5E69"/>
    <w:rsid w:val="00702411"/>
    <w:rsid w:val="00710673"/>
    <w:rsid w:val="00723BDE"/>
    <w:rsid w:val="00725B2A"/>
    <w:rsid w:val="00726031"/>
    <w:rsid w:val="007318A8"/>
    <w:rsid w:val="00736ACC"/>
    <w:rsid w:val="007421F4"/>
    <w:rsid w:val="00743ABB"/>
    <w:rsid w:val="007440F7"/>
    <w:rsid w:val="0074454B"/>
    <w:rsid w:val="0076113A"/>
    <w:rsid w:val="007623D7"/>
    <w:rsid w:val="00770DD9"/>
    <w:rsid w:val="00774B4C"/>
    <w:rsid w:val="0077560D"/>
    <w:rsid w:val="00780DA9"/>
    <w:rsid w:val="00783454"/>
    <w:rsid w:val="00792822"/>
    <w:rsid w:val="007935B6"/>
    <w:rsid w:val="00794F8E"/>
    <w:rsid w:val="007966A3"/>
    <w:rsid w:val="007A1E2C"/>
    <w:rsid w:val="007A29DB"/>
    <w:rsid w:val="007B381A"/>
    <w:rsid w:val="007B47EF"/>
    <w:rsid w:val="007C3F00"/>
    <w:rsid w:val="007C67CA"/>
    <w:rsid w:val="007D41E5"/>
    <w:rsid w:val="007E0334"/>
    <w:rsid w:val="007E17AB"/>
    <w:rsid w:val="007E57F2"/>
    <w:rsid w:val="007E60B7"/>
    <w:rsid w:val="007F10C1"/>
    <w:rsid w:val="007F220F"/>
    <w:rsid w:val="008015ED"/>
    <w:rsid w:val="0080319E"/>
    <w:rsid w:val="00804115"/>
    <w:rsid w:val="0080536E"/>
    <w:rsid w:val="008142C7"/>
    <w:rsid w:val="00825EBF"/>
    <w:rsid w:val="0082712F"/>
    <w:rsid w:val="00834088"/>
    <w:rsid w:val="00837020"/>
    <w:rsid w:val="00841CF8"/>
    <w:rsid w:val="00843C1C"/>
    <w:rsid w:val="00852318"/>
    <w:rsid w:val="008535A6"/>
    <w:rsid w:val="00854106"/>
    <w:rsid w:val="008557E4"/>
    <w:rsid w:val="00861326"/>
    <w:rsid w:val="00866D50"/>
    <w:rsid w:val="00867137"/>
    <w:rsid w:val="00871777"/>
    <w:rsid w:val="0087312F"/>
    <w:rsid w:val="00876FEF"/>
    <w:rsid w:val="008773E5"/>
    <w:rsid w:val="00892B80"/>
    <w:rsid w:val="008A0665"/>
    <w:rsid w:val="008A2AB3"/>
    <w:rsid w:val="008A6BDC"/>
    <w:rsid w:val="008A7636"/>
    <w:rsid w:val="008B1BA2"/>
    <w:rsid w:val="008B7664"/>
    <w:rsid w:val="008B7E56"/>
    <w:rsid w:val="008C182C"/>
    <w:rsid w:val="008C3DEE"/>
    <w:rsid w:val="008D20CB"/>
    <w:rsid w:val="008D5099"/>
    <w:rsid w:val="008D5EF9"/>
    <w:rsid w:val="008E1935"/>
    <w:rsid w:val="008F1E81"/>
    <w:rsid w:val="008F202F"/>
    <w:rsid w:val="008F224C"/>
    <w:rsid w:val="008F3F34"/>
    <w:rsid w:val="00901597"/>
    <w:rsid w:val="009045AB"/>
    <w:rsid w:val="00905566"/>
    <w:rsid w:val="009067DC"/>
    <w:rsid w:val="009114B8"/>
    <w:rsid w:val="009125C0"/>
    <w:rsid w:val="00923DF7"/>
    <w:rsid w:val="0093159F"/>
    <w:rsid w:val="009427AA"/>
    <w:rsid w:val="00951AD8"/>
    <w:rsid w:val="00951EB3"/>
    <w:rsid w:val="0097075D"/>
    <w:rsid w:val="00971D28"/>
    <w:rsid w:val="00985678"/>
    <w:rsid w:val="00990617"/>
    <w:rsid w:val="00990DBB"/>
    <w:rsid w:val="00994A4F"/>
    <w:rsid w:val="00994C1F"/>
    <w:rsid w:val="009A412F"/>
    <w:rsid w:val="009A650D"/>
    <w:rsid w:val="009A74DE"/>
    <w:rsid w:val="009C3510"/>
    <w:rsid w:val="009C47DF"/>
    <w:rsid w:val="009D1809"/>
    <w:rsid w:val="009D602D"/>
    <w:rsid w:val="009E078F"/>
    <w:rsid w:val="009E2969"/>
    <w:rsid w:val="009E2D71"/>
    <w:rsid w:val="009E4C07"/>
    <w:rsid w:val="009F0367"/>
    <w:rsid w:val="009F140E"/>
    <w:rsid w:val="00A0033E"/>
    <w:rsid w:val="00A0041E"/>
    <w:rsid w:val="00A01A7C"/>
    <w:rsid w:val="00A1160B"/>
    <w:rsid w:val="00A122AB"/>
    <w:rsid w:val="00A2526F"/>
    <w:rsid w:val="00A26C2C"/>
    <w:rsid w:val="00A27E49"/>
    <w:rsid w:val="00A32892"/>
    <w:rsid w:val="00A4261E"/>
    <w:rsid w:val="00A645E5"/>
    <w:rsid w:val="00A648C8"/>
    <w:rsid w:val="00A65AB3"/>
    <w:rsid w:val="00A66860"/>
    <w:rsid w:val="00A72F55"/>
    <w:rsid w:val="00A74736"/>
    <w:rsid w:val="00A74C3E"/>
    <w:rsid w:val="00A74C64"/>
    <w:rsid w:val="00A879DC"/>
    <w:rsid w:val="00A87B87"/>
    <w:rsid w:val="00A94BCC"/>
    <w:rsid w:val="00AA2167"/>
    <w:rsid w:val="00AA3CE9"/>
    <w:rsid w:val="00AA7CB2"/>
    <w:rsid w:val="00AB3BEE"/>
    <w:rsid w:val="00AB7AE2"/>
    <w:rsid w:val="00AC0B97"/>
    <w:rsid w:val="00AC4678"/>
    <w:rsid w:val="00AD639E"/>
    <w:rsid w:val="00AF0C17"/>
    <w:rsid w:val="00AF49AB"/>
    <w:rsid w:val="00AF63BF"/>
    <w:rsid w:val="00B00DE4"/>
    <w:rsid w:val="00B1156A"/>
    <w:rsid w:val="00B115A2"/>
    <w:rsid w:val="00B12041"/>
    <w:rsid w:val="00B244EC"/>
    <w:rsid w:val="00B25458"/>
    <w:rsid w:val="00B26CA9"/>
    <w:rsid w:val="00B32316"/>
    <w:rsid w:val="00B43D03"/>
    <w:rsid w:val="00B478DE"/>
    <w:rsid w:val="00B51968"/>
    <w:rsid w:val="00B51E7D"/>
    <w:rsid w:val="00B62B0C"/>
    <w:rsid w:val="00B66CF4"/>
    <w:rsid w:val="00B66E4C"/>
    <w:rsid w:val="00B7143B"/>
    <w:rsid w:val="00B86445"/>
    <w:rsid w:val="00B86AEC"/>
    <w:rsid w:val="00B924B6"/>
    <w:rsid w:val="00BA0F24"/>
    <w:rsid w:val="00BA1C1B"/>
    <w:rsid w:val="00BA7881"/>
    <w:rsid w:val="00BC31CE"/>
    <w:rsid w:val="00BC5280"/>
    <w:rsid w:val="00BC52E2"/>
    <w:rsid w:val="00BC79DD"/>
    <w:rsid w:val="00BD1CAC"/>
    <w:rsid w:val="00BD5734"/>
    <w:rsid w:val="00BD586E"/>
    <w:rsid w:val="00BE4EC2"/>
    <w:rsid w:val="00BE74BB"/>
    <w:rsid w:val="00BE76F0"/>
    <w:rsid w:val="00BF237F"/>
    <w:rsid w:val="00BF7140"/>
    <w:rsid w:val="00BF7940"/>
    <w:rsid w:val="00C0103F"/>
    <w:rsid w:val="00C118DE"/>
    <w:rsid w:val="00C2061E"/>
    <w:rsid w:val="00C27B9F"/>
    <w:rsid w:val="00C31E8E"/>
    <w:rsid w:val="00C322D8"/>
    <w:rsid w:val="00C33FDA"/>
    <w:rsid w:val="00C42C02"/>
    <w:rsid w:val="00C455A2"/>
    <w:rsid w:val="00C4688F"/>
    <w:rsid w:val="00C47057"/>
    <w:rsid w:val="00C50A47"/>
    <w:rsid w:val="00C548FA"/>
    <w:rsid w:val="00C5495A"/>
    <w:rsid w:val="00C56A2A"/>
    <w:rsid w:val="00C65F8C"/>
    <w:rsid w:val="00C721EA"/>
    <w:rsid w:val="00C73622"/>
    <w:rsid w:val="00C77664"/>
    <w:rsid w:val="00C827DA"/>
    <w:rsid w:val="00C82C04"/>
    <w:rsid w:val="00C83D74"/>
    <w:rsid w:val="00C94BF5"/>
    <w:rsid w:val="00C97CFE"/>
    <w:rsid w:val="00CA1834"/>
    <w:rsid w:val="00CA62BF"/>
    <w:rsid w:val="00CB4316"/>
    <w:rsid w:val="00CC0D65"/>
    <w:rsid w:val="00CC19F8"/>
    <w:rsid w:val="00CC44C7"/>
    <w:rsid w:val="00CC76D5"/>
    <w:rsid w:val="00CC7983"/>
    <w:rsid w:val="00CD12E6"/>
    <w:rsid w:val="00CD346C"/>
    <w:rsid w:val="00CD3921"/>
    <w:rsid w:val="00CE1ED6"/>
    <w:rsid w:val="00CF2F22"/>
    <w:rsid w:val="00CF7A50"/>
    <w:rsid w:val="00D0112D"/>
    <w:rsid w:val="00D02834"/>
    <w:rsid w:val="00D0672A"/>
    <w:rsid w:val="00D06B94"/>
    <w:rsid w:val="00D167D0"/>
    <w:rsid w:val="00D20DD3"/>
    <w:rsid w:val="00D235BB"/>
    <w:rsid w:val="00D3516F"/>
    <w:rsid w:val="00D37335"/>
    <w:rsid w:val="00D446A8"/>
    <w:rsid w:val="00D50C76"/>
    <w:rsid w:val="00D53A16"/>
    <w:rsid w:val="00D544D1"/>
    <w:rsid w:val="00D55F96"/>
    <w:rsid w:val="00D57125"/>
    <w:rsid w:val="00D57408"/>
    <w:rsid w:val="00D624A3"/>
    <w:rsid w:val="00D62612"/>
    <w:rsid w:val="00D62F55"/>
    <w:rsid w:val="00D76CD4"/>
    <w:rsid w:val="00D77587"/>
    <w:rsid w:val="00D775D1"/>
    <w:rsid w:val="00D80621"/>
    <w:rsid w:val="00D807FA"/>
    <w:rsid w:val="00D82E42"/>
    <w:rsid w:val="00DA3699"/>
    <w:rsid w:val="00DA3B85"/>
    <w:rsid w:val="00DB4BB7"/>
    <w:rsid w:val="00DC6237"/>
    <w:rsid w:val="00DD3E75"/>
    <w:rsid w:val="00DE06C0"/>
    <w:rsid w:val="00DF2153"/>
    <w:rsid w:val="00DF7D36"/>
    <w:rsid w:val="00E000B9"/>
    <w:rsid w:val="00E01EA0"/>
    <w:rsid w:val="00E04993"/>
    <w:rsid w:val="00E14509"/>
    <w:rsid w:val="00E200CC"/>
    <w:rsid w:val="00E20D61"/>
    <w:rsid w:val="00E2229D"/>
    <w:rsid w:val="00E3588F"/>
    <w:rsid w:val="00E37723"/>
    <w:rsid w:val="00E41A78"/>
    <w:rsid w:val="00E4728C"/>
    <w:rsid w:val="00E51BFA"/>
    <w:rsid w:val="00E56ACF"/>
    <w:rsid w:val="00E75161"/>
    <w:rsid w:val="00E77B8C"/>
    <w:rsid w:val="00E87F1A"/>
    <w:rsid w:val="00E97A4A"/>
    <w:rsid w:val="00EA33BD"/>
    <w:rsid w:val="00EC1817"/>
    <w:rsid w:val="00EC5BF0"/>
    <w:rsid w:val="00ED1B2C"/>
    <w:rsid w:val="00ED30D0"/>
    <w:rsid w:val="00ED327E"/>
    <w:rsid w:val="00ED498D"/>
    <w:rsid w:val="00EE3B11"/>
    <w:rsid w:val="00EF191F"/>
    <w:rsid w:val="00EF336C"/>
    <w:rsid w:val="00EF558F"/>
    <w:rsid w:val="00F01162"/>
    <w:rsid w:val="00F01AEB"/>
    <w:rsid w:val="00F1542C"/>
    <w:rsid w:val="00F20134"/>
    <w:rsid w:val="00F23F93"/>
    <w:rsid w:val="00F246C1"/>
    <w:rsid w:val="00F256D8"/>
    <w:rsid w:val="00F267AC"/>
    <w:rsid w:val="00F26CA8"/>
    <w:rsid w:val="00F3130F"/>
    <w:rsid w:val="00F33200"/>
    <w:rsid w:val="00F33452"/>
    <w:rsid w:val="00F40AD4"/>
    <w:rsid w:val="00F46856"/>
    <w:rsid w:val="00F47020"/>
    <w:rsid w:val="00F54AA6"/>
    <w:rsid w:val="00F54E62"/>
    <w:rsid w:val="00F56549"/>
    <w:rsid w:val="00F70602"/>
    <w:rsid w:val="00F8107D"/>
    <w:rsid w:val="00F81F21"/>
    <w:rsid w:val="00F92297"/>
    <w:rsid w:val="00F93899"/>
    <w:rsid w:val="00F94D44"/>
    <w:rsid w:val="00FA0421"/>
    <w:rsid w:val="00FA05FE"/>
    <w:rsid w:val="00FA5CD7"/>
    <w:rsid w:val="00FA69DC"/>
    <w:rsid w:val="00FB0DE5"/>
    <w:rsid w:val="00FC2697"/>
    <w:rsid w:val="00FD1C48"/>
    <w:rsid w:val="00FD2E1F"/>
    <w:rsid w:val="00FD3D22"/>
    <w:rsid w:val="00FD467B"/>
    <w:rsid w:val="00FE0C2F"/>
    <w:rsid w:val="00FE1267"/>
    <w:rsid w:val="00FE21E0"/>
    <w:rsid w:val="00FE2603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87BA"/>
  <w15:docId w15:val="{482308D9-A3C2-4A9A-BD60-DA3EC8B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D9"/>
    <w:pPr>
      <w:spacing w:after="200"/>
    </w:pPr>
    <w:rPr>
      <w:rFonts w:ascii="Verdana" w:hAnsi="Verdana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53"/>
    <w:pPr>
      <w:pageBreakBefore/>
      <w:tabs>
        <w:tab w:val="center" w:pos="4513"/>
        <w:tab w:val="right" w:pos="9026"/>
      </w:tabs>
      <w:spacing w:after="480"/>
      <w:outlineLvl w:val="0"/>
    </w:pPr>
    <w:rPr>
      <w:b/>
      <w:color w:val="4C6968" w:themeColor="text1"/>
      <w:sz w:val="5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68F7"/>
    <w:pPr>
      <w:keepNext/>
      <w:spacing w:before="360" w:after="240"/>
      <w:outlineLvl w:val="1"/>
    </w:pPr>
    <w:rPr>
      <w:b/>
      <w:color w:val="48555E" w:themeColor="text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68F7"/>
    <w:pPr>
      <w:keepNext/>
      <w:spacing w:before="120" w:after="120"/>
      <w:outlineLvl w:val="2"/>
    </w:pPr>
    <w:rPr>
      <w:rFonts w:cs="Arial"/>
      <w:b/>
      <w:color w:val="48555E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68F7"/>
    <w:pPr>
      <w:keepNext/>
      <w:spacing w:before="120"/>
      <w:outlineLvl w:val="3"/>
    </w:pPr>
    <w:rPr>
      <w:rFonts w:cs="Arial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15ED"/>
    <w:pPr>
      <w:keepNext/>
      <w:keepLines/>
      <w:spacing w:before="40" w:after="240"/>
      <w:outlineLvl w:val="4"/>
    </w:pPr>
    <w:rPr>
      <w:rFonts w:eastAsiaTheme="majorEastAsia" w:cstheme="majorBidi"/>
      <w:i/>
      <w:color w:val="4C6968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A62BF"/>
    <w:rPr>
      <w:b/>
      <w:color w:val="4C6968" w:themeColor="text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A62BF"/>
    <w:rPr>
      <w:rFonts w:ascii="Verdana" w:hAnsi="Verdana"/>
      <w:b/>
      <w:color w:val="4C6968" w:themeColor="text1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6C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6C0"/>
    <w:rPr>
      <w:rFonts w:ascii="Verdana" w:hAnsi="Verdana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2153"/>
    <w:rPr>
      <w:rFonts w:ascii="Verdana" w:hAnsi="Verdana"/>
      <w:b/>
      <w:color w:val="4C6968" w:themeColor="text1"/>
      <w:sz w:val="5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68F7"/>
    <w:rPr>
      <w:rFonts w:ascii="Verdana" w:hAnsi="Verdana"/>
      <w:b/>
      <w:color w:val="48555E" w:themeColor="text2"/>
      <w:sz w:val="3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68F7"/>
    <w:rPr>
      <w:rFonts w:ascii="Verdana" w:hAnsi="Verdana" w:cs="Arial"/>
      <w:b/>
      <w:color w:val="48555E" w:themeColor="text2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68F7"/>
    <w:rPr>
      <w:rFonts w:ascii="Verdana" w:hAnsi="Verdana" w:cs="Arial"/>
      <w:lang w:eastAsia="en-US"/>
    </w:rPr>
  </w:style>
  <w:style w:type="paragraph" w:styleId="ListBullet">
    <w:name w:val="List Bullet"/>
    <w:basedOn w:val="Normal"/>
    <w:uiPriority w:val="99"/>
    <w:unhideWhenUsed/>
    <w:qFormat/>
    <w:rsid w:val="007C3F00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99"/>
    <w:unhideWhenUsed/>
    <w:pPr>
      <w:numPr>
        <w:ilvl w:val="1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015ED"/>
    <w:rPr>
      <w:rFonts w:ascii="Verdana" w:eastAsiaTheme="majorEastAsia" w:hAnsi="Verdana" w:cstheme="majorBidi"/>
      <w:i/>
      <w:color w:val="4C6968" w:themeColor="text1"/>
      <w:sz w:val="20"/>
      <w:lang w:eastAsia="en-US"/>
    </w:rPr>
  </w:style>
  <w:style w:type="paragraph" w:styleId="ListNumber">
    <w:name w:val="List Number"/>
    <w:basedOn w:val="Normal"/>
    <w:uiPriority w:val="99"/>
    <w:qFormat/>
    <w:pPr>
      <w:numPr>
        <w:numId w:val="11"/>
      </w:numPr>
      <w:spacing w:before="120" w:after="120"/>
    </w:pPr>
  </w:style>
  <w:style w:type="paragraph" w:styleId="ListNumber2">
    <w:name w:val="List Number 2"/>
    <w:basedOn w:val="Normal"/>
    <w:uiPriority w:val="99"/>
    <w:rsid w:val="00FE0C2F"/>
    <w:pPr>
      <w:numPr>
        <w:ilvl w:val="1"/>
        <w:numId w:val="11"/>
      </w:numPr>
      <w:spacing w:after="120"/>
    </w:pPr>
    <w:rPr>
      <w:rFonts w:cs="Segoe UI"/>
    </w:rPr>
  </w:style>
  <w:style w:type="paragraph" w:styleId="ListNumber3">
    <w:name w:val="List Number 3"/>
    <w:basedOn w:val="Normal"/>
    <w:uiPriority w:val="99"/>
    <w:rsid w:val="00FE0C2F"/>
    <w:pPr>
      <w:numPr>
        <w:ilvl w:val="2"/>
        <w:numId w:val="11"/>
      </w:numPr>
      <w:spacing w:after="120"/>
      <w:ind w:left="1106"/>
    </w:pPr>
    <w:rPr>
      <w:rFonts w:cs="Segoe UI"/>
    </w:rPr>
  </w:style>
  <w:style w:type="paragraph" w:styleId="Header">
    <w:name w:val="header"/>
    <w:basedOn w:val="Normal"/>
    <w:link w:val="HeaderChar"/>
    <w:uiPriority w:val="99"/>
    <w:unhideWhenUsed/>
    <w:rsid w:val="004E09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A7"/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4C6968" w:themeColor="text1"/>
        <w:left w:val="single" w:sz="4" w:space="0" w:color="4C6968" w:themeColor="text1"/>
        <w:bottom w:val="single" w:sz="4" w:space="0" w:color="4C6968" w:themeColor="text1"/>
        <w:right w:val="single" w:sz="4" w:space="0" w:color="4C6968" w:themeColor="text1"/>
        <w:insideH w:val="single" w:sz="4" w:space="0" w:color="4C6968" w:themeColor="text1"/>
        <w:insideV w:val="single" w:sz="4" w:space="0" w:color="4C6968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73F5B"/>
    <w:pPr>
      <w:spacing w:after="0"/>
      <w:contextualSpacing/>
    </w:pPr>
    <w:rPr>
      <w:rFonts w:eastAsiaTheme="majorEastAsia" w:cstheme="majorBidi"/>
      <w:b/>
      <w:color w:val="FFFFFF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5B"/>
    <w:rPr>
      <w:rFonts w:ascii="Verdana" w:eastAsiaTheme="majorEastAsia" w:hAnsi="Verdana" w:cstheme="majorBidi"/>
      <w:b/>
      <w:color w:val="FFFFFF"/>
      <w:spacing w:val="-10"/>
      <w:kern w:val="28"/>
      <w:sz w:val="70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1">
    <w:name w:val="Plain Table 1"/>
    <w:basedOn w:val="TableNormal"/>
    <w:uiPriority w:val="41"/>
    <w:rsid w:val="007C3F00"/>
    <w:tblPr>
      <w:tblStyleRowBandSize w:val="1"/>
      <w:tblStyleColBandSize w:val="1"/>
      <w:tblBorders>
        <w:top w:val="single" w:sz="4" w:space="0" w:color="72ADC4" w:themeColor="background1" w:themeShade="BF"/>
        <w:left w:val="single" w:sz="4" w:space="0" w:color="72ADC4" w:themeColor="background1" w:themeShade="BF"/>
        <w:bottom w:val="single" w:sz="4" w:space="0" w:color="72ADC4" w:themeColor="background1" w:themeShade="BF"/>
        <w:right w:val="single" w:sz="4" w:space="0" w:color="72ADC4" w:themeColor="background1" w:themeShade="BF"/>
        <w:insideH w:val="single" w:sz="4" w:space="0" w:color="72ADC4" w:themeColor="background1" w:themeShade="BF"/>
        <w:insideV w:val="single" w:sz="4" w:space="0" w:color="72ADC4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2ADC4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FDC" w:themeFill="background1" w:themeFillShade="F2"/>
      </w:tcPr>
    </w:tblStylePr>
    <w:tblStylePr w:type="band1Horz">
      <w:tblPr/>
      <w:tcPr>
        <w:shd w:val="clear" w:color="auto" w:fill="ACCFDC" w:themeFill="background1" w:themeFillShade="F2"/>
      </w:tcPr>
    </w:tblStylePr>
  </w:style>
  <w:style w:type="paragraph" w:customStyle="1" w:styleId="TableHeader">
    <w:name w:val="Table Header"/>
    <w:basedOn w:val="Normal"/>
    <w:qFormat/>
    <w:rsid w:val="003268F7"/>
    <w:pPr>
      <w:spacing w:before="120" w:after="120"/>
    </w:pPr>
    <w:rPr>
      <w:b/>
      <w:color w:val="FFFFFF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A62BF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62BF"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TableText">
    <w:name w:val="Table Text"/>
    <w:basedOn w:val="Normal"/>
    <w:qFormat/>
    <w:rsid w:val="003268F7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48545E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7CB2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B2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qFormat/>
    <w:rsid w:val="003268F7"/>
    <w:pPr>
      <w:spacing w:before="240" w:after="120"/>
    </w:pPr>
    <w:rPr>
      <w:color w:val="4C6968" w:themeColor="text1"/>
    </w:rPr>
  </w:style>
  <w:style w:type="table" w:styleId="TableGridLight">
    <w:name w:val="Grid Table Light"/>
    <w:basedOn w:val="TableNormal"/>
    <w:uiPriority w:val="40"/>
    <w:rsid w:val="003268F7"/>
    <w:rPr>
      <w:rFonts w:ascii="Verdana" w:hAnsi="Verdana"/>
      <w:sz w:val="20"/>
    </w:rPr>
    <w:tblPr>
      <w:tblBorders>
        <w:top w:val="single" w:sz="4" w:space="0" w:color="48555E" w:themeColor="text2"/>
        <w:bottom w:val="single" w:sz="4" w:space="0" w:color="48555E" w:themeColor="text2"/>
        <w:insideH w:val="single" w:sz="4" w:space="0" w:color="48555E" w:themeColor="text2"/>
      </w:tblBorders>
    </w:tblPr>
    <w:tblStylePr w:type="firstRow">
      <w:tblPr/>
      <w:tcPr>
        <w:shd w:val="clear" w:color="auto" w:fill="4C6968" w:themeFill="text1"/>
      </w:tcPr>
    </w:tblStyle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56ACF"/>
    <w:pPr>
      <w:numPr>
        <w:ilvl w:val="1"/>
      </w:numPr>
      <w:spacing w:before="360" w:after="160"/>
    </w:pPr>
    <w:rPr>
      <w:rFonts w:eastAsiaTheme="minorEastAsia" w:cstheme="minorBidi"/>
      <w:color w:val="FFFFF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6ACF"/>
    <w:rPr>
      <w:rFonts w:ascii="Verdana" w:eastAsiaTheme="minorEastAsia" w:hAnsi="Verdana" w:cstheme="minorBidi"/>
      <w:color w:val="FFFFFF"/>
      <w:spacing w:val="15"/>
      <w:sz w:val="30"/>
      <w:lang w:eastAsia="en-US"/>
    </w:rPr>
  </w:style>
  <w:style w:type="paragraph" w:customStyle="1" w:styleId="Author">
    <w:name w:val="Author"/>
    <w:basedOn w:val="Normal"/>
    <w:qFormat/>
    <w:rsid w:val="00E56ACF"/>
    <w:pPr>
      <w:spacing w:before="600" w:after="120"/>
    </w:pPr>
    <w:rPr>
      <w:color w:val="FFFFFF"/>
    </w:rPr>
  </w:style>
  <w:style w:type="paragraph" w:customStyle="1" w:styleId="IntroductionParagraph">
    <w:name w:val="Introduction Paragraph"/>
    <w:basedOn w:val="Normal"/>
    <w:qFormat/>
    <w:rsid w:val="002C07A5"/>
    <w:pPr>
      <w:spacing w:after="360"/>
    </w:pPr>
    <w:rPr>
      <w:b/>
      <w:color w:val="FFFFFF"/>
      <w:sz w:val="28"/>
    </w:rPr>
  </w:style>
  <w:style w:type="paragraph" w:customStyle="1" w:styleId="NormalWhite">
    <w:name w:val="Normal White"/>
    <w:basedOn w:val="Normal"/>
    <w:qFormat/>
    <w:rsid w:val="002C07A5"/>
    <w:rPr>
      <w:color w:val="FFFFFF"/>
    </w:rPr>
  </w:style>
  <w:style w:type="paragraph" w:customStyle="1" w:styleId="FigureHeading">
    <w:name w:val="Figure Heading"/>
    <w:basedOn w:val="TableHeading"/>
    <w:qFormat/>
    <w:rsid w:val="00142E0B"/>
  </w:style>
  <w:style w:type="paragraph" w:styleId="TOC2">
    <w:name w:val="toc 2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20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1C0F11"/>
    <w:pPr>
      <w:tabs>
        <w:tab w:val="right" w:leader="dot" w:pos="9628"/>
      </w:tabs>
      <w:spacing w:before="240" w:after="100"/>
    </w:pPr>
    <w:rPr>
      <w:b/>
      <w:noProof/>
      <w:color w:val="48555E" w:themeColor="text2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6217F"/>
    <w:pPr>
      <w:tabs>
        <w:tab w:val="right" w:leader="dot" w:pos="9628"/>
      </w:tabs>
      <w:spacing w:after="100"/>
      <w:ind w:left="400"/>
    </w:pPr>
    <w:rPr>
      <w:noProof/>
    </w:rPr>
  </w:style>
  <w:style w:type="paragraph" w:customStyle="1" w:styleId="AppendicesHeading1">
    <w:name w:val="Appendices Heading 1"/>
    <w:basedOn w:val="Heading1"/>
    <w:qFormat/>
    <w:rsid w:val="007935B6"/>
  </w:style>
  <w:style w:type="paragraph" w:customStyle="1" w:styleId="AppendicesHeading2">
    <w:name w:val="Appendices Heading 2"/>
    <w:basedOn w:val="Heading2"/>
    <w:qFormat/>
    <w:rsid w:val="007935B6"/>
  </w:style>
  <w:style w:type="paragraph" w:customStyle="1" w:styleId="AppendicesHeading3">
    <w:name w:val="Appendices Heading 3"/>
    <w:basedOn w:val="Heading3"/>
    <w:qFormat/>
    <w:rsid w:val="007935B6"/>
  </w:style>
  <w:style w:type="paragraph" w:customStyle="1" w:styleId="AppendicesHeading4">
    <w:name w:val="Appendices Heading 4"/>
    <w:basedOn w:val="Heading4"/>
    <w:qFormat/>
    <w:rsid w:val="007935B6"/>
  </w:style>
  <w:style w:type="paragraph" w:customStyle="1" w:styleId="AppendicesHeading5">
    <w:name w:val="Appendices Heading 5"/>
    <w:basedOn w:val="Heading5"/>
    <w:qFormat/>
    <w:rsid w:val="007935B6"/>
  </w:style>
  <w:style w:type="paragraph" w:customStyle="1" w:styleId="Instructions">
    <w:name w:val="Instructions"/>
    <w:basedOn w:val="Normal"/>
    <w:qFormat/>
    <w:rsid w:val="001C0F11"/>
    <w:pPr>
      <w:pBdr>
        <w:top w:val="single" w:sz="4" w:space="1" w:color="BCD8E3" w:themeColor="background1"/>
        <w:left w:val="single" w:sz="4" w:space="4" w:color="BCD8E3" w:themeColor="background1"/>
        <w:bottom w:val="single" w:sz="4" w:space="1" w:color="BCD8E3" w:themeColor="background1"/>
        <w:right w:val="single" w:sz="4" w:space="4" w:color="BCD8E3" w:themeColor="background1"/>
      </w:pBdr>
      <w:shd w:val="clear" w:color="auto" w:fill="BCD8E3" w:themeFill="background1"/>
      <w:ind w:left="113" w:right="113"/>
    </w:pPr>
  </w:style>
  <w:style w:type="character" w:styleId="Emphasis">
    <w:name w:val="Emphasis"/>
    <w:basedOn w:val="DefaultParagraphFont"/>
    <w:uiPriority w:val="20"/>
    <w:qFormat/>
    <w:rsid w:val="00C118DE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C118DE"/>
    <w:pPr>
      <w:suppressAutoHyphens/>
      <w:spacing w:before="60" w:after="60"/>
    </w:pPr>
    <w:rPr>
      <w:rFonts w:ascii="Arial" w:eastAsiaTheme="minorEastAsia" w:hAnsi="Arial" w:cstheme="minorBidi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8DE"/>
    <w:rPr>
      <w:rFonts w:eastAsiaTheme="minorEastAsia" w:cstheme="minorBid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rsid w:val="00B7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278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65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Internal%20briefing\Internal_general_briefing_template.dotx" TargetMode="External"/></Relationships>
</file>

<file path=word/theme/theme1.xml><?xml version="1.0" encoding="utf-8"?>
<a:theme xmlns:a="http://schemas.openxmlformats.org/drawingml/2006/main" name="Office Theme">
  <a:themeElements>
    <a:clrScheme name="IGWC">
      <a:dk1>
        <a:srgbClr val="4C6968"/>
      </a:dk1>
      <a:lt1>
        <a:srgbClr val="BCD8E3"/>
      </a:lt1>
      <a:dk2>
        <a:srgbClr val="48555E"/>
      </a:dk2>
      <a:lt2>
        <a:srgbClr val="E7E6E6"/>
      </a:lt2>
      <a:accent1>
        <a:srgbClr val="4C6968"/>
      </a:accent1>
      <a:accent2>
        <a:srgbClr val="48545E"/>
      </a:accent2>
      <a:accent3>
        <a:srgbClr val="BCD7E2"/>
      </a:accent3>
      <a:accent4>
        <a:srgbClr val="6E8C81"/>
      </a:accent4>
      <a:accent5>
        <a:srgbClr val="F0C88A"/>
      </a:accent5>
      <a:accent6>
        <a:srgbClr val="CE9282"/>
      </a:accent6>
      <a:hlink>
        <a:srgbClr val="48545E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98728ac-f998-415c-abee-6b046fb144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5C0AF-DE3D-4810-A08F-3FE449DC4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6BD04-1AB3-4DF9-878B-E81F56336F57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b98728ac-f998-415c-abee-6b046fb1441e"/>
  </ds:schemaRefs>
</ds:datastoreItem>
</file>

<file path=customXml/itemProps3.xml><?xml version="1.0" encoding="utf-8"?>
<ds:datastoreItem xmlns:ds="http://schemas.openxmlformats.org/officeDocument/2006/customXml" ds:itemID="{836907DB-CFB8-4FB6-B9E3-51231D675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Internal_general_briefing_template</Template>
  <TotalTime>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community perceptions research 2023 Perceptions relating to water management in the Murray–Darling Basin</vt:lpstr>
    </vt:vector>
  </TitlesOfParts>
  <Manager/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Murray–Darling Basin community perceptions research 2023 Perceptions relating to water management in the Murray–Darling Basin</dc:title>
  <dc:subject>
  </dc:subject>
  <dc:creator>Rychevska, Ivanna</dc:creator>
  <cp:keywords>
  </cp:keywords>
  <dc:description>
  </dc:description>
  <cp:revision>9</cp:revision>
  <cp:lastPrinted>2021-12-15T06:45:00Z</cp:lastPrinted>
  <dcterms:created xsi:type="dcterms:W3CDTF">2024-05-24T00:45:00Z</dcterms:created>
  <dcterms:modified xsi:type="dcterms:W3CDTF">2024-06-03T02:09:00Z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MediaServiceImageTags">
    <vt:lpwstr/>
  </property>
</Properties>
</file>