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C73F" w14:textId="40773028" w:rsidR="00473F5B" w:rsidRDefault="007A1E2C" w:rsidP="00473F5B">
      <w:pPr>
        <w:pStyle w:val="Title"/>
      </w:pPr>
      <w:r w:rsidRPr="003A6733">
        <w:rPr>
          <w:noProof/>
        </w:rPr>
        <w:drawing>
          <wp:anchor distT="0" distB="0" distL="114300" distR="114300" simplePos="0" relativeHeight="251659264" behindDoc="1" locked="1" layoutInCell="1" allowOverlap="1" wp14:anchorId="75AAD8E9" wp14:editId="769EEFBC">
            <wp:simplePos x="0" y="0"/>
            <wp:positionH relativeFrom="column">
              <wp:posOffset>-754380</wp:posOffset>
            </wp:positionH>
            <wp:positionV relativeFrom="paragraph">
              <wp:posOffset>-2599055</wp:posOffset>
            </wp:positionV>
            <wp:extent cx="7597140" cy="10751185"/>
            <wp:effectExtent l="0" t="0" r="381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7140" cy="107511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1" layoutInCell="1" allowOverlap="1" wp14:anchorId="4434F8DB" wp14:editId="549862F5">
            <wp:simplePos x="0" y="0"/>
            <wp:positionH relativeFrom="page">
              <wp:posOffset>594360</wp:posOffset>
            </wp:positionH>
            <wp:positionV relativeFrom="paragraph">
              <wp:posOffset>-1986280</wp:posOffset>
            </wp:positionV>
            <wp:extent cx="3600450" cy="104013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11A" w:rsidRPr="0065411A">
        <w:t>Murray–Darling Basin community perceptions research 2023</w:t>
      </w:r>
    </w:p>
    <w:p w14:paraId="723B916E" w14:textId="351C5491" w:rsidR="00473F5B" w:rsidRPr="00852318" w:rsidRDefault="0065411A" w:rsidP="00852318">
      <w:pPr>
        <w:pStyle w:val="Author"/>
      </w:pPr>
      <w:r w:rsidRPr="0065411A">
        <w:rPr>
          <w:rFonts w:eastAsiaTheme="minorEastAsia" w:cstheme="minorBidi"/>
          <w:spacing w:val="15"/>
          <w:sz w:val="30"/>
        </w:rPr>
        <w:t>Project overview and research methodology</w:t>
      </w:r>
    </w:p>
    <w:p w14:paraId="07FC3C62" w14:textId="1A99C961" w:rsidR="00473F5B" w:rsidRDefault="00473F5B">
      <w:pPr>
        <w:spacing w:after="0"/>
        <w:rPr>
          <w:b/>
          <w:color w:val="FFFFFF"/>
          <w:sz w:val="60"/>
          <w:szCs w:val="24"/>
        </w:rPr>
      </w:pPr>
      <w:r>
        <w:br w:type="page"/>
      </w:r>
    </w:p>
    <w:p w14:paraId="3389149D" w14:textId="0C81669E" w:rsidR="003F5D2E" w:rsidRDefault="003F5D2E" w:rsidP="002857D6">
      <w:pPr>
        <w:pStyle w:val="Heading1"/>
      </w:pPr>
      <w:r w:rsidRPr="003F5D2E">
        <w:lastRenderedPageBreak/>
        <w:t>Research overview and</w:t>
      </w:r>
      <w:r w:rsidR="002857D6">
        <w:t xml:space="preserve"> </w:t>
      </w:r>
      <w:r w:rsidRPr="003F5D2E">
        <w:t xml:space="preserve">qualitative </w:t>
      </w:r>
      <w:proofErr w:type="gramStart"/>
      <w:r w:rsidRPr="003F5D2E">
        <w:t>methodology</w:t>
      </w:r>
      <w:proofErr w:type="gramEnd"/>
    </w:p>
    <w:p w14:paraId="4FB19232" w14:textId="77777777" w:rsidR="00CD3921" w:rsidRPr="00CD3921" w:rsidRDefault="00CD3921" w:rsidP="00CD3921">
      <w:r w:rsidRPr="00CD3921">
        <w:rPr>
          <w:lang w:val="en-GB"/>
        </w:rPr>
        <w:t xml:space="preserve">The primary objective for the research was to understand broader community perceptions across the Basin to </w:t>
      </w:r>
      <w:r w:rsidRPr="00CD3921">
        <w:rPr>
          <w:b/>
          <w:bCs/>
          <w:lang w:val="en-GB"/>
        </w:rPr>
        <w:t>inform ongoing tracking of trust and confidence in water compliance and management.</w:t>
      </w:r>
    </w:p>
    <w:p w14:paraId="1F7CB8E6" w14:textId="7A3C1021" w:rsidR="00CD3921" w:rsidRDefault="00FF0F0C" w:rsidP="00FF0F0C">
      <w:pPr>
        <w:pStyle w:val="Heading3"/>
      </w:pPr>
      <w:r>
        <w:t>Project Overview</w:t>
      </w:r>
    </w:p>
    <w:p w14:paraId="0E228535" w14:textId="77777777" w:rsidR="00FA05FE" w:rsidRDefault="00FA05FE" w:rsidP="00FA05FE">
      <w:r>
        <w:t xml:space="preserve">Project establishment, including project inception and creation of research instruments. </w:t>
      </w:r>
    </w:p>
    <w:p w14:paraId="5D5CFDF6" w14:textId="77777777" w:rsidR="00FA05FE" w:rsidRDefault="00FA05FE" w:rsidP="00FA05FE">
      <w:r>
        <w:t xml:space="preserve">Qualitative research among 67 Basin community participants, including water licence holder participants. </w:t>
      </w:r>
    </w:p>
    <w:p w14:paraId="5387AE67" w14:textId="77777777" w:rsidR="00FA05FE" w:rsidRDefault="00FA05FE" w:rsidP="00FA05FE">
      <w:r>
        <w:t xml:space="preserve">Quantitative research among 1,014 Basin community participants, including water licence holders, using online and CATI surveys. </w:t>
      </w:r>
    </w:p>
    <w:p w14:paraId="5966FB9A" w14:textId="173A9A75" w:rsidR="00FF0F0C" w:rsidRDefault="00FA05FE" w:rsidP="00FA05FE">
      <w:r>
        <w:t>Analysis and reporting, including the final report and publication.</w:t>
      </w:r>
    </w:p>
    <w:p w14:paraId="15223804" w14:textId="77777777" w:rsidR="003D4686" w:rsidRPr="003D4686" w:rsidRDefault="003D4686" w:rsidP="003D4686">
      <w:pPr>
        <w:pStyle w:val="Heading3"/>
      </w:pPr>
      <w:r w:rsidRPr="003D4686">
        <w:rPr>
          <w:bCs/>
          <w:lang w:val="en-GB"/>
        </w:rPr>
        <w:t>Qualitative research methodology</w:t>
      </w:r>
    </w:p>
    <w:p w14:paraId="47BCD2D6" w14:textId="77777777" w:rsidR="003D4686" w:rsidRPr="003D4686" w:rsidRDefault="003D4686" w:rsidP="003D4686">
      <w:r w:rsidRPr="003D4686">
        <w:rPr>
          <w:lang w:val="en-US"/>
        </w:rPr>
        <w:t xml:space="preserve">The </w:t>
      </w:r>
      <w:r w:rsidRPr="003D4686">
        <w:rPr>
          <w:b/>
          <w:lang w:val="en-US"/>
        </w:rPr>
        <w:t>qualitative research</w:t>
      </w:r>
      <w:r w:rsidRPr="003D4686">
        <w:rPr>
          <w:bCs/>
          <w:lang w:val="en-US"/>
        </w:rPr>
        <w:t xml:space="preserve"> </w:t>
      </w:r>
      <w:r w:rsidRPr="003D4686">
        <w:rPr>
          <w:lang w:val="en-US"/>
        </w:rPr>
        <w:t>was conducted from 30 October - 28 November 2023. It was used to check community sentiment changes from the previous research and further inform understanding of the quantitative research data.</w:t>
      </w:r>
    </w:p>
    <w:p w14:paraId="18FA4DEF" w14:textId="77777777" w:rsidR="007F220F" w:rsidRDefault="007F220F" w:rsidP="007F220F">
      <w:r>
        <w:t xml:space="preserve">A total of 67 participants participated in the qualitative research, across: </w:t>
      </w:r>
    </w:p>
    <w:p w14:paraId="6BF07EA7" w14:textId="558C79B4" w:rsidR="003D4686" w:rsidRDefault="007F220F" w:rsidP="007F220F">
      <w:r>
        <w:t>8 focus groups with a total of 64 participants, a one-on-one in-depth interview with one participant, and one paired, in-depth interview with two participants.</w:t>
      </w:r>
    </w:p>
    <w:p w14:paraId="309A52FC" w14:textId="283B68F6" w:rsidR="00F56549" w:rsidRDefault="00F56549" w:rsidP="007F220F">
      <w:r w:rsidRPr="00F56549">
        <w:t>Target audiences for this research consisted commercial users of waterways including water licence holders and business owners and totalling 19 participants, and community members including those more and less engaged with waterways, totalling 48 participants.</w:t>
      </w:r>
    </w:p>
    <w:p w14:paraId="04840094" w14:textId="40C52998" w:rsidR="00F56549" w:rsidRDefault="00F56549" w:rsidP="007F220F">
      <w:r w:rsidRPr="00F56549">
        <w:t>Participants are from different locations in the Basin. 16 were from the Queensland; 14 were from Dubbo in New South Wales; 19 were from Murray Bridge in South Australia; and 18 were from Shepparton in Victoria.</w:t>
      </w:r>
    </w:p>
    <w:p w14:paraId="5E7D2C42" w14:textId="00CF8980" w:rsidR="002857D6" w:rsidRDefault="002857D6">
      <w:pPr>
        <w:spacing w:after="0"/>
      </w:pPr>
      <w:r>
        <w:br w:type="page"/>
      </w:r>
    </w:p>
    <w:p w14:paraId="34DAAEEB" w14:textId="5401DCB9" w:rsidR="000F4D94" w:rsidRDefault="002857D6" w:rsidP="002857D6">
      <w:pPr>
        <w:pStyle w:val="Heading1"/>
      </w:pPr>
      <w:r w:rsidRPr="002857D6">
        <w:lastRenderedPageBreak/>
        <w:t>Quantitative research</w:t>
      </w:r>
      <w:r>
        <w:t xml:space="preserve"> </w:t>
      </w:r>
      <w:r w:rsidRPr="002857D6">
        <w:t>methodology</w:t>
      </w:r>
    </w:p>
    <w:p w14:paraId="09AC7AAF" w14:textId="77777777" w:rsidR="00D0672A" w:rsidRPr="00D0672A" w:rsidRDefault="00D0672A" w:rsidP="00D0672A">
      <w:r w:rsidRPr="00D0672A">
        <w:t xml:space="preserve">The quantitative research was conducted between 31 October – 30 November 2023. </w:t>
      </w:r>
      <w:r w:rsidRPr="00D0672A">
        <w:rPr>
          <w:b/>
          <w:bCs/>
        </w:rPr>
        <w:t>1,014 people were surveyed across the Murray—Darling Basin</w:t>
      </w:r>
      <w:r w:rsidRPr="00D0672A">
        <w:t>, with questions tailored to each audience to account for differences in experiences (i.e. water licence holders compared to community members).</w:t>
      </w:r>
    </w:p>
    <w:p w14:paraId="7A290261" w14:textId="77777777" w:rsidR="002857D6" w:rsidRDefault="002857D6" w:rsidP="002857D6"/>
    <w:p w14:paraId="5EA29FDE" w14:textId="77777777" w:rsidR="00D0672A" w:rsidRPr="00D0672A" w:rsidRDefault="00D0672A" w:rsidP="00D0672A">
      <w:r w:rsidRPr="00D0672A">
        <w:t xml:space="preserve">The quantitative research </w:t>
      </w:r>
      <w:r w:rsidRPr="00D0672A">
        <w:rPr>
          <w:lang w:val="en-GB"/>
        </w:rPr>
        <w:t xml:space="preserve">comprised </w:t>
      </w:r>
      <w:r w:rsidRPr="00D0672A">
        <w:rPr>
          <w:b/>
          <w:bCs/>
          <w:lang w:val="en-GB"/>
        </w:rPr>
        <w:t xml:space="preserve">telephone and online surveys with water licence holders </w:t>
      </w:r>
      <w:r w:rsidRPr="00D0672A">
        <w:rPr>
          <w:lang w:val="en-GB"/>
        </w:rPr>
        <w:t xml:space="preserve">and </w:t>
      </w:r>
      <w:r w:rsidRPr="00D0672A">
        <w:rPr>
          <w:b/>
          <w:bCs/>
          <w:lang w:val="en-GB"/>
        </w:rPr>
        <w:t>residents of the Murray–Darling Basin area (community)</w:t>
      </w:r>
      <w:r w:rsidRPr="00D0672A">
        <w:rPr>
          <w:lang w:val="en-GB"/>
        </w:rPr>
        <w:t xml:space="preserve">. </w:t>
      </w:r>
    </w:p>
    <w:p w14:paraId="1FDBE131" w14:textId="77777777" w:rsidR="00D0672A" w:rsidRPr="00D0672A" w:rsidRDefault="00D0672A" w:rsidP="00D0672A">
      <w:r w:rsidRPr="00D0672A">
        <w:t>The Basin was divided into 12 areas (shown in the figure opposite), with minimum quotas set for each area. The number of completed community surveys ranged from n=33 to 148 per area.</w:t>
      </w:r>
    </w:p>
    <w:p w14:paraId="46174AEB" w14:textId="77777777" w:rsidR="00D0672A" w:rsidRDefault="00D0672A" w:rsidP="002857D6"/>
    <w:p w14:paraId="255FF573" w14:textId="77777777" w:rsidR="00E41A78" w:rsidRPr="00E41A78" w:rsidRDefault="00E41A78" w:rsidP="00E41A78">
      <w:pPr>
        <w:pStyle w:val="Heading3"/>
      </w:pPr>
      <w:r w:rsidRPr="00E41A78">
        <w:t xml:space="preserve">Water licence holders </w:t>
      </w:r>
      <w:r w:rsidRPr="00E41A78">
        <w:rPr>
          <w:lang w:val="en-US"/>
        </w:rPr>
        <w:t>(n=214)</w:t>
      </w:r>
    </w:p>
    <w:p w14:paraId="6D57FD10" w14:textId="77777777" w:rsidR="00E41A78" w:rsidRPr="00E41A78" w:rsidRDefault="00E41A78" w:rsidP="00E41A78">
      <w:r w:rsidRPr="00E41A78">
        <w:rPr>
          <w:lang w:val="en-US"/>
        </w:rPr>
        <w:t xml:space="preserve">Quantitative research was conducted via </w:t>
      </w:r>
      <w:r w:rsidRPr="00E41A78">
        <w:rPr>
          <w:b/>
          <w:bCs/>
          <w:lang w:val="en-US"/>
        </w:rPr>
        <w:t>n=150 Computer Assisted Telephone Interviews (CATI)</w:t>
      </w:r>
      <w:r w:rsidRPr="00E41A78">
        <w:rPr>
          <w:lang w:val="en-US"/>
        </w:rPr>
        <w:t xml:space="preserve"> and </w:t>
      </w:r>
      <w:r w:rsidRPr="00E41A78">
        <w:rPr>
          <w:b/>
          <w:bCs/>
          <w:lang w:val="en-US"/>
        </w:rPr>
        <w:t>n=64 online surveys</w:t>
      </w:r>
      <w:r w:rsidRPr="00E41A78">
        <w:rPr>
          <w:lang w:val="en-US"/>
        </w:rPr>
        <w:t xml:space="preserve">. </w:t>
      </w:r>
    </w:p>
    <w:p w14:paraId="6394492B" w14:textId="77777777" w:rsidR="00E41A78" w:rsidRDefault="00E41A78" w:rsidP="00E41A78">
      <w:pPr>
        <w:rPr>
          <w:b/>
          <w:bCs/>
        </w:rPr>
      </w:pPr>
      <w:r w:rsidRPr="00E41A78">
        <w:t xml:space="preserve">The survey was conducted </w:t>
      </w:r>
      <w:r w:rsidRPr="00E41A78">
        <w:rPr>
          <w:b/>
          <w:bCs/>
        </w:rPr>
        <w:t xml:space="preserve">with water licence holders who operated in the Murray–Darling Basin. </w:t>
      </w:r>
    </w:p>
    <w:p w14:paraId="01F7895F" w14:textId="77777777" w:rsidR="00E41A78" w:rsidRPr="00E41A78" w:rsidRDefault="00E41A78" w:rsidP="00E41A78"/>
    <w:p w14:paraId="129A0D47" w14:textId="77777777" w:rsidR="00E41A78" w:rsidRPr="00E41A78" w:rsidRDefault="00E41A78" w:rsidP="00E41A78">
      <w:pPr>
        <w:pStyle w:val="Heading3"/>
      </w:pPr>
      <w:r w:rsidRPr="00E41A78">
        <w:t>Basin community (n=800)</w:t>
      </w:r>
    </w:p>
    <w:p w14:paraId="3AFC0BD9" w14:textId="77777777" w:rsidR="00E41A78" w:rsidRPr="00E41A78" w:rsidRDefault="00E41A78" w:rsidP="00E41A78">
      <w:r w:rsidRPr="00E41A78">
        <w:rPr>
          <w:lang w:val="en-US"/>
        </w:rPr>
        <w:t xml:space="preserve">Quantitative research was conducted via </w:t>
      </w:r>
      <w:r w:rsidRPr="00E41A78">
        <w:rPr>
          <w:b/>
          <w:bCs/>
          <w:lang w:val="en-US"/>
        </w:rPr>
        <w:t>n=769 online surveys</w:t>
      </w:r>
      <w:r w:rsidRPr="00E41A78">
        <w:rPr>
          <w:lang w:val="en-US"/>
        </w:rPr>
        <w:t xml:space="preserve"> and </w:t>
      </w:r>
      <w:r w:rsidRPr="00E41A78">
        <w:rPr>
          <w:b/>
          <w:bCs/>
          <w:lang w:val="en-US"/>
        </w:rPr>
        <w:t>n=31 CATI</w:t>
      </w:r>
      <w:r w:rsidRPr="00E41A78">
        <w:rPr>
          <w:lang w:val="en-US"/>
        </w:rPr>
        <w:t xml:space="preserve">. </w:t>
      </w:r>
    </w:p>
    <w:p w14:paraId="725F605E" w14:textId="77777777" w:rsidR="00E41A78" w:rsidRPr="00E41A78" w:rsidRDefault="00E41A78" w:rsidP="00E41A78">
      <w:r w:rsidRPr="00E41A78">
        <w:rPr>
          <w:lang w:val="en-US"/>
        </w:rPr>
        <w:t xml:space="preserve">The survey was conducted with </w:t>
      </w:r>
      <w:r w:rsidRPr="00E41A78">
        <w:rPr>
          <w:b/>
          <w:bCs/>
          <w:lang w:val="en-US"/>
        </w:rPr>
        <w:t>residents aged 18 and over living in the Murray–Darling Basin area</w:t>
      </w:r>
      <w:r w:rsidRPr="00E41A78">
        <w:rPr>
          <w:lang w:val="en-US"/>
        </w:rPr>
        <w:t>.</w:t>
      </w:r>
    </w:p>
    <w:p w14:paraId="06F81DF4" w14:textId="1EA5031B" w:rsidR="002F0C90" w:rsidRDefault="002F0C90">
      <w:pPr>
        <w:spacing w:after="0"/>
      </w:pPr>
      <w:r>
        <w:br w:type="page"/>
      </w:r>
    </w:p>
    <w:p w14:paraId="3B74D443" w14:textId="11CCACB2" w:rsidR="00D0672A" w:rsidRDefault="002F0C90" w:rsidP="002F0C90">
      <w:pPr>
        <w:pStyle w:val="Heading1"/>
        <w:rPr>
          <w:bCs/>
        </w:rPr>
      </w:pPr>
      <w:r w:rsidRPr="002F0C90">
        <w:rPr>
          <w:bCs/>
        </w:rPr>
        <w:lastRenderedPageBreak/>
        <w:t>Explanatory notes</w:t>
      </w:r>
    </w:p>
    <w:p w14:paraId="5AE0C517" w14:textId="1356A962" w:rsidR="005E2A4B" w:rsidRDefault="005E2A4B" w:rsidP="005E2A4B">
      <w:pPr>
        <w:pStyle w:val="Heading3"/>
      </w:pPr>
      <w:r>
        <w:t>Project Background</w:t>
      </w:r>
    </w:p>
    <w:p w14:paraId="045BB5DF" w14:textId="77777777" w:rsidR="005E2A4B" w:rsidRPr="005E2A4B" w:rsidRDefault="005E2A4B" w:rsidP="005E2A4B">
      <w:r w:rsidRPr="005E2A4B">
        <w:rPr>
          <w:lang w:val="en-US"/>
        </w:rPr>
        <w:t xml:space="preserve">In May 2021, the Australian Government introduced a Bill amending the Water Act 2007 (the Water Act) to establish the </w:t>
      </w:r>
      <w:r w:rsidRPr="005E2A4B">
        <w:rPr>
          <w:b/>
          <w:bCs/>
          <w:lang w:val="en-US"/>
        </w:rPr>
        <w:t xml:space="preserve">Inspector-General of Water Compliance </w:t>
      </w:r>
      <w:r w:rsidRPr="005E2A4B">
        <w:rPr>
          <w:lang w:val="en-US"/>
        </w:rPr>
        <w:t xml:space="preserve">(IGWC) to oversee and monitor water compliance in the Murray–Darling Basin (the Basin). Through this role, the Inspector General commits to </w:t>
      </w:r>
      <w:r w:rsidRPr="005E2A4B">
        <w:rPr>
          <w:b/>
          <w:bCs/>
          <w:lang w:val="en-US"/>
        </w:rPr>
        <w:t xml:space="preserve">delivering trust and transparency, accountability, and engagement </w:t>
      </w:r>
      <w:r w:rsidRPr="005E2A4B">
        <w:rPr>
          <w:lang w:val="en-US"/>
        </w:rPr>
        <w:t xml:space="preserve">with the community around the management of Murray–Darling Basin water resources. In 2022, ORIMA conducted initial exploratory research with Basin community members and water </w:t>
      </w:r>
      <w:proofErr w:type="spellStart"/>
      <w:r w:rsidRPr="005E2A4B">
        <w:rPr>
          <w:lang w:val="en-US"/>
        </w:rPr>
        <w:t>licence</w:t>
      </w:r>
      <w:proofErr w:type="spellEnd"/>
      <w:r w:rsidRPr="005E2A4B">
        <w:rPr>
          <w:lang w:val="en-US"/>
        </w:rPr>
        <w:t xml:space="preserve"> holders/ irrigators to establish </w:t>
      </w:r>
      <w:r w:rsidRPr="005E2A4B">
        <w:rPr>
          <w:b/>
          <w:bCs/>
          <w:lang w:val="en-US"/>
        </w:rPr>
        <w:t xml:space="preserve">baseline community perceptions and sentiment </w:t>
      </w:r>
      <w:r w:rsidRPr="005E2A4B">
        <w:rPr>
          <w:lang w:val="en-US"/>
        </w:rPr>
        <w:t xml:space="preserve">towards water management, </w:t>
      </w:r>
      <w:proofErr w:type="gramStart"/>
      <w:r w:rsidRPr="005E2A4B">
        <w:rPr>
          <w:lang w:val="en-US"/>
        </w:rPr>
        <w:t>compliance</w:t>
      </w:r>
      <w:proofErr w:type="gramEnd"/>
      <w:r w:rsidRPr="005E2A4B">
        <w:rPr>
          <w:lang w:val="en-US"/>
        </w:rPr>
        <w:t xml:space="preserve"> and enforcement in the Basin, and to inform the establishment of the </w:t>
      </w:r>
      <w:r w:rsidRPr="005E2A4B">
        <w:rPr>
          <w:b/>
          <w:bCs/>
          <w:lang w:val="en-US"/>
        </w:rPr>
        <w:t>IGWC’s Key Performance Indicators (KPIs) for community sentiment</w:t>
      </w:r>
      <w:r w:rsidRPr="005E2A4B">
        <w:rPr>
          <w:lang w:val="en-US"/>
        </w:rPr>
        <w:t xml:space="preserve">. In 2023, the IGWC commissioned ORIMA Research to conduct tracking research to monitor changes in community sentiment over time, as well as to measure the IGWC’s performance against its KPIs. </w:t>
      </w:r>
    </w:p>
    <w:p w14:paraId="04727C03" w14:textId="77777777" w:rsidR="00AA3CE9" w:rsidRPr="00AA3CE9" w:rsidRDefault="00AA3CE9" w:rsidP="00AA3CE9">
      <w:pPr>
        <w:pStyle w:val="Heading3"/>
      </w:pPr>
      <w:r w:rsidRPr="00AA3CE9">
        <w:rPr>
          <w:bCs/>
          <w:lang w:val="en-GB"/>
        </w:rPr>
        <w:t>Weighting considerations in the quantitative research methodology</w:t>
      </w:r>
    </w:p>
    <w:p w14:paraId="3ADE34D9" w14:textId="77777777" w:rsidR="00AA3CE9" w:rsidRPr="00AA3CE9" w:rsidRDefault="00AA3CE9" w:rsidP="00AA3CE9">
      <w:r w:rsidRPr="00AA3CE9">
        <w:rPr>
          <w:lang w:val="en-GB"/>
        </w:rPr>
        <w:t>The survey questions were tailored to each audience, to account for the differences in their experiences (i.e. water licence holders compared to community members).</w:t>
      </w:r>
    </w:p>
    <w:p w14:paraId="799E3614" w14:textId="77777777" w:rsidR="00AA3CE9" w:rsidRPr="00AA3CE9" w:rsidRDefault="00AA3CE9" w:rsidP="00AA3CE9">
      <w:r w:rsidRPr="00AA3CE9">
        <w:rPr>
          <w:lang w:val="en-GB"/>
        </w:rPr>
        <w:t xml:space="preserve">The survey data for the Community audience was weighted to align with the sample distributions for age, </w:t>
      </w:r>
      <w:proofErr w:type="gramStart"/>
      <w:r w:rsidRPr="00AA3CE9">
        <w:rPr>
          <w:lang w:val="en-GB"/>
        </w:rPr>
        <w:t>location</w:t>
      </w:r>
      <w:proofErr w:type="gramEnd"/>
      <w:r w:rsidRPr="00AA3CE9">
        <w:rPr>
          <w:lang w:val="en-GB"/>
        </w:rPr>
        <w:t xml:space="preserve"> and gender of respective population benchmarks from ABS Census data. The survey data for water licence holders was weighted to align with the distribution across states/ territory for the number of irrigating farms, based on ABS farm water use statistics (Australian Bureau of Statistics (2020-21), Water Use on Australian Farms). Updates to the weighting approach were made to the current research and comparisons to the previous wave to factor in the most recent and robust ABS data publicly available. Please note that this update accounts for some minor differences to previously reported results due to weighting changes.</w:t>
      </w:r>
    </w:p>
    <w:p w14:paraId="566DA916" w14:textId="77777777" w:rsidR="00AA3CE9" w:rsidRPr="00AA3CE9" w:rsidRDefault="00AA3CE9" w:rsidP="00AA3CE9">
      <w:pPr>
        <w:pStyle w:val="Heading3"/>
      </w:pPr>
      <w:r w:rsidRPr="00AA3CE9">
        <w:rPr>
          <w:bCs/>
          <w:lang w:val="en-GB"/>
        </w:rPr>
        <w:t>Presentation of findings throughout the report</w:t>
      </w:r>
    </w:p>
    <w:p w14:paraId="33242948" w14:textId="77777777" w:rsidR="00EE3B11" w:rsidRPr="00EE3B11" w:rsidRDefault="00EE3B11" w:rsidP="00EE3B11">
      <w:r w:rsidRPr="00EE3B11">
        <w:rPr>
          <w:lang w:val="en-GB"/>
        </w:rPr>
        <w:t>When reporting the research results, the following references have been used to differentiate between the quantitative and qualitative research findings:</w:t>
      </w:r>
    </w:p>
    <w:p w14:paraId="0D50846E" w14:textId="77777777" w:rsidR="00EE3B11" w:rsidRPr="00EE3B11" w:rsidRDefault="00EE3B11" w:rsidP="00EE3B11">
      <w:pPr>
        <w:pStyle w:val="ListBullet"/>
      </w:pPr>
      <w:r w:rsidRPr="00EE3B11">
        <w:rPr>
          <w:lang w:val="en-GB"/>
        </w:rPr>
        <w:t>The term ‘</w:t>
      </w:r>
      <w:r w:rsidRPr="00EE3B11">
        <w:rPr>
          <w:b/>
          <w:lang w:val="en-GB"/>
        </w:rPr>
        <w:t>participant(s)</w:t>
      </w:r>
      <w:r w:rsidRPr="00EE3B11">
        <w:rPr>
          <w:lang w:val="en-GB"/>
        </w:rPr>
        <w:t>’ refers to participant(s) in the qualitative research whilst ‘</w:t>
      </w:r>
      <w:r w:rsidRPr="00503EDD">
        <w:rPr>
          <w:b/>
          <w:lang w:val="en-GB"/>
        </w:rPr>
        <w:t>respondent(s)</w:t>
      </w:r>
      <w:r w:rsidRPr="00EE3B11">
        <w:rPr>
          <w:lang w:val="en-GB"/>
        </w:rPr>
        <w:t>’ refers to respondent(s) from the quantitative survey; and</w:t>
      </w:r>
    </w:p>
    <w:p w14:paraId="64F51832" w14:textId="77777777" w:rsidR="00EE3B11" w:rsidRPr="00EE3B11" w:rsidRDefault="00EE3B11" w:rsidP="00EE3B11">
      <w:pPr>
        <w:pStyle w:val="ListBullet"/>
      </w:pPr>
      <w:r w:rsidRPr="00503EDD">
        <w:rPr>
          <w:b/>
          <w:lang w:val="en-GB"/>
        </w:rPr>
        <w:t>Numbers</w:t>
      </w:r>
      <w:r w:rsidRPr="00EE3B11">
        <w:rPr>
          <w:lang w:val="en-GB"/>
        </w:rPr>
        <w:t xml:space="preserve"> and </w:t>
      </w:r>
      <w:r w:rsidRPr="00503EDD">
        <w:rPr>
          <w:b/>
          <w:lang w:val="en-GB"/>
        </w:rPr>
        <w:t>percentages</w:t>
      </w:r>
      <w:r w:rsidRPr="00EE3B11">
        <w:rPr>
          <w:lang w:val="en-GB"/>
        </w:rPr>
        <w:t xml:space="preserve"> used only refer to the quantitative research findings.</w:t>
      </w:r>
    </w:p>
    <w:p w14:paraId="7D033A18" w14:textId="77777777" w:rsidR="00503EDD" w:rsidRPr="00503EDD" w:rsidRDefault="00503EDD" w:rsidP="00503EDD">
      <w:pPr>
        <w:pStyle w:val="ListBullet"/>
      </w:pPr>
      <w:r w:rsidRPr="00503EDD">
        <w:rPr>
          <w:b/>
          <w:bCs/>
        </w:rPr>
        <w:t>Understanding the qualitative research findings</w:t>
      </w:r>
      <w:r w:rsidRPr="00503EDD">
        <w:rPr>
          <w:b/>
          <w:bCs/>
        </w:rPr>
        <w:br/>
      </w:r>
      <w:r w:rsidRPr="00503EDD">
        <w:rPr>
          <w:lang w:val="en-GB"/>
        </w:rPr>
        <w:t xml:space="preserve">In some cases, qualitative data has been presented without quantitative data. In these cases, it should be noted that the exact number of participants holding a particular view on individual issues cannot be measured*. </w:t>
      </w:r>
    </w:p>
    <w:p w14:paraId="7FD8B7E1" w14:textId="77777777" w:rsidR="00503EDD" w:rsidRPr="00503EDD" w:rsidRDefault="00503EDD" w:rsidP="00503EDD">
      <w:pPr>
        <w:pStyle w:val="ListBullet"/>
      </w:pPr>
      <w:r w:rsidRPr="00503EDD">
        <w:t xml:space="preserve">The following terms used in the report provide a qualitative indication and approximation of the size of the target audience who held </w:t>
      </w:r>
      <w:proofErr w:type="gramStart"/>
      <w:r w:rsidRPr="00503EDD">
        <w:t>particular views</w:t>
      </w:r>
      <w:proofErr w:type="gramEnd"/>
      <w:r w:rsidRPr="00503EDD">
        <w:t>:</w:t>
      </w:r>
    </w:p>
    <w:p w14:paraId="38133B09" w14:textId="77777777" w:rsidR="00503EDD" w:rsidRPr="00503EDD" w:rsidRDefault="00503EDD" w:rsidP="00503EDD">
      <w:pPr>
        <w:pStyle w:val="ListBullet"/>
      </w:pPr>
      <w:r w:rsidRPr="00503EDD">
        <w:rPr>
          <w:b/>
          <w:bCs/>
          <w:lang w:val="en-US"/>
        </w:rPr>
        <w:t>Most</w:t>
      </w:r>
      <w:r w:rsidRPr="00503EDD">
        <w:rPr>
          <w:lang w:val="en-US"/>
        </w:rPr>
        <w:t xml:space="preserve">—refers to findings that relate to </w:t>
      </w:r>
      <w:r w:rsidRPr="00503EDD">
        <w:rPr>
          <w:b/>
          <w:bCs/>
          <w:lang w:val="en-US"/>
        </w:rPr>
        <w:t xml:space="preserve">more than three quarters </w:t>
      </w:r>
      <w:r w:rsidRPr="00503EDD">
        <w:rPr>
          <w:lang w:val="en-US"/>
        </w:rPr>
        <w:t xml:space="preserve">of the research </w:t>
      </w:r>
      <w:proofErr w:type="gramStart"/>
      <w:r w:rsidRPr="00503EDD">
        <w:rPr>
          <w:lang w:val="en-US"/>
        </w:rPr>
        <w:t>participants;</w:t>
      </w:r>
      <w:proofErr w:type="gramEnd"/>
    </w:p>
    <w:p w14:paraId="54CC8B54" w14:textId="77777777" w:rsidR="00503EDD" w:rsidRPr="00503EDD" w:rsidRDefault="00503EDD" w:rsidP="00503EDD">
      <w:pPr>
        <w:pStyle w:val="ListBullet"/>
      </w:pPr>
      <w:r w:rsidRPr="00503EDD">
        <w:rPr>
          <w:b/>
          <w:bCs/>
          <w:lang w:val="en-US"/>
        </w:rPr>
        <w:t>Many</w:t>
      </w:r>
      <w:r w:rsidRPr="00503EDD">
        <w:rPr>
          <w:lang w:val="en-US"/>
        </w:rPr>
        <w:t xml:space="preserve">—refers to findings that relate to </w:t>
      </w:r>
      <w:r w:rsidRPr="00503EDD">
        <w:rPr>
          <w:b/>
          <w:bCs/>
          <w:lang w:val="en-US"/>
        </w:rPr>
        <w:t xml:space="preserve">more than half </w:t>
      </w:r>
      <w:r w:rsidRPr="00503EDD">
        <w:rPr>
          <w:lang w:val="en-US"/>
        </w:rPr>
        <w:t xml:space="preserve">of the research </w:t>
      </w:r>
      <w:proofErr w:type="gramStart"/>
      <w:r w:rsidRPr="00503EDD">
        <w:rPr>
          <w:lang w:val="en-US"/>
        </w:rPr>
        <w:t>participants;</w:t>
      </w:r>
      <w:proofErr w:type="gramEnd"/>
    </w:p>
    <w:p w14:paraId="460A0529" w14:textId="77777777" w:rsidR="00503EDD" w:rsidRPr="00503EDD" w:rsidRDefault="00503EDD" w:rsidP="00503EDD">
      <w:pPr>
        <w:pStyle w:val="ListBullet"/>
      </w:pPr>
      <w:r w:rsidRPr="00503EDD">
        <w:rPr>
          <w:b/>
          <w:bCs/>
          <w:lang w:val="en-US"/>
        </w:rPr>
        <w:t>Some</w:t>
      </w:r>
      <w:r w:rsidRPr="00503EDD">
        <w:rPr>
          <w:lang w:val="en-US"/>
        </w:rPr>
        <w:t xml:space="preserve">—refers to findings that relate to </w:t>
      </w:r>
      <w:r w:rsidRPr="00503EDD">
        <w:rPr>
          <w:b/>
          <w:bCs/>
          <w:lang w:val="en-US"/>
        </w:rPr>
        <w:t xml:space="preserve">around a third </w:t>
      </w:r>
      <w:r w:rsidRPr="00503EDD">
        <w:rPr>
          <w:lang w:val="en-US"/>
        </w:rPr>
        <w:t>of the research participants; and</w:t>
      </w:r>
    </w:p>
    <w:p w14:paraId="0974C21A" w14:textId="77777777" w:rsidR="00503EDD" w:rsidRPr="00503EDD" w:rsidRDefault="00503EDD" w:rsidP="00503EDD">
      <w:pPr>
        <w:pStyle w:val="ListBullet"/>
      </w:pPr>
      <w:r w:rsidRPr="00503EDD">
        <w:rPr>
          <w:b/>
          <w:bCs/>
          <w:lang w:val="en-US"/>
        </w:rPr>
        <w:t>A few</w:t>
      </w:r>
      <w:r w:rsidRPr="00503EDD">
        <w:rPr>
          <w:lang w:val="en-US"/>
        </w:rPr>
        <w:t xml:space="preserve">—refers to findings that relate to </w:t>
      </w:r>
      <w:r w:rsidRPr="00503EDD">
        <w:rPr>
          <w:b/>
          <w:bCs/>
          <w:lang w:val="en-US"/>
        </w:rPr>
        <w:t xml:space="preserve">less than a quarter </w:t>
      </w:r>
      <w:r w:rsidRPr="00503EDD">
        <w:rPr>
          <w:lang w:val="en-US"/>
        </w:rPr>
        <w:t>of research participants.</w:t>
      </w:r>
    </w:p>
    <w:p w14:paraId="5F470881" w14:textId="77777777" w:rsidR="00503EDD" w:rsidRDefault="00503EDD" w:rsidP="008557E4">
      <w:pPr>
        <w:pStyle w:val="ListBullet"/>
        <w:numPr>
          <w:ilvl w:val="0"/>
          <w:numId w:val="0"/>
        </w:numPr>
        <w:rPr>
          <w:lang w:val="en-GB"/>
        </w:rPr>
      </w:pPr>
      <w:r w:rsidRPr="00503EDD">
        <w:rPr>
          <w:lang w:val="en-GB"/>
        </w:rPr>
        <w:lastRenderedPageBreak/>
        <w:t xml:space="preserve">The most common qualitative findings are reported except in certain situations where only a minority has raised </w:t>
      </w:r>
      <w:proofErr w:type="gramStart"/>
      <w:r w:rsidRPr="00503EDD">
        <w:rPr>
          <w:lang w:val="en-GB"/>
        </w:rPr>
        <w:t>particular issues</w:t>
      </w:r>
      <w:proofErr w:type="gramEnd"/>
      <w:r w:rsidRPr="00503EDD">
        <w:rPr>
          <w:lang w:val="en-GB"/>
        </w:rPr>
        <w:t>, but these are nevertheless considered to be important and to have potentially wide-ranging implications or applications.</w:t>
      </w:r>
    </w:p>
    <w:p w14:paraId="0C27AC58" w14:textId="77777777" w:rsidR="008557E4" w:rsidRDefault="008557E4" w:rsidP="008557E4">
      <w:pPr>
        <w:pStyle w:val="ListBullet"/>
        <w:numPr>
          <w:ilvl w:val="0"/>
          <w:numId w:val="0"/>
        </w:numPr>
        <w:ind w:left="369" w:hanging="369"/>
        <w:rPr>
          <w:b/>
          <w:bCs/>
          <w:i/>
          <w:iCs/>
        </w:rPr>
      </w:pPr>
      <w:r w:rsidRPr="008557E4">
        <w:rPr>
          <w:rStyle w:val="Heading3Char"/>
        </w:rPr>
        <w:t>Understanding the quantitative research findings</w:t>
      </w:r>
    </w:p>
    <w:p w14:paraId="7CDC3D9A" w14:textId="7430B89F" w:rsidR="008557E4" w:rsidRPr="008557E4" w:rsidRDefault="008557E4" w:rsidP="008557E4">
      <w:r w:rsidRPr="008557E4">
        <w:rPr>
          <w:lang w:val="en-GB"/>
        </w:rPr>
        <w:t xml:space="preserve">Percentages from the quantitative </w:t>
      </w:r>
      <w:r w:rsidRPr="008557E4">
        <w:t>survey</w:t>
      </w:r>
      <w:r w:rsidRPr="008557E4">
        <w:rPr>
          <w:lang w:val="en-GB"/>
        </w:rPr>
        <w:t xml:space="preserve"> presented in the report are based on the total number of valid responses made to the question being reported on. In most cases, results reflect those respondents who had a view and for whom the questions were applicable. Arrows are used to denote where results are significantly different from the previous year's results.</w:t>
      </w:r>
    </w:p>
    <w:p w14:paraId="180CC798" w14:textId="77777777" w:rsidR="008557E4" w:rsidRPr="00503EDD" w:rsidRDefault="008557E4" w:rsidP="008557E4">
      <w:pPr>
        <w:pStyle w:val="ListBullet"/>
        <w:numPr>
          <w:ilvl w:val="0"/>
          <w:numId w:val="0"/>
        </w:numPr>
      </w:pPr>
    </w:p>
    <w:p w14:paraId="03B39719" w14:textId="77777777" w:rsidR="007966A3" w:rsidRPr="007966A3" w:rsidRDefault="007966A3" w:rsidP="007966A3">
      <w:r w:rsidRPr="007966A3">
        <w:t xml:space="preserve">This project was conducted in accordance with the international quality standard ISO 20252, the international information security standard ISO 27001, as well as the Australian Privacy Principles contained in the </w:t>
      </w:r>
      <w:r w:rsidRPr="007966A3">
        <w:rPr>
          <w:i/>
          <w:iCs/>
        </w:rPr>
        <w:t xml:space="preserve">Privacy Act 1988 </w:t>
      </w:r>
      <w:r w:rsidRPr="007966A3">
        <w:t>(</w:t>
      </w:r>
      <w:proofErr w:type="spellStart"/>
      <w:r w:rsidRPr="007966A3">
        <w:t>Cth</w:t>
      </w:r>
      <w:proofErr w:type="spellEnd"/>
      <w:r w:rsidRPr="007966A3">
        <w:t>). ORIMA Research also adheres to the Privacy (Market and Social Research) Code 2021 administered by the Australian Data and Insights Association (ADIA).</w:t>
      </w:r>
    </w:p>
    <w:p w14:paraId="4879730E" w14:textId="77777777" w:rsidR="00EE3B11" w:rsidRPr="00EE3B11" w:rsidRDefault="00EE3B11" w:rsidP="00EE3B11">
      <w:pPr>
        <w:pStyle w:val="ListBullet"/>
        <w:numPr>
          <w:ilvl w:val="0"/>
          <w:numId w:val="0"/>
        </w:numPr>
        <w:ind w:left="369" w:hanging="369"/>
      </w:pPr>
    </w:p>
    <w:p w14:paraId="473F2505" w14:textId="77777777" w:rsidR="005E2A4B" w:rsidRDefault="005E2A4B" w:rsidP="00AA3CE9">
      <w:pPr>
        <w:pStyle w:val="Heading3"/>
      </w:pPr>
    </w:p>
    <w:p w14:paraId="5669144C" w14:textId="77777777" w:rsidR="005E2A4B" w:rsidRPr="005E2A4B" w:rsidRDefault="005E2A4B" w:rsidP="005E2A4B"/>
    <w:sectPr w:rsidR="005E2A4B" w:rsidRPr="005E2A4B" w:rsidSect="009D1809">
      <w:footerReference w:type="default" r:id="rId12"/>
      <w:headerReference w:type="first" r:id="rId13"/>
      <w:footerReference w:type="first" r:id="rId14"/>
      <w:pgSz w:w="11906" w:h="16838"/>
      <w:pgMar w:top="1284" w:right="1134" w:bottom="816" w:left="1134" w:header="431"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3D50" w14:textId="77777777" w:rsidR="006D7BAA" w:rsidRDefault="006D7BAA">
      <w:r>
        <w:separator/>
      </w:r>
    </w:p>
  </w:endnote>
  <w:endnote w:type="continuationSeparator" w:id="0">
    <w:p w14:paraId="283B91F7" w14:textId="77777777" w:rsidR="006D7BAA" w:rsidRDefault="006D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DA9B" w14:textId="405BDF93" w:rsidR="003C5491" w:rsidRPr="007421F4" w:rsidRDefault="00794F8E" w:rsidP="007421F4">
    <w:pPr>
      <w:pStyle w:val="Footer"/>
      <w:tabs>
        <w:tab w:val="clear" w:pos="4513"/>
        <w:tab w:val="clear" w:pos="9026"/>
        <w:tab w:val="right" w:pos="9638"/>
      </w:tabs>
    </w:pPr>
    <w:r>
      <w:t xml:space="preserve">IGWC Basin Community Perception </w:t>
    </w:r>
    <w:r w:rsidR="000F4D94">
      <w:t xml:space="preserve">Research 2023 | Research conducted by </w:t>
    </w:r>
    <w:proofErr w:type="spellStart"/>
    <w:r w:rsidR="000F4D94">
      <w:t>Orima</w:t>
    </w:r>
    <w:proofErr w:type="spellEnd"/>
    <w:r w:rsidR="000F4D94">
      <w:t xml:space="preserve"> </w:t>
    </w:r>
    <w:r w:rsidR="007421F4" w:rsidRPr="007421F4">
      <w:tab/>
    </w:r>
    <w:r w:rsidR="007421F4" w:rsidRPr="007421F4">
      <w:fldChar w:fldCharType="begin"/>
    </w:r>
    <w:r w:rsidR="007421F4" w:rsidRPr="007421F4">
      <w:instrText xml:space="preserve"> PAGE   \* MERGEFORMAT </w:instrText>
    </w:r>
    <w:r w:rsidR="007421F4" w:rsidRPr="007421F4">
      <w:fldChar w:fldCharType="separate"/>
    </w:r>
    <w:r w:rsidR="007421F4" w:rsidRPr="007421F4">
      <w:t>1</w:t>
    </w:r>
    <w:r w:rsidR="007421F4" w:rsidRPr="007421F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4A9C" w14:textId="77777777" w:rsidR="00B25458" w:rsidRPr="002C07A5" w:rsidRDefault="00B25458" w:rsidP="002C07A5">
    <w:pPr>
      <w:pStyle w:val="Footer"/>
      <w:tabs>
        <w:tab w:val="clear" w:pos="4513"/>
        <w:tab w:val="clear" w:pos="9026"/>
        <w:tab w:val="right" w:pos="9638"/>
      </w:tabs>
      <w:rPr>
        <w:color w:val="FFFFFF"/>
      </w:rPr>
    </w:pPr>
    <w:r w:rsidRPr="00DA3699">
      <w:rPr>
        <w:color w:val="FF0000"/>
      </w:rPr>
      <w:t>Inspector-General of Water Compliance</w:t>
    </w:r>
    <w:r w:rsidRPr="00DA3699">
      <w:rPr>
        <w:color w:val="FF0000"/>
      </w:rPr>
      <w:tab/>
    </w:r>
    <w:r w:rsidRPr="00DA3699">
      <w:rPr>
        <w:color w:val="FF0000"/>
      </w:rPr>
      <w:fldChar w:fldCharType="begin"/>
    </w:r>
    <w:r w:rsidRPr="00DA3699">
      <w:rPr>
        <w:color w:val="FF0000"/>
      </w:rPr>
      <w:instrText xml:space="preserve"> PAGE   \* MERGEFORMAT </w:instrText>
    </w:r>
    <w:r w:rsidRPr="00DA3699">
      <w:rPr>
        <w:color w:val="FF0000"/>
      </w:rPr>
      <w:fldChar w:fldCharType="separate"/>
    </w:r>
    <w:r w:rsidRPr="00DA3699">
      <w:rPr>
        <w:color w:val="FF0000"/>
      </w:rPr>
      <w:t>3</w:t>
    </w:r>
    <w:r w:rsidRPr="00DA3699">
      <w:rPr>
        <w:noProof/>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6D2B" w14:textId="77777777" w:rsidR="006D7BAA" w:rsidRDefault="006D7BAA">
      <w:r>
        <w:separator/>
      </w:r>
    </w:p>
  </w:footnote>
  <w:footnote w:type="continuationSeparator" w:id="0">
    <w:p w14:paraId="008AE0A1" w14:textId="77777777" w:rsidR="006D7BAA" w:rsidRDefault="006D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BE3D" w14:textId="77777777" w:rsidR="00090D27" w:rsidRDefault="00090D27">
    <w:pPr>
      <w:pStyle w:val="Header"/>
    </w:pPr>
  </w:p>
  <w:p w14:paraId="0EA288ED" w14:textId="77777777" w:rsidR="00090D27" w:rsidRDefault="00090D27">
    <w:pPr>
      <w:pStyle w:val="Header"/>
    </w:pPr>
  </w:p>
  <w:p w14:paraId="650E3E13" w14:textId="77777777" w:rsidR="00090D27" w:rsidRDefault="00090D27">
    <w:pPr>
      <w:pStyle w:val="Header"/>
    </w:pPr>
  </w:p>
  <w:p w14:paraId="671A4AB2" w14:textId="77777777" w:rsidR="00090D27" w:rsidRDefault="00090D27">
    <w:pPr>
      <w:pStyle w:val="Header"/>
    </w:pPr>
  </w:p>
  <w:p w14:paraId="6B634EFA" w14:textId="77777777" w:rsidR="00090D27" w:rsidRDefault="00090D27">
    <w:pPr>
      <w:pStyle w:val="Header"/>
    </w:pPr>
  </w:p>
  <w:p w14:paraId="4C593F69" w14:textId="77777777" w:rsidR="00090D27" w:rsidRDefault="00090D27">
    <w:pPr>
      <w:pStyle w:val="Header"/>
    </w:pPr>
  </w:p>
  <w:p w14:paraId="0A703FE7" w14:textId="77777777" w:rsidR="00090D27" w:rsidRDefault="00090D27">
    <w:pPr>
      <w:pStyle w:val="Header"/>
    </w:pPr>
  </w:p>
  <w:p w14:paraId="1286BD69" w14:textId="77777777" w:rsidR="00090D27" w:rsidRDefault="00090D27">
    <w:pPr>
      <w:pStyle w:val="Header"/>
    </w:pPr>
  </w:p>
  <w:p w14:paraId="364BF1AA" w14:textId="77777777" w:rsidR="00090D27" w:rsidRDefault="00090D27">
    <w:pPr>
      <w:pStyle w:val="Header"/>
    </w:pPr>
  </w:p>
  <w:p w14:paraId="2B287129" w14:textId="77777777" w:rsidR="00090D27" w:rsidRDefault="00090D27">
    <w:pPr>
      <w:pStyle w:val="Header"/>
    </w:pPr>
  </w:p>
  <w:p w14:paraId="4BCC4CB1" w14:textId="77777777" w:rsidR="00090D27" w:rsidRDefault="00090D27">
    <w:pPr>
      <w:pStyle w:val="Header"/>
    </w:pPr>
  </w:p>
  <w:p w14:paraId="59FEBB73" w14:textId="77777777" w:rsidR="00090D27" w:rsidRDefault="00090D27">
    <w:pPr>
      <w:pStyle w:val="Header"/>
    </w:pPr>
  </w:p>
  <w:p w14:paraId="2D2B5172" w14:textId="77777777" w:rsidR="00090D27" w:rsidRDefault="00090D27">
    <w:pPr>
      <w:pStyle w:val="Header"/>
    </w:pPr>
  </w:p>
  <w:p w14:paraId="47963768" w14:textId="77777777" w:rsidR="00090D27" w:rsidRDefault="00090D27">
    <w:pPr>
      <w:pStyle w:val="Header"/>
    </w:pPr>
  </w:p>
  <w:p w14:paraId="502636F4" w14:textId="77777777" w:rsidR="00090D27" w:rsidRDefault="00090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24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C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CA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48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4B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8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69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40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44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E6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3" w15:restartNumberingAfterBreak="0">
    <w:nsid w:val="1F745BC2"/>
    <w:multiLevelType w:val="multilevel"/>
    <w:tmpl w:val="E5E89F92"/>
    <w:numStyleLink w:val="BulletList"/>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8"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1"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F1308B5"/>
    <w:multiLevelType w:val="hybridMultilevel"/>
    <w:tmpl w:val="5BDC7174"/>
    <w:lvl w:ilvl="0" w:tplc="CF569056">
      <w:start w:val="1"/>
      <w:numFmt w:val="bullet"/>
      <w:lvlText w:val="•"/>
      <w:lvlJc w:val="left"/>
      <w:pPr>
        <w:tabs>
          <w:tab w:val="num" w:pos="720"/>
        </w:tabs>
        <w:ind w:left="720" w:hanging="360"/>
      </w:pPr>
      <w:rPr>
        <w:rFonts w:ascii="Arial" w:hAnsi="Arial" w:hint="default"/>
      </w:rPr>
    </w:lvl>
    <w:lvl w:ilvl="1" w:tplc="AFF6E4C2" w:tentative="1">
      <w:start w:val="1"/>
      <w:numFmt w:val="bullet"/>
      <w:lvlText w:val="•"/>
      <w:lvlJc w:val="left"/>
      <w:pPr>
        <w:tabs>
          <w:tab w:val="num" w:pos="1440"/>
        </w:tabs>
        <w:ind w:left="1440" w:hanging="360"/>
      </w:pPr>
      <w:rPr>
        <w:rFonts w:ascii="Arial" w:hAnsi="Arial" w:hint="default"/>
      </w:rPr>
    </w:lvl>
    <w:lvl w:ilvl="2" w:tplc="77DCBB64" w:tentative="1">
      <w:start w:val="1"/>
      <w:numFmt w:val="bullet"/>
      <w:lvlText w:val="•"/>
      <w:lvlJc w:val="left"/>
      <w:pPr>
        <w:tabs>
          <w:tab w:val="num" w:pos="2160"/>
        </w:tabs>
        <w:ind w:left="2160" w:hanging="360"/>
      </w:pPr>
      <w:rPr>
        <w:rFonts w:ascii="Arial" w:hAnsi="Arial" w:hint="default"/>
      </w:rPr>
    </w:lvl>
    <w:lvl w:ilvl="3" w:tplc="7FDC8FEC" w:tentative="1">
      <w:start w:val="1"/>
      <w:numFmt w:val="bullet"/>
      <w:lvlText w:val="•"/>
      <w:lvlJc w:val="left"/>
      <w:pPr>
        <w:tabs>
          <w:tab w:val="num" w:pos="2880"/>
        </w:tabs>
        <w:ind w:left="2880" w:hanging="360"/>
      </w:pPr>
      <w:rPr>
        <w:rFonts w:ascii="Arial" w:hAnsi="Arial" w:hint="default"/>
      </w:rPr>
    </w:lvl>
    <w:lvl w:ilvl="4" w:tplc="E43A433C" w:tentative="1">
      <w:start w:val="1"/>
      <w:numFmt w:val="bullet"/>
      <w:lvlText w:val="•"/>
      <w:lvlJc w:val="left"/>
      <w:pPr>
        <w:tabs>
          <w:tab w:val="num" w:pos="3600"/>
        </w:tabs>
        <w:ind w:left="3600" w:hanging="360"/>
      </w:pPr>
      <w:rPr>
        <w:rFonts w:ascii="Arial" w:hAnsi="Arial" w:hint="default"/>
      </w:rPr>
    </w:lvl>
    <w:lvl w:ilvl="5" w:tplc="CE54FBBE" w:tentative="1">
      <w:start w:val="1"/>
      <w:numFmt w:val="bullet"/>
      <w:lvlText w:val="•"/>
      <w:lvlJc w:val="left"/>
      <w:pPr>
        <w:tabs>
          <w:tab w:val="num" w:pos="4320"/>
        </w:tabs>
        <w:ind w:left="4320" w:hanging="360"/>
      </w:pPr>
      <w:rPr>
        <w:rFonts w:ascii="Arial" w:hAnsi="Arial" w:hint="default"/>
      </w:rPr>
    </w:lvl>
    <w:lvl w:ilvl="6" w:tplc="2E167446" w:tentative="1">
      <w:start w:val="1"/>
      <w:numFmt w:val="bullet"/>
      <w:lvlText w:val="•"/>
      <w:lvlJc w:val="left"/>
      <w:pPr>
        <w:tabs>
          <w:tab w:val="num" w:pos="5040"/>
        </w:tabs>
        <w:ind w:left="5040" w:hanging="360"/>
      </w:pPr>
      <w:rPr>
        <w:rFonts w:ascii="Arial" w:hAnsi="Arial" w:hint="default"/>
      </w:rPr>
    </w:lvl>
    <w:lvl w:ilvl="7" w:tplc="2034BE9C" w:tentative="1">
      <w:start w:val="1"/>
      <w:numFmt w:val="bullet"/>
      <w:lvlText w:val="•"/>
      <w:lvlJc w:val="left"/>
      <w:pPr>
        <w:tabs>
          <w:tab w:val="num" w:pos="5760"/>
        </w:tabs>
        <w:ind w:left="5760" w:hanging="360"/>
      </w:pPr>
      <w:rPr>
        <w:rFonts w:ascii="Arial" w:hAnsi="Arial" w:hint="default"/>
      </w:rPr>
    </w:lvl>
    <w:lvl w:ilvl="8" w:tplc="F228B3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7"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91578559">
    <w:abstractNumId w:val="28"/>
  </w:num>
  <w:num w:numId="2" w16cid:durableId="1695494793">
    <w:abstractNumId w:val="10"/>
  </w:num>
  <w:num w:numId="3" w16cid:durableId="837967731">
    <w:abstractNumId w:val="26"/>
  </w:num>
  <w:num w:numId="4" w16cid:durableId="503016937">
    <w:abstractNumId w:val="23"/>
  </w:num>
  <w:num w:numId="5" w16cid:durableId="1193498152">
    <w:abstractNumId w:val="15"/>
  </w:num>
  <w:num w:numId="6" w16cid:durableId="741562954">
    <w:abstractNumId w:val="14"/>
  </w:num>
  <w:num w:numId="7" w16cid:durableId="328093727">
    <w:abstractNumId w:val="22"/>
  </w:num>
  <w:num w:numId="8" w16cid:durableId="904608017">
    <w:abstractNumId w:val="13"/>
  </w:num>
  <w:num w:numId="9" w16cid:durableId="1636716221">
    <w:abstractNumId w:val="12"/>
  </w:num>
  <w:num w:numId="10" w16cid:durableId="421340098">
    <w:abstractNumId w:val="27"/>
  </w:num>
  <w:num w:numId="11" w16cid:durableId="1563101622">
    <w:abstractNumId w:val="22"/>
  </w:num>
  <w:num w:numId="12" w16cid:durableId="1302542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651029">
    <w:abstractNumId w:val="17"/>
  </w:num>
  <w:num w:numId="14" w16cid:durableId="1320034301">
    <w:abstractNumId w:val="21"/>
  </w:num>
  <w:num w:numId="15" w16cid:durableId="1245845613">
    <w:abstractNumId w:val="24"/>
  </w:num>
  <w:num w:numId="16" w16cid:durableId="1246299485">
    <w:abstractNumId w:val="22"/>
  </w:num>
  <w:num w:numId="17" w16cid:durableId="7854682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692334">
    <w:abstractNumId w:val="22"/>
  </w:num>
  <w:num w:numId="19" w16cid:durableId="1540781966">
    <w:abstractNumId w:val="18"/>
  </w:num>
  <w:num w:numId="20" w16cid:durableId="1116951293">
    <w:abstractNumId w:val="22"/>
  </w:num>
  <w:num w:numId="21" w16cid:durableId="1883251262">
    <w:abstractNumId w:val="20"/>
  </w:num>
  <w:num w:numId="22" w16cid:durableId="192231740">
    <w:abstractNumId w:val="16"/>
  </w:num>
  <w:num w:numId="23" w16cid:durableId="772290083">
    <w:abstractNumId w:val="11"/>
  </w:num>
  <w:num w:numId="24" w16cid:durableId="1653481782">
    <w:abstractNumId w:val="22"/>
  </w:num>
  <w:num w:numId="25" w16cid:durableId="15009975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6917405">
    <w:abstractNumId w:val="8"/>
  </w:num>
  <w:num w:numId="27" w16cid:durableId="1525173352">
    <w:abstractNumId w:val="19"/>
  </w:num>
  <w:num w:numId="28" w16cid:durableId="1191532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4329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8727208">
    <w:abstractNumId w:val="22"/>
  </w:num>
  <w:num w:numId="31" w16cid:durableId="375199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1455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065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54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1262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3910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364114">
    <w:abstractNumId w:val="0"/>
  </w:num>
  <w:num w:numId="38" w16cid:durableId="1485665366">
    <w:abstractNumId w:val="1"/>
  </w:num>
  <w:num w:numId="39" w16cid:durableId="1159468229">
    <w:abstractNumId w:val="4"/>
  </w:num>
  <w:num w:numId="40" w16cid:durableId="126556623">
    <w:abstractNumId w:val="5"/>
  </w:num>
  <w:num w:numId="41" w16cid:durableId="498614628">
    <w:abstractNumId w:val="6"/>
  </w:num>
  <w:num w:numId="42" w16cid:durableId="1899632683">
    <w:abstractNumId w:val="9"/>
  </w:num>
  <w:num w:numId="43" w16cid:durableId="309598067">
    <w:abstractNumId w:val="7"/>
  </w:num>
  <w:num w:numId="44" w16cid:durableId="694695995">
    <w:abstractNumId w:val="3"/>
  </w:num>
  <w:num w:numId="45" w16cid:durableId="1598707838">
    <w:abstractNumId w:val="2"/>
  </w:num>
  <w:num w:numId="46" w16cid:durableId="65492005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2287"/>
    <w:rsid w:val="000032A0"/>
    <w:rsid w:val="00007DE1"/>
    <w:rsid w:val="000131EE"/>
    <w:rsid w:val="00027643"/>
    <w:rsid w:val="000514BD"/>
    <w:rsid w:val="0005181B"/>
    <w:rsid w:val="0005366D"/>
    <w:rsid w:val="00055589"/>
    <w:rsid w:val="000613B1"/>
    <w:rsid w:val="00071327"/>
    <w:rsid w:val="00081166"/>
    <w:rsid w:val="00081F58"/>
    <w:rsid w:val="00082E59"/>
    <w:rsid w:val="00090D27"/>
    <w:rsid w:val="00091B06"/>
    <w:rsid w:val="000A048E"/>
    <w:rsid w:val="000A0A47"/>
    <w:rsid w:val="000A545D"/>
    <w:rsid w:val="000C1C6B"/>
    <w:rsid w:val="000D06D9"/>
    <w:rsid w:val="000D0DF9"/>
    <w:rsid w:val="000D1751"/>
    <w:rsid w:val="000D6789"/>
    <w:rsid w:val="000E1E4F"/>
    <w:rsid w:val="000E5C12"/>
    <w:rsid w:val="000F4D94"/>
    <w:rsid w:val="000F55E7"/>
    <w:rsid w:val="00105C5F"/>
    <w:rsid w:val="00114BA0"/>
    <w:rsid w:val="0013156A"/>
    <w:rsid w:val="001316EC"/>
    <w:rsid w:val="0013454F"/>
    <w:rsid w:val="001345C9"/>
    <w:rsid w:val="0013463C"/>
    <w:rsid w:val="0014182C"/>
    <w:rsid w:val="00142D08"/>
    <w:rsid w:val="00142E0B"/>
    <w:rsid w:val="001467BC"/>
    <w:rsid w:val="00156132"/>
    <w:rsid w:val="0015695F"/>
    <w:rsid w:val="0017077A"/>
    <w:rsid w:val="00170D66"/>
    <w:rsid w:val="00170DC6"/>
    <w:rsid w:val="0017351A"/>
    <w:rsid w:val="001827C2"/>
    <w:rsid w:val="00186E6F"/>
    <w:rsid w:val="00197857"/>
    <w:rsid w:val="001C0255"/>
    <w:rsid w:val="001C0F11"/>
    <w:rsid w:val="001C1ABF"/>
    <w:rsid w:val="001E434A"/>
    <w:rsid w:val="001F2A15"/>
    <w:rsid w:val="00204E35"/>
    <w:rsid w:val="0021103E"/>
    <w:rsid w:val="00221662"/>
    <w:rsid w:val="00222CB5"/>
    <w:rsid w:val="00223EBF"/>
    <w:rsid w:val="00226F53"/>
    <w:rsid w:val="00230C4C"/>
    <w:rsid w:val="00230F46"/>
    <w:rsid w:val="00231A97"/>
    <w:rsid w:val="0023381A"/>
    <w:rsid w:val="00234917"/>
    <w:rsid w:val="00250CB7"/>
    <w:rsid w:val="002561B9"/>
    <w:rsid w:val="00272B0B"/>
    <w:rsid w:val="00272CBB"/>
    <w:rsid w:val="00280050"/>
    <w:rsid w:val="002857D6"/>
    <w:rsid w:val="00296907"/>
    <w:rsid w:val="002A5A1E"/>
    <w:rsid w:val="002A7384"/>
    <w:rsid w:val="002B41C1"/>
    <w:rsid w:val="002B4251"/>
    <w:rsid w:val="002C07A5"/>
    <w:rsid w:val="002C086E"/>
    <w:rsid w:val="002C5D57"/>
    <w:rsid w:val="002C6C13"/>
    <w:rsid w:val="002D3EC0"/>
    <w:rsid w:val="002E177E"/>
    <w:rsid w:val="002E351B"/>
    <w:rsid w:val="002E4CCA"/>
    <w:rsid w:val="002E5A71"/>
    <w:rsid w:val="002E712A"/>
    <w:rsid w:val="002F0C90"/>
    <w:rsid w:val="00303D1F"/>
    <w:rsid w:val="0032356E"/>
    <w:rsid w:val="003268F7"/>
    <w:rsid w:val="00334F52"/>
    <w:rsid w:val="00335559"/>
    <w:rsid w:val="0035128A"/>
    <w:rsid w:val="003522E8"/>
    <w:rsid w:val="00352BB1"/>
    <w:rsid w:val="00361A48"/>
    <w:rsid w:val="0036565C"/>
    <w:rsid w:val="00371808"/>
    <w:rsid w:val="00374588"/>
    <w:rsid w:val="00374903"/>
    <w:rsid w:val="00376A5A"/>
    <w:rsid w:val="00384EC2"/>
    <w:rsid w:val="0039416C"/>
    <w:rsid w:val="003A39E1"/>
    <w:rsid w:val="003A39FE"/>
    <w:rsid w:val="003A6733"/>
    <w:rsid w:val="003A7927"/>
    <w:rsid w:val="003B10AF"/>
    <w:rsid w:val="003B3811"/>
    <w:rsid w:val="003B523D"/>
    <w:rsid w:val="003B64C4"/>
    <w:rsid w:val="003B7B80"/>
    <w:rsid w:val="003C464C"/>
    <w:rsid w:val="003C5491"/>
    <w:rsid w:val="003D32AF"/>
    <w:rsid w:val="003D4686"/>
    <w:rsid w:val="003D63BD"/>
    <w:rsid w:val="003D7A59"/>
    <w:rsid w:val="003F5D2E"/>
    <w:rsid w:val="003F7DA8"/>
    <w:rsid w:val="00402EF9"/>
    <w:rsid w:val="004036BC"/>
    <w:rsid w:val="00406DCC"/>
    <w:rsid w:val="00407D3B"/>
    <w:rsid w:val="004101E6"/>
    <w:rsid w:val="004111F5"/>
    <w:rsid w:val="00412531"/>
    <w:rsid w:val="0041656D"/>
    <w:rsid w:val="004201BD"/>
    <w:rsid w:val="00435004"/>
    <w:rsid w:val="00447D96"/>
    <w:rsid w:val="00455651"/>
    <w:rsid w:val="00460B80"/>
    <w:rsid w:val="00463BE8"/>
    <w:rsid w:val="0046450A"/>
    <w:rsid w:val="00473F5B"/>
    <w:rsid w:val="00474D5B"/>
    <w:rsid w:val="00490047"/>
    <w:rsid w:val="00492AE6"/>
    <w:rsid w:val="004A3264"/>
    <w:rsid w:val="004B05C1"/>
    <w:rsid w:val="004B6AB8"/>
    <w:rsid w:val="004C2235"/>
    <w:rsid w:val="004C561D"/>
    <w:rsid w:val="004D5646"/>
    <w:rsid w:val="004D7688"/>
    <w:rsid w:val="004E09A7"/>
    <w:rsid w:val="004E30CC"/>
    <w:rsid w:val="004E7BFE"/>
    <w:rsid w:val="004F33A8"/>
    <w:rsid w:val="004F4AA6"/>
    <w:rsid w:val="004F560A"/>
    <w:rsid w:val="004F5BB5"/>
    <w:rsid w:val="00502127"/>
    <w:rsid w:val="00503E62"/>
    <w:rsid w:val="00503EDD"/>
    <w:rsid w:val="005102AB"/>
    <w:rsid w:val="00510BCE"/>
    <w:rsid w:val="00522D98"/>
    <w:rsid w:val="005268BF"/>
    <w:rsid w:val="005278D2"/>
    <w:rsid w:val="005359F0"/>
    <w:rsid w:val="0053628B"/>
    <w:rsid w:val="00545945"/>
    <w:rsid w:val="0055136D"/>
    <w:rsid w:val="005611DF"/>
    <w:rsid w:val="00564FB9"/>
    <w:rsid w:val="0057289E"/>
    <w:rsid w:val="00584DDB"/>
    <w:rsid w:val="00585FD1"/>
    <w:rsid w:val="00587CF7"/>
    <w:rsid w:val="0059001F"/>
    <w:rsid w:val="005B18FD"/>
    <w:rsid w:val="005B2F67"/>
    <w:rsid w:val="005B6E13"/>
    <w:rsid w:val="005C5D99"/>
    <w:rsid w:val="005E2A4B"/>
    <w:rsid w:val="005E3F3F"/>
    <w:rsid w:val="005F0B50"/>
    <w:rsid w:val="005F2369"/>
    <w:rsid w:val="005F4732"/>
    <w:rsid w:val="00606C45"/>
    <w:rsid w:val="00617D03"/>
    <w:rsid w:val="00617D67"/>
    <w:rsid w:val="00622053"/>
    <w:rsid w:val="00625BF6"/>
    <w:rsid w:val="006318A8"/>
    <w:rsid w:val="006413FA"/>
    <w:rsid w:val="0065066C"/>
    <w:rsid w:val="00653283"/>
    <w:rsid w:val="006537FD"/>
    <w:rsid w:val="0065411A"/>
    <w:rsid w:val="00656C46"/>
    <w:rsid w:val="00656F47"/>
    <w:rsid w:val="0066217F"/>
    <w:rsid w:val="006701E1"/>
    <w:rsid w:val="00672A68"/>
    <w:rsid w:val="00686F17"/>
    <w:rsid w:val="00690360"/>
    <w:rsid w:val="006A6E80"/>
    <w:rsid w:val="006B2B83"/>
    <w:rsid w:val="006C7649"/>
    <w:rsid w:val="006D01B3"/>
    <w:rsid w:val="006D7BAA"/>
    <w:rsid w:val="006E0EC3"/>
    <w:rsid w:val="006E2B5F"/>
    <w:rsid w:val="006E7B4A"/>
    <w:rsid w:val="006F3470"/>
    <w:rsid w:val="006F5E69"/>
    <w:rsid w:val="00702411"/>
    <w:rsid w:val="00710673"/>
    <w:rsid w:val="00723BDE"/>
    <w:rsid w:val="00725B2A"/>
    <w:rsid w:val="00726031"/>
    <w:rsid w:val="00736ACC"/>
    <w:rsid w:val="007421F4"/>
    <w:rsid w:val="00743ABB"/>
    <w:rsid w:val="007440F7"/>
    <w:rsid w:val="0074454B"/>
    <w:rsid w:val="0076113A"/>
    <w:rsid w:val="007623D7"/>
    <w:rsid w:val="00770DD9"/>
    <w:rsid w:val="00774B4C"/>
    <w:rsid w:val="0077560D"/>
    <w:rsid w:val="00783454"/>
    <w:rsid w:val="00792822"/>
    <w:rsid w:val="007935B6"/>
    <w:rsid w:val="00794F8E"/>
    <w:rsid w:val="007966A3"/>
    <w:rsid w:val="007A1E2C"/>
    <w:rsid w:val="007A29DB"/>
    <w:rsid w:val="007B381A"/>
    <w:rsid w:val="007B47EF"/>
    <w:rsid w:val="007C3F00"/>
    <w:rsid w:val="007C67CA"/>
    <w:rsid w:val="007D41E5"/>
    <w:rsid w:val="007E0334"/>
    <w:rsid w:val="007E17AB"/>
    <w:rsid w:val="007E60B7"/>
    <w:rsid w:val="007F220F"/>
    <w:rsid w:val="008015ED"/>
    <w:rsid w:val="0080319E"/>
    <w:rsid w:val="00804115"/>
    <w:rsid w:val="0080536E"/>
    <w:rsid w:val="008142C7"/>
    <w:rsid w:val="00825EBF"/>
    <w:rsid w:val="0082712F"/>
    <w:rsid w:val="00834088"/>
    <w:rsid w:val="00837020"/>
    <w:rsid w:val="00843C1C"/>
    <w:rsid w:val="00852318"/>
    <w:rsid w:val="00854106"/>
    <w:rsid w:val="008557E4"/>
    <w:rsid w:val="00861326"/>
    <w:rsid w:val="00866D50"/>
    <w:rsid w:val="00867137"/>
    <w:rsid w:val="00871777"/>
    <w:rsid w:val="0087312F"/>
    <w:rsid w:val="00876FEF"/>
    <w:rsid w:val="008773E5"/>
    <w:rsid w:val="00892B80"/>
    <w:rsid w:val="008A0665"/>
    <w:rsid w:val="008A2AB3"/>
    <w:rsid w:val="008A6BDC"/>
    <w:rsid w:val="008A7636"/>
    <w:rsid w:val="008B1BA2"/>
    <w:rsid w:val="008B7664"/>
    <w:rsid w:val="008B7E56"/>
    <w:rsid w:val="008C182C"/>
    <w:rsid w:val="008C3DEE"/>
    <w:rsid w:val="008D20CB"/>
    <w:rsid w:val="008D5099"/>
    <w:rsid w:val="008D5EF9"/>
    <w:rsid w:val="008F1E81"/>
    <w:rsid w:val="008F202F"/>
    <w:rsid w:val="008F3F34"/>
    <w:rsid w:val="00901597"/>
    <w:rsid w:val="009045AB"/>
    <w:rsid w:val="00905566"/>
    <w:rsid w:val="009067DC"/>
    <w:rsid w:val="009114B8"/>
    <w:rsid w:val="009125C0"/>
    <w:rsid w:val="00923DF7"/>
    <w:rsid w:val="009427AA"/>
    <w:rsid w:val="00951AD8"/>
    <w:rsid w:val="00951EB3"/>
    <w:rsid w:val="0097075D"/>
    <w:rsid w:val="00985678"/>
    <w:rsid w:val="00990617"/>
    <w:rsid w:val="00990DBB"/>
    <w:rsid w:val="00994A4F"/>
    <w:rsid w:val="00994C1F"/>
    <w:rsid w:val="009A412F"/>
    <w:rsid w:val="009A650D"/>
    <w:rsid w:val="009A74DE"/>
    <w:rsid w:val="009C3510"/>
    <w:rsid w:val="009C47DF"/>
    <w:rsid w:val="009D1809"/>
    <w:rsid w:val="009E078F"/>
    <w:rsid w:val="009E2969"/>
    <w:rsid w:val="009E2D71"/>
    <w:rsid w:val="009E4C07"/>
    <w:rsid w:val="009F0367"/>
    <w:rsid w:val="009F140E"/>
    <w:rsid w:val="00A0033E"/>
    <w:rsid w:val="00A0041E"/>
    <w:rsid w:val="00A01A7C"/>
    <w:rsid w:val="00A1160B"/>
    <w:rsid w:val="00A122AB"/>
    <w:rsid w:val="00A2526F"/>
    <w:rsid w:val="00A26C2C"/>
    <w:rsid w:val="00A27E49"/>
    <w:rsid w:val="00A32892"/>
    <w:rsid w:val="00A4261E"/>
    <w:rsid w:val="00A645E5"/>
    <w:rsid w:val="00A648C8"/>
    <w:rsid w:val="00A65AB3"/>
    <w:rsid w:val="00A66860"/>
    <w:rsid w:val="00A72F55"/>
    <w:rsid w:val="00A74736"/>
    <w:rsid w:val="00A74C3E"/>
    <w:rsid w:val="00A74C64"/>
    <w:rsid w:val="00A879DC"/>
    <w:rsid w:val="00A87B87"/>
    <w:rsid w:val="00A94BCC"/>
    <w:rsid w:val="00AA2167"/>
    <w:rsid w:val="00AA3CE9"/>
    <w:rsid w:val="00AA7CB2"/>
    <w:rsid w:val="00AB3BEE"/>
    <w:rsid w:val="00AB7AE2"/>
    <w:rsid w:val="00AC0B97"/>
    <w:rsid w:val="00AC4678"/>
    <w:rsid w:val="00AD639E"/>
    <w:rsid w:val="00AF49AB"/>
    <w:rsid w:val="00AF63BF"/>
    <w:rsid w:val="00B00DE4"/>
    <w:rsid w:val="00B1156A"/>
    <w:rsid w:val="00B115A2"/>
    <w:rsid w:val="00B12041"/>
    <w:rsid w:val="00B244EC"/>
    <w:rsid w:val="00B25458"/>
    <w:rsid w:val="00B26CA9"/>
    <w:rsid w:val="00B478DE"/>
    <w:rsid w:val="00B51968"/>
    <w:rsid w:val="00B51E7D"/>
    <w:rsid w:val="00B62B0C"/>
    <w:rsid w:val="00B66CF4"/>
    <w:rsid w:val="00B86445"/>
    <w:rsid w:val="00B86AEC"/>
    <w:rsid w:val="00B90A04"/>
    <w:rsid w:val="00B924B6"/>
    <w:rsid w:val="00BA0F24"/>
    <w:rsid w:val="00BA1C1B"/>
    <w:rsid w:val="00BA7881"/>
    <w:rsid w:val="00BC31CE"/>
    <w:rsid w:val="00BC52E2"/>
    <w:rsid w:val="00BD586E"/>
    <w:rsid w:val="00BE74BB"/>
    <w:rsid w:val="00BE76F0"/>
    <w:rsid w:val="00BF237F"/>
    <w:rsid w:val="00BF7140"/>
    <w:rsid w:val="00BF7940"/>
    <w:rsid w:val="00C0103F"/>
    <w:rsid w:val="00C118DE"/>
    <w:rsid w:val="00C27B9F"/>
    <w:rsid w:val="00C31E8E"/>
    <w:rsid w:val="00C322D8"/>
    <w:rsid w:val="00C33FDA"/>
    <w:rsid w:val="00C4688F"/>
    <w:rsid w:val="00C47057"/>
    <w:rsid w:val="00C5495A"/>
    <w:rsid w:val="00C56A2A"/>
    <w:rsid w:val="00C65F8C"/>
    <w:rsid w:val="00C721EA"/>
    <w:rsid w:val="00C73622"/>
    <w:rsid w:val="00C77664"/>
    <w:rsid w:val="00C827DA"/>
    <w:rsid w:val="00C82C04"/>
    <w:rsid w:val="00C83D74"/>
    <w:rsid w:val="00C94BF5"/>
    <w:rsid w:val="00CA62BF"/>
    <w:rsid w:val="00CB4316"/>
    <w:rsid w:val="00CC0D65"/>
    <w:rsid w:val="00CC19F8"/>
    <w:rsid w:val="00CC44C7"/>
    <w:rsid w:val="00CC76D5"/>
    <w:rsid w:val="00CC7983"/>
    <w:rsid w:val="00CD12E6"/>
    <w:rsid w:val="00CD346C"/>
    <w:rsid w:val="00CD3921"/>
    <w:rsid w:val="00CE1ED6"/>
    <w:rsid w:val="00CF2F22"/>
    <w:rsid w:val="00CF7A50"/>
    <w:rsid w:val="00D0112D"/>
    <w:rsid w:val="00D02834"/>
    <w:rsid w:val="00D0672A"/>
    <w:rsid w:val="00D06B94"/>
    <w:rsid w:val="00D167D0"/>
    <w:rsid w:val="00D20DD3"/>
    <w:rsid w:val="00D235BB"/>
    <w:rsid w:val="00D3516F"/>
    <w:rsid w:val="00D37335"/>
    <w:rsid w:val="00D446A8"/>
    <w:rsid w:val="00D50C76"/>
    <w:rsid w:val="00D544D1"/>
    <w:rsid w:val="00D55F96"/>
    <w:rsid w:val="00D57125"/>
    <w:rsid w:val="00D57408"/>
    <w:rsid w:val="00D624A3"/>
    <w:rsid w:val="00D62612"/>
    <w:rsid w:val="00D62F55"/>
    <w:rsid w:val="00D76CD4"/>
    <w:rsid w:val="00D77587"/>
    <w:rsid w:val="00D775D1"/>
    <w:rsid w:val="00D80621"/>
    <w:rsid w:val="00D807FA"/>
    <w:rsid w:val="00D82E42"/>
    <w:rsid w:val="00DA3699"/>
    <w:rsid w:val="00DA3B85"/>
    <w:rsid w:val="00DB4BB7"/>
    <w:rsid w:val="00DC6237"/>
    <w:rsid w:val="00DD3E75"/>
    <w:rsid w:val="00DE06C0"/>
    <w:rsid w:val="00DF2153"/>
    <w:rsid w:val="00DF7D36"/>
    <w:rsid w:val="00E000B9"/>
    <w:rsid w:val="00E01EA0"/>
    <w:rsid w:val="00E14509"/>
    <w:rsid w:val="00E200CC"/>
    <w:rsid w:val="00E20D61"/>
    <w:rsid w:val="00E2229D"/>
    <w:rsid w:val="00E3588F"/>
    <w:rsid w:val="00E37723"/>
    <w:rsid w:val="00E41A78"/>
    <w:rsid w:val="00E4728C"/>
    <w:rsid w:val="00E51BFA"/>
    <w:rsid w:val="00E56ACF"/>
    <w:rsid w:val="00E75161"/>
    <w:rsid w:val="00E77B8C"/>
    <w:rsid w:val="00E97A4A"/>
    <w:rsid w:val="00ED1B2C"/>
    <w:rsid w:val="00ED30D0"/>
    <w:rsid w:val="00ED327E"/>
    <w:rsid w:val="00ED498D"/>
    <w:rsid w:val="00EE3B11"/>
    <w:rsid w:val="00EF336C"/>
    <w:rsid w:val="00F01AEB"/>
    <w:rsid w:val="00F151D8"/>
    <w:rsid w:val="00F1542C"/>
    <w:rsid w:val="00F23F93"/>
    <w:rsid w:val="00F267AC"/>
    <w:rsid w:val="00F26CA8"/>
    <w:rsid w:val="00F3130F"/>
    <w:rsid w:val="00F33200"/>
    <w:rsid w:val="00F33452"/>
    <w:rsid w:val="00F40AD4"/>
    <w:rsid w:val="00F46856"/>
    <w:rsid w:val="00F47020"/>
    <w:rsid w:val="00F54AA6"/>
    <w:rsid w:val="00F56549"/>
    <w:rsid w:val="00F70602"/>
    <w:rsid w:val="00F8107D"/>
    <w:rsid w:val="00F81F21"/>
    <w:rsid w:val="00F92297"/>
    <w:rsid w:val="00F93899"/>
    <w:rsid w:val="00F94D44"/>
    <w:rsid w:val="00FA0421"/>
    <w:rsid w:val="00FA05FE"/>
    <w:rsid w:val="00FA5CD7"/>
    <w:rsid w:val="00FA69DC"/>
    <w:rsid w:val="00FB0DE5"/>
    <w:rsid w:val="00FC2697"/>
    <w:rsid w:val="00FD1C48"/>
    <w:rsid w:val="00FD2E1F"/>
    <w:rsid w:val="00FD467B"/>
    <w:rsid w:val="00FE0C2F"/>
    <w:rsid w:val="00FE1267"/>
    <w:rsid w:val="00FE21E0"/>
    <w:rsid w:val="00FE2603"/>
    <w:rsid w:val="00FF0F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942">
      <w:bodyDiv w:val="1"/>
      <w:marLeft w:val="0"/>
      <w:marRight w:val="0"/>
      <w:marTop w:val="0"/>
      <w:marBottom w:val="0"/>
      <w:divBdr>
        <w:top w:val="none" w:sz="0" w:space="0" w:color="auto"/>
        <w:left w:val="none" w:sz="0" w:space="0" w:color="auto"/>
        <w:bottom w:val="none" w:sz="0" w:space="0" w:color="auto"/>
        <w:right w:val="none" w:sz="0" w:space="0" w:color="auto"/>
      </w:divBdr>
    </w:div>
    <w:div w:id="188183857">
      <w:bodyDiv w:val="1"/>
      <w:marLeft w:val="0"/>
      <w:marRight w:val="0"/>
      <w:marTop w:val="0"/>
      <w:marBottom w:val="0"/>
      <w:divBdr>
        <w:top w:val="none" w:sz="0" w:space="0" w:color="auto"/>
        <w:left w:val="none" w:sz="0" w:space="0" w:color="auto"/>
        <w:bottom w:val="none" w:sz="0" w:space="0" w:color="auto"/>
        <w:right w:val="none" w:sz="0" w:space="0" w:color="auto"/>
      </w:divBdr>
    </w:div>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326">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413429802">
      <w:bodyDiv w:val="1"/>
      <w:marLeft w:val="0"/>
      <w:marRight w:val="0"/>
      <w:marTop w:val="0"/>
      <w:marBottom w:val="0"/>
      <w:divBdr>
        <w:top w:val="none" w:sz="0" w:space="0" w:color="auto"/>
        <w:left w:val="none" w:sz="0" w:space="0" w:color="auto"/>
        <w:bottom w:val="none" w:sz="0" w:space="0" w:color="auto"/>
        <w:right w:val="none" w:sz="0" w:space="0" w:color="auto"/>
      </w:divBdr>
    </w:div>
    <w:div w:id="472018850">
      <w:bodyDiv w:val="1"/>
      <w:marLeft w:val="0"/>
      <w:marRight w:val="0"/>
      <w:marTop w:val="0"/>
      <w:marBottom w:val="0"/>
      <w:divBdr>
        <w:top w:val="none" w:sz="0" w:space="0" w:color="auto"/>
        <w:left w:val="none" w:sz="0" w:space="0" w:color="auto"/>
        <w:bottom w:val="none" w:sz="0" w:space="0" w:color="auto"/>
        <w:right w:val="none" w:sz="0" w:space="0" w:color="auto"/>
      </w:divBdr>
    </w:div>
    <w:div w:id="786855956">
      <w:bodyDiv w:val="1"/>
      <w:marLeft w:val="0"/>
      <w:marRight w:val="0"/>
      <w:marTop w:val="0"/>
      <w:marBottom w:val="0"/>
      <w:divBdr>
        <w:top w:val="none" w:sz="0" w:space="0" w:color="auto"/>
        <w:left w:val="none" w:sz="0" w:space="0" w:color="auto"/>
        <w:bottom w:val="none" w:sz="0" w:space="0" w:color="auto"/>
        <w:right w:val="none" w:sz="0" w:space="0" w:color="auto"/>
      </w:divBdr>
    </w:div>
    <w:div w:id="966474225">
      <w:bodyDiv w:val="1"/>
      <w:marLeft w:val="0"/>
      <w:marRight w:val="0"/>
      <w:marTop w:val="0"/>
      <w:marBottom w:val="0"/>
      <w:divBdr>
        <w:top w:val="none" w:sz="0" w:space="0" w:color="auto"/>
        <w:left w:val="none" w:sz="0" w:space="0" w:color="auto"/>
        <w:bottom w:val="none" w:sz="0" w:space="0" w:color="auto"/>
        <w:right w:val="none" w:sz="0" w:space="0" w:color="auto"/>
      </w:divBdr>
    </w:div>
    <w:div w:id="1108353888">
      <w:bodyDiv w:val="1"/>
      <w:marLeft w:val="0"/>
      <w:marRight w:val="0"/>
      <w:marTop w:val="0"/>
      <w:marBottom w:val="0"/>
      <w:divBdr>
        <w:top w:val="none" w:sz="0" w:space="0" w:color="auto"/>
        <w:left w:val="none" w:sz="0" w:space="0" w:color="auto"/>
        <w:bottom w:val="none" w:sz="0" w:space="0" w:color="auto"/>
        <w:right w:val="none" w:sz="0" w:space="0" w:color="auto"/>
      </w:divBdr>
    </w:div>
    <w:div w:id="1127310373">
      <w:bodyDiv w:val="1"/>
      <w:marLeft w:val="0"/>
      <w:marRight w:val="0"/>
      <w:marTop w:val="0"/>
      <w:marBottom w:val="0"/>
      <w:divBdr>
        <w:top w:val="none" w:sz="0" w:space="0" w:color="auto"/>
        <w:left w:val="none" w:sz="0" w:space="0" w:color="auto"/>
        <w:bottom w:val="none" w:sz="0" w:space="0" w:color="auto"/>
        <w:right w:val="none" w:sz="0" w:space="0" w:color="auto"/>
      </w:divBdr>
    </w:div>
    <w:div w:id="1241140429">
      <w:bodyDiv w:val="1"/>
      <w:marLeft w:val="0"/>
      <w:marRight w:val="0"/>
      <w:marTop w:val="0"/>
      <w:marBottom w:val="0"/>
      <w:divBdr>
        <w:top w:val="none" w:sz="0" w:space="0" w:color="auto"/>
        <w:left w:val="none" w:sz="0" w:space="0" w:color="auto"/>
        <w:bottom w:val="none" w:sz="0" w:space="0" w:color="auto"/>
        <w:right w:val="none" w:sz="0" w:space="0" w:color="auto"/>
      </w:divBdr>
      <w:divsChild>
        <w:div w:id="1582984278">
          <w:marLeft w:val="274"/>
          <w:marRight w:val="0"/>
          <w:marTop w:val="60"/>
          <w:marBottom w:val="120"/>
          <w:divBdr>
            <w:top w:val="none" w:sz="0" w:space="0" w:color="auto"/>
            <w:left w:val="none" w:sz="0" w:space="0" w:color="auto"/>
            <w:bottom w:val="none" w:sz="0" w:space="0" w:color="auto"/>
            <w:right w:val="none" w:sz="0" w:space="0" w:color="auto"/>
          </w:divBdr>
        </w:div>
        <w:div w:id="1164512165">
          <w:marLeft w:val="274"/>
          <w:marRight w:val="0"/>
          <w:marTop w:val="60"/>
          <w:marBottom w:val="120"/>
          <w:divBdr>
            <w:top w:val="none" w:sz="0" w:space="0" w:color="auto"/>
            <w:left w:val="none" w:sz="0" w:space="0" w:color="auto"/>
            <w:bottom w:val="none" w:sz="0" w:space="0" w:color="auto"/>
            <w:right w:val="none" w:sz="0" w:space="0" w:color="auto"/>
          </w:divBdr>
        </w:div>
      </w:divsChild>
    </w:div>
    <w:div w:id="1346830608">
      <w:bodyDiv w:val="1"/>
      <w:marLeft w:val="0"/>
      <w:marRight w:val="0"/>
      <w:marTop w:val="0"/>
      <w:marBottom w:val="0"/>
      <w:divBdr>
        <w:top w:val="none" w:sz="0" w:space="0" w:color="auto"/>
        <w:left w:val="none" w:sz="0" w:space="0" w:color="auto"/>
        <w:bottom w:val="none" w:sz="0" w:space="0" w:color="auto"/>
        <w:right w:val="none" w:sz="0" w:space="0" w:color="auto"/>
      </w:divBdr>
    </w:div>
    <w:div w:id="1469084127">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520415">
      <w:bodyDiv w:val="1"/>
      <w:marLeft w:val="0"/>
      <w:marRight w:val="0"/>
      <w:marTop w:val="0"/>
      <w:marBottom w:val="0"/>
      <w:divBdr>
        <w:top w:val="none" w:sz="0" w:space="0" w:color="auto"/>
        <w:left w:val="none" w:sz="0" w:space="0" w:color="auto"/>
        <w:bottom w:val="none" w:sz="0" w:space="0" w:color="auto"/>
        <w:right w:val="none" w:sz="0" w:space="0" w:color="auto"/>
      </w:divBdr>
    </w:div>
    <w:div w:id="1763643441">
      <w:bodyDiv w:val="1"/>
      <w:marLeft w:val="0"/>
      <w:marRight w:val="0"/>
      <w:marTop w:val="0"/>
      <w:marBottom w:val="0"/>
      <w:divBdr>
        <w:top w:val="none" w:sz="0" w:space="0" w:color="auto"/>
        <w:left w:val="none" w:sz="0" w:space="0" w:color="auto"/>
        <w:bottom w:val="none" w:sz="0" w:space="0" w:color="auto"/>
        <w:right w:val="none" w:sz="0" w:space="0" w:color="auto"/>
      </w:divBdr>
    </w:div>
    <w:div w:id="2032411996">
      <w:bodyDiv w:val="1"/>
      <w:marLeft w:val="0"/>
      <w:marRight w:val="0"/>
      <w:marTop w:val="0"/>
      <w:marBottom w:val="0"/>
      <w:divBdr>
        <w:top w:val="none" w:sz="0" w:space="0" w:color="auto"/>
        <w:left w:val="none" w:sz="0" w:space="0" w:color="auto"/>
        <w:bottom w:val="none" w:sz="0" w:space="0" w:color="auto"/>
        <w:right w:val="none" w:sz="0" w:space="0" w:color="auto"/>
      </w:divBdr>
    </w:div>
    <w:div w:id="20545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B7098-DDDB-41DD-8FAC-7A817818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B6188-EC08-4402-90C4-612BEF1869EE}">
  <ds:schemaRefs>
    <ds:schemaRef ds:uri="http://schemas.microsoft.com/office/2006/metadata/properties"/>
    <ds:schemaRef ds:uri="http://schemas.microsoft.com/office/infopath/2007/PartnerControls"/>
    <ds:schemaRef ds:uri="81c01dc6-2c49-4730-b140-874c95cac377"/>
    <ds:schemaRef ds:uri="b98728ac-f998-415c-abee-6b046fb1441e"/>
  </ds:schemaRefs>
</ds:datastoreItem>
</file>

<file path=customXml/itemProps3.xml><?xml version="1.0" encoding="utf-8"?>
<ds:datastoreItem xmlns:ds="http://schemas.openxmlformats.org/officeDocument/2006/customXml" ds:itemID="{22001DFF-CBB2-4699-90B2-2657DCB9C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Internal_general_briefing_template</Template>
  <TotalTime>16</TotalTime>
  <Pages>5</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Murray–Darling Basin community perceptions research 2023 Project overview and research methodology</vt:lpstr>
    </vt:vector>
  </TitlesOfParts>
  <Manager/>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community perceptions research 2023 Project overview and research methodology</dc:title>
  <dc:subject>
  </dc:subject>
  <dc:creator>Rychevska, Ivanna</dc:creator>
  <cp:keywords>
  </cp:keywords>
  <dc:description>
  </dc:description>
  <cp:revision>24</cp:revision>
  <cp:lastPrinted>2021-12-15T06:45:00Z</cp:lastPrinted>
  <dcterms:created xsi:type="dcterms:W3CDTF">2024-05-23T23:38:00Z</dcterms:created>
  <dcterms:modified xsi:type="dcterms:W3CDTF">2024-06-03T01:19:00Z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