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2C73F" w14:textId="7C45F8B9" w:rsidR="00473F5B" w:rsidRPr="00237DE3" w:rsidRDefault="007A1E2C" w:rsidP="00473F5B">
      <w:pPr>
        <w:pStyle w:val="Title"/>
        <w:rPr>
          <w:sz w:val="60"/>
          <w:szCs w:val="60"/>
        </w:rPr>
      </w:pPr>
      <w:r w:rsidRPr="00237DE3">
        <w:rPr>
          <w:noProof/>
          <w:sz w:val="60"/>
          <w:szCs w:val="60"/>
        </w:rPr>
        <w:drawing>
          <wp:anchor distT="0" distB="0" distL="114300" distR="114300" simplePos="0" relativeHeight="251659264" behindDoc="1" locked="1" layoutInCell="1" allowOverlap="1" wp14:anchorId="75AAD8E9" wp14:editId="769EEFBC">
            <wp:simplePos x="0" y="0"/>
            <wp:positionH relativeFrom="column">
              <wp:posOffset>-754380</wp:posOffset>
            </wp:positionH>
            <wp:positionV relativeFrom="paragraph">
              <wp:posOffset>-2599055</wp:posOffset>
            </wp:positionV>
            <wp:extent cx="7597140" cy="10751185"/>
            <wp:effectExtent l="0" t="0" r="381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7140" cy="10751185"/>
                    </a:xfrm>
                    <a:prstGeom prst="rect">
                      <a:avLst/>
                    </a:prstGeom>
                  </pic:spPr>
                </pic:pic>
              </a:graphicData>
            </a:graphic>
            <wp14:sizeRelH relativeFrom="page">
              <wp14:pctWidth>0</wp14:pctWidth>
            </wp14:sizeRelH>
            <wp14:sizeRelV relativeFrom="page">
              <wp14:pctHeight>0</wp14:pctHeight>
            </wp14:sizeRelV>
          </wp:anchor>
        </w:drawing>
      </w:r>
      <w:r w:rsidRPr="00237DE3">
        <w:rPr>
          <w:noProof/>
          <w:sz w:val="60"/>
          <w:szCs w:val="60"/>
        </w:rPr>
        <w:drawing>
          <wp:anchor distT="0" distB="0" distL="114300" distR="114300" simplePos="0" relativeHeight="251660288" behindDoc="1" locked="1" layoutInCell="1" allowOverlap="1" wp14:anchorId="4434F8DB" wp14:editId="549862F5">
            <wp:simplePos x="0" y="0"/>
            <wp:positionH relativeFrom="page">
              <wp:posOffset>594360</wp:posOffset>
            </wp:positionH>
            <wp:positionV relativeFrom="paragraph">
              <wp:posOffset>-1986280</wp:posOffset>
            </wp:positionV>
            <wp:extent cx="3600450" cy="1040130"/>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04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A75" w:rsidRPr="00237DE3">
        <w:rPr>
          <w:sz w:val="60"/>
          <w:szCs w:val="60"/>
        </w:rPr>
        <w:t>Management of Groundwater –</w:t>
      </w:r>
      <w:r w:rsidR="00735FFB" w:rsidRPr="00237DE3">
        <w:rPr>
          <w:sz w:val="60"/>
          <w:szCs w:val="60"/>
        </w:rPr>
        <w:t xml:space="preserve"> </w:t>
      </w:r>
      <w:r w:rsidR="00AF7A75" w:rsidRPr="00237DE3">
        <w:rPr>
          <w:sz w:val="60"/>
          <w:szCs w:val="60"/>
        </w:rPr>
        <w:t>Goulburn - Murray (Groundwater) Water Resource Plan Area</w:t>
      </w:r>
    </w:p>
    <w:p w14:paraId="6568BD23" w14:textId="660B6095" w:rsidR="00473F5B" w:rsidRPr="00852318" w:rsidRDefault="00AF7A75" w:rsidP="00852318">
      <w:pPr>
        <w:pStyle w:val="Subtitle"/>
      </w:pPr>
      <w:r>
        <w:t>April 2024</w:t>
      </w:r>
    </w:p>
    <w:p w14:paraId="723B916E" w14:textId="6340122C" w:rsidR="00473F5B" w:rsidRPr="00852318" w:rsidRDefault="00AF7A75" w:rsidP="00852318">
      <w:pPr>
        <w:pStyle w:val="Author"/>
      </w:pPr>
      <w:r>
        <w:t>Inspector-General of Water Compliance</w:t>
      </w:r>
    </w:p>
    <w:p w14:paraId="07FC3C62" w14:textId="1A99C961" w:rsidR="00473F5B" w:rsidRDefault="00473F5B">
      <w:pPr>
        <w:spacing w:after="0"/>
        <w:rPr>
          <w:b/>
          <w:color w:val="FFFFFF"/>
          <w:sz w:val="60"/>
          <w:szCs w:val="24"/>
        </w:rPr>
      </w:pPr>
      <w:r>
        <w:br w:type="page"/>
      </w:r>
    </w:p>
    <w:p w14:paraId="4044C11E" w14:textId="6086FD8B" w:rsidR="00C118DE" w:rsidRPr="00452256" w:rsidRDefault="00C118DE" w:rsidP="00C118DE">
      <w:pPr>
        <w:rPr>
          <w:szCs w:val="20"/>
        </w:rPr>
      </w:pPr>
      <w:r w:rsidRPr="00452256">
        <w:rPr>
          <w:szCs w:val="20"/>
        </w:rPr>
        <w:lastRenderedPageBreak/>
        <w:t>© Commonwealth of Australia 202</w:t>
      </w:r>
      <w:r w:rsidR="00F54AA6">
        <w:rPr>
          <w:szCs w:val="20"/>
        </w:rPr>
        <w:t>3</w:t>
      </w:r>
    </w:p>
    <w:p w14:paraId="28B179DA" w14:textId="77777777" w:rsidR="00C118DE" w:rsidRPr="00452256" w:rsidRDefault="00C118DE" w:rsidP="00C118DE">
      <w:pPr>
        <w:rPr>
          <w:rStyle w:val="Strong"/>
          <w:szCs w:val="20"/>
        </w:rPr>
      </w:pPr>
      <w:r w:rsidRPr="00452256">
        <w:rPr>
          <w:rStyle w:val="Strong"/>
          <w:szCs w:val="20"/>
        </w:rPr>
        <w:t>Ownership of intellectual property rights</w:t>
      </w:r>
    </w:p>
    <w:p w14:paraId="3B9C6235" w14:textId="77777777" w:rsidR="00C118DE" w:rsidRPr="00452256" w:rsidRDefault="00C118DE" w:rsidP="00C118DE">
      <w:pPr>
        <w:rPr>
          <w:szCs w:val="20"/>
        </w:rPr>
      </w:pPr>
      <w:r w:rsidRPr="00452256">
        <w:rPr>
          <w:szCs w:val="20"/>
        </w:rPr>
        <w:t>Unless otherwise noted, copyright (and any other intellectual property rights) in this publication is owned by the Commonwealth of Australia (referred to as the Commonwealth).</w:t>
      </w:r>
    </w:p>
    <w:p w14:paraId="79706610" w14:textId="77777777" w:rsidR="00C118DE" w:rsidRPr="00452256" w:rsidRDefault="00C118DE" w:rsidP="00C118DE">
      <w:pPr>
        <w:rPr>
          <w:rStyle w:val="Strong"/>
          <w:szCs w:val="20"/>
        </w:rPr>
      </w:pPr>
      <w:r w:rsidRPr="00452256">
        <w:rPr>
          <w:rStyle w:val="Strong"/>
          <w:szCs w:val="20"/>
        </w:rPr>
        <w:t xml:space="preserve">Creative Commons licence </w:t>
      </w:r>
    </w:p>
    <w:p w14:paraId="680879B5" w14:textId="77777777" w:rsidR="00C118DE" w:rsidRPr="00452256" w:rsidRDefault="00C118DE" w:rsidP="00C118DE">
      <w:pPr>
        <w:rPr>
          <w:szCs w:val="20"/>
        </w:rPr>
      </w:pPr>
      <w:r w:rsidRPr="00452256">
        <w:rPr>
          <w:szCs w:val="20"/>
        </w:rPr>
        <w:t xml:space="preserve">All material in this publication is licensed under a Creative Commons Attribution 4.0 International Licence, except for content supplied by third parties, </w:t>
      </w:r>
      <w:proofErr w:type="gramStart"/>
      <w:r w:rsidRPr="00452256">
        <w:rPr>
          <w:szCs w:val="20"/>
        </w:rPr>
        <w:t>logos</w:t>
      </w:r>
      <w:proofErr w:type="gramEnd"/>
      <w:r w:rsidRPr="00452256">
        <w:rPr>
          <w:szCs w:val="20"/>
        </w:rPr>
        <w:t xml:space="preserve"> and the Commonwealth Coat of Arms. </w:t>
      </w:r>
    </w:p>
    <w:p w14:paraId="2832055F" w14:textId="77777777" w:rsidR="00C118DE" w:rsidRPr="00452256" w:rsidRDefault="00C118DE" w:rsidP="00C118DE">
      <w:pPr>
        <w:rPr>
          <w:szCs w:val="20"/>
        </w:rPr>
      </w:pPr>
      <w:r w:rsidRPr="00452256">
        <w:rPr>
          <w:szCs w:val="20"/>
        </w:rPr>
        <w:t xml:space="preserve">Inquiries about the licence and any use of this document should be emailed to </w:t>
      </w:r>
      <w:hyperlink r:id="rId12" w:history="1">
        <w:r w:rsidRPr="00452256">
          <w:rPr>
            <w:rStyle w:val="Hyperlink"/>
            <w:szCs w:val="20"/>
          </w:rPr>
          <w:t>copyright@dcceew.gov.au</w:t>
        </w:r>
      </w:hyperlink>
      <w:r w:rsidRPr="00452256">
        <w:rPr>
          <w:szCs w:val="20"/>
        </w:rPr>
        <w:t>.</w:t>
      </w:r>
    </w:p>
    <w:p w14:paraId="2204E794" w14:textId="77777777" w:rsidR="00C118DE" w:rsidRPr="00452256" w:rsidRDefault="00C118DE" w:rsidP="00C118DE">
      <w:pPr>
        <w:rPr>
          <w:szCs w:val="20"/>
        </w:rPr>
      </w:pPr>
      <w:r w:rsidRPr="00452256">
        <w:rPr>
          <w:noProof/>
          <w:szCs w:val="20"/>
          <w:lang w:eastAsia="en-AU"/>
        </w:rPr>
        <w:drawing>
          <wp:inline distT="0" distB="0" distL="0" distR="0" wp14:anchorId="05DB0953" wp14:editId="3F0175E4">
            <wp:extent cx="724535" cy="255270"/>
            <wp:effectExtent l="0" t="0" r="0" b="0"/>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134D8FB" w14:textId="77777777" w:rsidR="00C118DE" w:rsidRPr="00452256" w:rsidRDefault="00C118DE" w:rsidP="00C118DE">
      <w:pPr>
        <w:rPr>
          <w:rStyle w:val="Strong"/>
          <w:szCs w:val="20"/>
        </w:rPr>
      </w:pPr>
      <w:r w:rsidRPr="00452256">
        <w:rPr>
          <w:rStyle w:val="Strong"/>
          <w:szCs w:val="20"/>
        </w:rPr>
        <w:t>Cataloguing data</w:t>
      </w:r>
    </w:p>
    <w:p w14:paraId="5374E236" w14:textId="44C4FA0C" w:rsidR="00C118DE" w:rsidRPr="00452256" w:rsidRDefault="00C118DE" w:rsidP="00C118DE">
      <w:pPr>
        <w:rPr>
          <w:szCs w:val="20"/>
        </w:rPr>
      </w:pPr>
      <w:r w:rsidRPr="00452256">
        <w:rPr>
          <w:szCs w:val="20"/>
        </w:rPr>
        <w:t>This publication (and any material sourced from it) should be attributed as: Inspector-General of Water Compliance 202</w:t>
      </w:r>
      <w:r w:rsidR="00F54AA6">
        <w:rPr>
          <w:szCs w:val="20"/>
        </w:rPr>
        <w:t>3</w:t>
      </w:r>
      <w:r w:rsidR="00151F81">
        <w:rPr>
          <w:szCs w:val="20"/>
        </w:rPr>
        <w:t>,</w:t>
      </w:r>
      <w:r w:rsidR="000D491E" w:rsidRPr="000D491E">
        <w:rPr>
          <w:i/>
          <w:iCs/>
        </w:rPr>
        <w:t xml:space="preserve"> </w:t>
      </w:r>
      <w:r w:rsidR="000D491E" w:rsidRPr="000403AF">
        <w:rPr>
          <w:i/>
          <w:iCs/>
        </w:rPr>
        <w:t>Management of Groundwater – Goulburn-Murray (Groundwater) Water Resource Plan Area</w:t>
      </w:r>
      <w:r w:rsidRPr="00452256">
        <w:rPr>
          <w:szCs w:val="20"/>
        </w:rPr>
        <w:t xml:space="preserve">, the Australian Government, Canberra, </w:t>
      </w:r>
      <w:r w:rsidR="000D491E">
        <w:rPr>
          <w:szCs w:val="20"/>
        </w:rPr>
        <w:t>April</w:t>
      </w:r>
      <w:r w:rsidRPr="00452256">
        <w:rPr>
          <w:szCs w:val="20"/>
        </w:rPr>
        <w:t xml:space="preserve"> 202</w:t>
      </w:r>
      <w:r w:rsidR="000D491E">
        <w:rPr>
          <w:szCs w:val="20"/>
        </w:rPr>
        <w:t>4</w:t>
      </w:r>
      <w:r w:rsidRPr="00452256">
        <w:rPr>
          <w:szCs w:val="20"/>
        </w:rPr>
        <w:t>. CC BY 4.0.</w:t>
      </w:r>
    </w:p>
    <w:p w14:paraId="461700F7" w14:textId="59CF5043" w:rsidR="00C118DE" w:rsidRPr="00452256" w:rsidRDefault="00C118DE" w:rsidP="00C118DE">
      <w:pPr>
        <w:rPr>
          <w:rStyle w:val="Hyperlink"/>
          <w:szCs w:val="20"/>
        </w:rPr>
      </w:pPr>
      <w:r w:rsidRPr="00452256">
        <w:rPr>
          <w:szCs w:val="20"/>
        </w:rPr>
        <w:t xml:space="preserve">This publication is available at </w:t>
      </w:r>
      <w:hyperlink r:id="rId14" w:history="1">
        <w:r w:rsidR="00ED12F6" w:rsidRPr="00A41290">
          <w:rPr>
            <w:rStyle w:val="Hyperlink"/>
            <w:szCs w:val="20"/>
          </w:rPr>
          <w:t>https://www.igwc.gov.au/audits</w:t>
        </w:r>
      </w:hyperlink>
      <w:r w:rsidR="00ED12F6">
        <w:rPr>
          <w:szCs w:val="20"/>
        </w:rPr>
        <w:t xml:space="preserve"> </w:t>
      </w:r>
    </w:p>
    <w:p w14:paraId="7B8CEB47" w14:textId="77777777" w:rsidR="00C118DE" w:rsidRPr="00452256" w:rsidRDefault="00C118DE" w:rsidP="00C118DE">
      <w:pPr>
        <w:rPr>
          <w:szCs w:val="20"/>
        </w:rPr>
      </w:pPr>
      <w:r w:rsidRPr="00452256">
        <w:rPr>
          <w:szCs w:val="20"/>
        </w:rPr>
        <w:t>Inspector-General of Water Compliance</w:t>
      </w:r>
      <w:r w:rsidRPr="00452256">
        <w:rPr>
          <w:szCs w:val="20"/>
        </w:rPr>
        <w:br/>
        <w:t>GPO Box 3090 Canberra ACT 2601</w:t>
      </w:r>
    </w:p>
    <w:p w14:paraId="682B040B" w14:textId="77777777" w:rsidR="00C118DE" w:rsidRPr="00452256" w:rsidRDefault="00C118DE" w:rsidP="00C118DE">
      <w:pPr>
        <w:rPr>
          <w:rStyle w:val="Strong"/>
          <w:szCs w:val="20"/>
        </w:rPr>
      </w:pPr>
      <w:r w:rsidRPr="00452256">
        <w:rPr>
          <w:rStyle w:val="Strong"/>
          <w:szCs w:val="20"/>
        </w:rPr>
        <w:t>Disclaimer</w:t>
      </w:r>
    </w:p>
    <w:p w14:paraId="55470092" w14:textId="77777777" w:rsidR="00C118DE" w:rsidRPr="00452256" w:rsidRDefault="00C118DE" w:rsidP="00C118DE">
      <w:pPr>
        <w:rPr>
          <w:szCs w:val="20"/>
        </w:rPr>
      </w:pPr>
      <w:r w:rsidRPr="00452256">
        <w:rPr>
          <w:szCs w:val="20"/>
        </w:rPr>
        <w:t xml:space="preserve">The Australian Government represented by the Inspector-General of Water Compliance, has exercised due care and skill in preparing and compiling the information and data in this publication. Notwithstanding, the Inspector-General of Water Compliance, the Australian Government’s employees disclaim all liability, including liability for negligence and for any loss, damage, injury, </w:t>
      </w:r>
      <w:proofErr w:type="gramStart"/>
      <w:r w:rsidRPr="00452256">
        <w:rPr>
          <w:szCs w:val="20"/>
        </w:rPr>
        <w:t>expense</w:t>
      </w:r>
      <w:proofErr w:type="gramEnd"/>
      <w:r w:rsidRPr="00452256">
        <w:rPr>
          <w:szCs w:val="20"/>
        </w:rPr>
        <w:t xml:space="preserve"> or cost incurred by any person as a result of accessing, using or relying on any of the information or data in this publication to the maximum extent permitted by law.</w:t>
      </w:r>
    </w:p>
    <w:p w14:paraId="0DBAD482" w14:textId="77777777" w:rsidR="00F54AA6" w:rsidRPr="00452256" w:rsidRDefault="00F54AA6" w:rsidP="00F54AA6">
      <w:pPr>
        <w:rPr>
          <w:rStyle w:val="Strong"/>
          <w:szCs w:val="20"/>
        </w:rPr>
      </w:pPr>
      <w:r w:rsidRPr="00452256">
        <w:rPr>
          <w:rStyle w:val="Strong"/>
          <w:szCs w:val="20"/>
        </w:rPr>
        <w:t xml:space="preserve">Acknowledgement of </w:t>
      </w:r>
      <w:r>
        <w:rPr>
          <w:rStyle w:val="Strong"/>
          <w:szCs w:val="20"/>
        </w:rPr>
        <w:t>all Traditional Owners</w:t>
      </w:r>
    </w:p>
    <w:p w14:paraId="53774030" w14:textId="77777777" w:rsidR="00F54AA6" w:rsidRDefault="00F54AA6" w:rsidP="00F54AA6">
      <w:pPr>
        <w:rPr>
          <w:szCs w:val="20"/>
        </w:rPr>
      </w:pPr>
      <w:r>
        <w:rPr>
          <w:szCs w:val="20"/>
        </w:rPr>
        <w:t xml:space="preserve">We pay our respect to the Traditional Owners and their Nations of the Murray-Darling Basin. We acknowledge their deep cultural, social, environmental, </w:t>
      </w:r>
      <w:proofErr w:type="gramStart"/>
      <w:r>
        <w:rPr>
          <w:szCs w:val="20"/>
        </w:rPr>
        <w:t>spiritual</w:t>
      </w:r>
      <w:proofErr w:type="gramEnd"/>
      <w:r>
        <w:rPr>
          <w:szCs w:val="20"/>
        </w:rPr>
        <w:t xml:space="preserve"> and economic connection to their lands and waters. </w:t>
      </w:r>
    </w:p>
    <w:p w14:paraId="20E65DC9" w14:textId="77777777" w:rsidR="00F54AA6" w:rsidRPr="00452256" w:rsidRDefault="00F54AA6" w:rsidP="00F54AA6">
      <w:pPr>
        <w:rPr>
          <w:szCs w:val="20"/>
        </w:rPr>
      </w:pPr>
      <w:r>
        <w:rPr>
          <w:szCs w:val="20"/>
        </w:rPr>
        <w:t xml:space="preserve">Aboriginal people should be aware that this publication may contain images, names, or quotations of deceased persons. </w:t>
      </w:r>
    </w:p>
    <w:p w14:paraId="10795F39" w14:textId="77777777" w:rsidR="00C118DE" w:rsidRPr="00452256" w:rsidRDefault="00C118DE" w:rsidP="00C118DE">
      <w:pPr>
        <w:rPr>
          <w:rStyle w:val="Strong"/>
          <w:szCs w:val="20"/>
        </w:rPr>
      </w:pPr>
      <w:r w:rsidRPr="00452256">
        <w:rPr>
          <w:rStyle w:val="Strong"/>
          <w:szCs w:val="20"/>
        </w:rPr>
        <w:t>Accessibility</w:t>
      </w:r>
    </w:p>
    <w:p w14:paraId="1B46CAB4" w14:textId="7D677E67" w:rsidR="00C118DE" w:rsidRDefault="00C118DE" w:rsidP="00C118DE">
      <w:pPr>
        <w:rPr>
          <w:szCs w:val="20"/>
        </w:rPr>
      </w:pPr>
      <w:r w:rsidRPr="00452256">
        <w:rPr>
          <w:szCs w:val="20"/>
        </w:rPr>
        <w:t xml:space="preserve">The document and information </w:t>
      </w:r>
      <w:proofErr w:type="gramStart"/>
      <w:r w:rsidRPr="00452256">
        <w:rPr>
          <w:szCs w:val="20"/>
        </w:rPr>
        <w:t>is</w:t>
      </w:r>
      <w:proofErr w:type="gramEnd"/>
      <w:r w:rsidRPr="00452256">
        <w:rPr>
          <w:szCs w:val="20"/>
        </w:rPr>
        <w:t xml:space="preserve"> available in accessible formats. On some occasions the highly technical nature of the document means that we cannot make some sections fully accessible. If you encounter accessibility problems or the document is in a format that you cannot access, please contact us</w:t>
      </w:r>
      <w:r w:rsidR="00686F17">
        <w:rPr>
          <w:szCs w:val="20"/>
        </w:rPr>
        <w:t xml:space="preserve"> at </w:t>
      </w:r>
      <w:hyperlink r:id="rId15" w:history="1">
        <w:r w:rsidR="00686F17" w:rsidRPr="00574A02">
          <w:rPr>
            <w:rStyle w:val="Hyperlink"/>
            <w:szCs w:val="20"/>
          </w:rPr>
          <w:t>contact@igwc.gov.au</w:t>
        </w:r>
      </w:hyperlink>
      <w:r w:rsidR="00686F17">
        <w:rPr>
          <w:szCs w:val="20"/>
        </w:rPr>
        <w:t xml:space="preserve">. </w:t>
      </w:r>
    </w:p>
    <w:p w14:paraId="4F776981" w14:textId="6CAEDB6E" w:rsidR="00473F5B" w:rsidRPr="00473F5B" w:rsidRDefault="00473F5B" w:rsidP="00473F5B">
      <w:r>
        <w:br w:type="page"/>
      </w:r>
    </w:p>
    <w:p w14:paraId="75AAC00F" w14:textId="13D05347" w:rsidR="00473F5B" w:rsidRDefault="00473F5B" w:rsidP="00473F5B">
      <w:pPr>
        <w:pStyle w:val="Heading1"/>
      </w:pPr>
      <w:bookmarkStart w:id="0" w:name="_Toc105590117"/>
      <w:bookmarkStart w:id="1" w:name="_Toc105590325"/>
      <w:bookmarkStart w:id="2" w:name="_Toc164679852"/>
      <w:r>
        <w:lastRenderedPageBreak/>
        <w:t>Table of Contents</w:t>
      </w:r>
      <w:bookmarkEnd w:id="0"/>
      <w:bookmarkEnd w:id="1"/>
      <w:bookmarkEnd w:id="2"/>
    </w:p>
    <w:p w14:paraId="4E6F2468" w14:textId="2C3FE3FA" w:rsidR="00D15720" w:rsidRDefault="0066217F">
      <w:pPr>
        <w:pStyle w:val="TOC1"/>
        <w:rPr>
          <w:rFonts w:asciiTheme="minorHAnsi" w:eastAsiaTheme="minorEastAsia" w:hAnsiTheme="minorHAnsi" w:cstheme="minorBidi"/>
          <w:b w:val="0"/>
          <w:color w:val="auto"/>
          <w:kern w:val="2"/>
          <w:sz w:val="22"/>
          <w:lang w:eastAsia="en-AU"/>
          <w14:ligatures w14:val="standardContextual"/>
        </w:rPr>
      </w:pPr>
      <w:r>
        <w:fldChar w:fldCharType="begin"/>
      </w:r>
      <w:r>
        <w:instrText xml:space="preserve"> TOC \o "1-3" \h \z \u </w:instrText>
      </w:r>
      <w:r>
        <w:fldChar w:fldCharType="separate"/>
      </w:r>
      <w:hyperlink w:anchor="_Toc164679852" w:history="1">
        <w:r w:rsidR="00D15720" w:rsidRPr="00B54B00">
          <w:rPr>
            <w:rStyle w:val="Hyperlink"/>
          </w:rPr>
          <w:t>Table of Contents</w:t>
        </w:r>
        <w:r w:rsidR="00D15720">
          <w:rPr>
            <w:webHidden/>
          </w:rPr>
          <w:tab/>
        </w:r>
        <w:r w:rsidR="00D15720">
          <w:rPr>
            <w:webHidden/>
          </w:rPr>
          <w:fldChar w:fldCharType="begin"/>
        </w:r>
        <w:r w:rsidR="00D15720">
          <w:rPr>
            <w:webHidden/>
          </w:rPr>
          <w:instrText xml:space="preserve"> PAGEREF _Toc164679852 \h </w:instrText>
        </w:r>
        <w:r w:rsidR="00D15720">
          <w:rPr>
            <w:webHidden/>
          </w:rPr>
        </w:r>
        <w:r w:rsidR="00D15720">
          <w:rPr>
            <w:webHidden/>
          </w:rPr>
          <w:fldChar w:fldCharType="separate"/>
        </w:r>
        <w:r w:rsidR="00D15720">
          <w:rPr>
            <w:webHidden/>
          </w:rPr>
          <w:t>3</w:t>
        </w:r>
        <w:r w:rsidR="00D15720">
          <w:rPr>
            <w:webHidden/>
          </w:rPr>
          <w:fldChar w:fldCharType="end"/>
        </w:r>
      </w:hyperlink>
    </w:p>
    <w:p w14:paraId="18D4856C" w14:textId="42C7201A" w:rsidR="00D15720" w:rsidRDefault="00C86C16">
      <w:pPr>
        <w:pStyle w:val="TOC1"/>
        <w:rPr>
          <w:rFonts w:asciiTheme="minorHAnsi" w:eastAsiaTheme="minorEastAsia" w:hAnsiTheme="minorHAnsi" w:cstheme="minorBidi"/>
          <w:b w:val="0"/>
          <w:color w:val="auto"/>
          <w:kern w:val="2"/>
          <w:sz w:val="22"/>
          <w:lang w:eastAsia="en-AU"/>
          <w14:ligatures w14:val="standardContextual"/>
        </w:rPr>
      </w:pPr>
      <w:hyperlink w:anchor="_Toc164679853" w:history="1">
        <w:r w:rsidR="00D15720" w:rsidRPr="00B54B00">
          <w:rPr>
            <w:rStyle w:val="Hyperlink"/>
          </w:rPr>
          <w:t>Summary</w:t>
        </w:r>
        <w:r w:rsidR="00D15720">
          <w:rPr>
            <w:webHidden/>
          </w:rPr>
          <w:tab/>
        </w:r>
        <w:r w:rsidR="00D15720">
          <w:rPr>
            <w:webHidden/>
          </w:rPr>
          <w:fldChar w:fldCharType="begin"/>
        </w:r>
        <w:r w:rsidR="00D15720">
          <w:rPr>
            <w:webHidden/>
          </w:rPr>
          <w:instrText xml:space="preserve"> PAGEREF _Toc164679853 \h </w:instrText>
        </w:r>
        <w:r w:rsidR="00D15720">
          <w:rPr>
            <w:webHidden/>
          </w:rPr>
        </w:r>
        <w:r w:rsidR="00D15720">
          <w:rPr>
            <w:webHidden/>
          </w:rPr>
          <w:fldChar w:fldCharType="separate"/>
        </w:r>
        <w:r w:rsidR="00D15720">
          <w:rPr>
            <w:webHidden/>
          </w:rPr>
          <w:t>4</w:t>
        </w:r>
        <w:r w:rsidR="00D15720">
          <w:rPr>
            <w:webHidden/>
          </w:rPr>
          <w:fldChar w:fldCharType="end"/>
        </w:r>
      </w:hyperlink>
    </w:p>
    <w:p w14:paraId="2C0F3955" w14:textId="1375B209" w:rsidR="00D15720" w:rsidRDefault="00C86C16">
      <w:pPr>
        <w:pStyle w:val="TOC2"/>
        <w:rPr>
          <w:rFonts w:asciiTheme="minorHAnsi" w:eastAsiaTheme="minorEastAsia" w:hAnsiTheme="minorHAnsi" w:cstheme="minorBidi"/>
          <w:kern w:val="2"/>
          <w:sz w:val="22"/>
          <w:lang w:eastAsia="en-AU"/>
          <w14:ligatures w14:val="standardContextual"/>
        </w:rPr>
      </w:pPr>
      <w:hyperlink w:anchor="_Toc164679854" w:history="1">
        <w:r w:rsidR="00D15720" w:rsidRPr="00B54B00">
          <w:rPr>
            <w:rStyle w:val="Hyperlink"/>
          </w:rPr>
          <w:t>Findings</w:t>
        </w:r>
        <w:r w:rsidR="00D15720">
          <w:rPr>
            <w:webHidden/>
          </w:rPr>
          <w:tab/>
        </w:r>
        <w:r w:rsidR="00D15720">
          <w:rPr>
            <w:webHidden/>
          </w:rPr>
          <w:fldChar w:fldCharType="begin"/>
        </w:r>
        <w:r w:rsidR="00D15720">
          <w:rPr>
            <w:webHidden/>
          </w:rPr>
          <w:instrText xml:space="preserve"> PAGEREF _Toc164679854 \h </w:instrText>
        </w:r>
        <w:r w:rsidR="00D15720">
          <w:rPr>
            <w:webHidden/>
          </w:rPr>
        </w:r>
        <w:r w:rsidR="00D15720">
          <w:rPr>
            <w:webHidden/>
          </w:rPr>
          <w:fldChar w:fldCharType="separate"/>
        </w:r>
        <w:r w:rsidR="00D15720">
          <w:rPr>
            <w:webHidden/>
          </w:rPr>
          <w:t>5</w:t>
        </w:r>
        <w:r w:rsidR="00D15720">
          <w:rPr>
            <w:webHidden/>
          </w:rPr>
          <w:fldChar w:fldCharType="end"/>
        </w:r>
      </w:hyperlink>
    </w:p>
    <w:p w14:paraId="5F173517" w14:textId="395B44E2" w:rsidR="00D15720" w:rsidRDefault="00C86C16">
      <w:pPr>
        <w:pStyle w:val="TOC2"/>
        <w:rPr>
          <w:rFonts w:asciiTheme="minorHAnsi" w:eastAsiaTheme="minorEastAsia" w:hAnsiTheme="minorHAnsi" w:cstheme="minorBidi"/>
          <w:kern w:val="2"/>
          <w:sz w:val="22"/>
          <w:lang w:eastAsia="en-AU"/>
          <w14:ligatures w14:val="standardContextual"/>
        </w:rPr>
      </w:pPr>
      <w:hyperlink w:anchor="_Toc164679855" w:history="1">
        <w:r w:rsidR="00D15720" w:rsidRPr="00B54B00">
          <w:rPr>
            <w:rStyle w:val="Hyperlink"/>
          </w:rPr>
          <w:t>Observations</w:t>
        </w:r>
        <w:r w:rsidR="00D15720">
          <w:rPr>
            <w:webHidden/>
          </w:rPr>
          <w:tab/>
        </w:r>
        <w:r w:rsidR="00D15720">
          <w:rPr>
            <w:webHidden/>
          </w:rPr>
          <w:fldChar w:fldCharType="begin"/>
        </w:r>
        <w:r w:rsidR="00D15720">
          <w:rPr>
            <w:webHidden/>
          </w:rPr>
          <w:instrText xml:space="preserve"> PAGEREF _Toc164679855 \h </w:instrText>
        </w:r>
        <w:r w:rsidR="00D15720">
          <w:rPr>
            <w:webHidden/>
          </w:rPr>
        </w:r>
        <w:r w:rsidR="00D15720">
          <w:rPr>
            <w:webHidden/>
          </w:rPr>
          <w:fldChar w:fldCharType="separate"/>
        </w:r>
        <w:r w:rsidR="00D15720">
          <w:rPr>
            <w:webHidden/>
          </w:rPr>
          <w:t>5</w:t>
        </w:r>
        <w:r w:rsidR="00D15720">
          <w:rPr>
            <w:webHidden/>
          </w:rPr>
          <w:fldChar w:fldCharType="end"/>
        </w:r>
      </w:hyperlink>
    </w:p>
    <w:p w14:paraId="185C8A93" w14:textId="5452026D" w:rsidR="00D15720" w:rsidRDefault="00C86C16">
      <w:pPr>
        <w:pStyle w:val="TOC2"/>
        <w:rPr>
          <w:rFonts w:asciiTheme="minorHAnsi" w:eastAsiaTheme="minorEastAsia" w:hAnsiTheme="minorHAnsi" w:cstheme="minorBidi"/>
          <w:kern w:val="2"/>
          <w:sz w:val="22"/>
          <w:lang w:eastAsia="en-AU"/>
          <w14:ligatures w14:val="standardContextual"/>
        </w:rPr>
      </w:pPr>
      <w:hyperlink w:anchor="_Toc164679856" w:history="1">
        <w:r w:rsidR="00D15720" w:rsidRPr="00B54B00">
          <w:rPr>
            <w:rStyle w:val="Hyperlink"/>
          </w:rPr>
          <w:t>Conclusion</w:t>
        </w:r>
        <w:r w:rsidR="00D15720">
          <w:rPr>
            <w:webHidden/>
          </w:rPr>
          <w:tab/>
        </w:r>
        <w:r w:rsidR="00D15720">
          <w:rPr>
            <w:webHidden/>
          </w:rPr>
          <w:fldChar w:fldCharType="begin"/>
        </w:r>
        <w:r w:rsidR="00D15720">
          <w:rPr>
            <w:webHidden/>
          </w:rPr>
          <w:instrText xml:space="preserve"> PAGEREF _Toc164679856 \h </w:instrText>
        </w:r>
        <w:r w:rsidR="00D15720">
          <w:rPr>
            <w:webHidden/>
          </w:rPr>
        </w:r>
        <w:r w:rsidR="00D15720">
          <w:rPr>
            <w:webHidden/>
          </w:rPr>
          <w:fldChar w:fldCharType="separate"/>
        </w:r>
        <w:r w:rsidR="00D15720">
          <w:rPr>
            <w:webHidden/>
          </w:rPr>
          <w:t>5</w:t>
        </w:r>
        <w:r w:rsidR="00D15720">
          <w:rPr>
            <w:webHidden/>
          </w:rPr>
          <w:fldChar w:fldCharType="end"/>
        </w:r>
      </w:hyperlink>
    </w:p>
    <w:p w14:paraId="313CED5D" w14:textId="4E22D15F" w:rsidR="00D15720" w:rsidRDefault="00C86C16">
      <w:pPr>
        <w:pStyle w:val="TOC1"/>
        <w:rPr>
          <w:rFonts w:asciiTheme="minorHAnsi" w:eastAsiaTheme="minorEastAsia" w:hAnsiTheme="minorHAnsi" w:cstheme="minorBidi"/>
          <w:b w:val="0"/>
          <w:color w:val="auto"/>
          <w:kern w:val="2"/>
          <w:sz w:val="22"/>
          <w:lang w:eastAsia="en-AU"/>
          <w14:ligatures w14:val="standardContextual"/>
        </w:rPr>
      </w:pPr>
      <w:hyperlink w:anchor="_Toc164679857" w:history="1">
        <w:r w:rsidR="00D15720" w:rsidRPr="00B54B00">
          <w:rPr>
            <w:rStyle w:val="Hyperlink"/>
          </w:rPr>
          <w:t>Background</w:t>
        </w:r>
        <w:r w:rsidR="00D15720">
          <w:rPr>
            <w:webHidden/>
          </w:rPr>
          <w:tab/>
        </w:r>
        <w:r w:rsidR="00D15720">
          <w:rPr>
            <w:webHidden/>
          </w:rPr>
          <w:fldChar w:fldCharType="begin"/>
        </w:r>
        <w:r w:rsidR="00D15720">
          <w:rPr>
            <w:webHidden/>
          </w:rPr>
          <w:instrText xml:space="preserve"> PAGEREF _Toc164679857 \h </w:instrText>
        </w:r>
        <w:r w:rsidR="00D15720">
          <w:rPr>
            <w:webHidden/>
          </w:rPr>
        </w:r>
        <w:r w:rsidR="00D15720">
          <w:rPr>
            <w:webHidden/>
          </w:rPr>
          <w:fldChar w:fldCharType="separate"/>
        </w:r>
        <w:r w:rsidR="00D15720">
          <w:rPr>
            <w:webHidden/>
          </w:rPr>
          <w:t>7</w:t>
        </w:r>
        <w:r w:rsidR="00D15720">
          <w:rPr>
            <w:webHidden/>
          </w:rPr>
          <w:fldChar w:fldCharType="end"/>
        </w:r>
      </w:hyperlink>
    </w:p>
    <w:p w14:paraId="096AD8F6" w14:textId="11CDA539" w:rsidR="00D15720" w:rsidRDefault="00C86C16">
      <w:pPr>
        <w:pStyle w:val="TOC1"/>
        <w:rPr>
          <w:rFonts w:asciiTheme="minorHAnsi" w:eastAsiaTheme="minorEastAsia" w:hAnsiTheme="minorHAnsi" w:cstheme="minorBidi"/>
          <w:b w:val="0"/>
          <w:color w:val="auto"/>
          <w:kern w:val="2"/>
          <w:sz w:val="22"/>
          <w:lang w:eastAsia="en-AU"/>
          <w14:ligatures w14:val="standardContextual"/>
        </w:rPr>
      </w:pPr>
      <w:hyperlink w:anchor="_Toc164679858" w:history="1">
        <w:r w:rsidR="00D15720" w:rsidRPr="00B54B00">
          <w:rPr>
            <w:rStyle w:val="Hyperlink"/>
          </w:rPr>
          <w:t>Audit approach</w:t>
        </w:r>
        <w:r w:rsidR="00D15720">
          <w:rPr>
            <w:webHidden/>
          </w:rPr>
          <w:tab/>
        </w:r>
        <w:r w:rsidR="00D15720">
          <w:rPr>
            <w:webHidden/>
          </w:rPr>
          <w:fldChar w:fldCharType="begin"/>
        </w:r>
        <w:r w:rsidR="00D15720">
          <w:rPr>
            <w:webHidden/>
          </w:rPr>
          <w:instrText xml:space="preserve"> PAGEREF _Toc164679858 \h </w:instrText>
        </w:r>
        <w:r w:rsidR="00D15720">
          <w:rPr>
            <w:webHidden/>
          </w:rPr>
        </w:r>
        <w:r w:rsidR="00D15720">
          <w:rPr>
            <w:webHidden/>
          </w:rPr>
          <w:fldChar w:fldCharType="separate"/>
        </w:r>
        <w:r w:rsidR="00D15720">
          <w:rPr>
            <w:webHidden/>
          </w:rPr>
          <w:t>10</w:t>
        </w:r>
        <w:r w:rsidR="00D15720">
          <w:rPr>
            <w:webHidden/>
          </w:rPr>
          <w:fldChar w:fldCharType="end"/>
        </w:r>
      </w:hyperlink>
    </w:p>
    <w:p w14:paraId="6312167A" w14:textId="052C4013" w:rsidR="00D15720" w:rsidRDefault="00C86C16">
      <w:pPr>
        <w:pStyle w:val="TOC1"/>
        <w:rPr>
          <w:rFonts w:asciiTheme="minorHAnsi" w:eastAsiaTheme="minorEastAsia" w:hAnsiTheme="minorHAnsi" w:cstheme="minorBidi"/>
          <w:b w:val="0"/>
          <w:color w:val="auto"/>
          <w:kern w:val="2"/>
          <w:sz w:val="22"/>
          <w:lang w:eastAsia="en-AU"/>
          <w14:ligatures w14:val="standardContextual"/>
        </w:rPr>
      </w:pPr>
      <w:hyperlink w:anchor="_Toc164679859" w:history="1">
        <w:r w:rsidR="00D15720" w:rsidRPr="00B54B00">
          <w:rPr>
            <w:rStyle w:val="Hyperlink"/>
          </w:rPr>
          <w:t>Requirements Tested</w:t>
        </w:r>
        <w:r w:rsidR="00D15720">
          <w:rPr>
            <w:webHidden/>
          </w:rPr>
          <w:tab/>
        </w:r>
        <w:r w:rsidR="00D15720">
          <w:rPr>
            <w:webHidden/>
          </w:rPr>
          <w:fldChar w:fldCharType="begin"/>
        </w:r>
        <w:r w:rsidR="00D15720">
          <w:rPr>
            <w:webHidden/>
          </w:rPr>
          <w:instrText xml:space="preserve"> PAGEREF _Toc164679859 \h </w:instrText>
        </w:r>
        <w:r w:rsidR="00D15720">
          <w:rPr>
            <w:webHidden/>
          </w:rPr>
        </w:r>
        <w:r w:rsidR="00D15720">
          <w:rPr>
            <w:webHidden/>
          </w:rPr>
          <w:fldChar w:fldCharType="separate"/>
        </w:r>
        <w:r w:rsidR="00D15720">
          <w:rPr>
            <w:webHidden/>
          </w:rPr>
          <w:t>12</w:t>
        </w:r>
        <w:r w:rsidR="00D15720">
          <w:rPr>
            <w:webHidden/>
          </w:rPr>
          <w:fldChar w:fldCharType="end"/>
        </w:r>
      </w:hyperlink>
    </w:p>
    <w:p w14:paraId="47F5409A" w14:textId="4C9FF262" w:rsidR="00D15720" w:rsidRDefault="00C86C16">
      <w:pPr>
        <w:pStyle w:val="TOC2"/>
        <w:rPr>
          <w:rFonts w:asciiTheme="minorHAnsi" w:eastAsiaTheme="minorEastAsia" w:hAnsiTheme="minorHAnsi" w:cstheme="minorBidi"/>
          <w:kern w:val="2"/>
          <w:sz w:val="22"/>
          <w:lang w:eastAsia="en-AU"/>
          <w14:ligatures w14:val="standardContextual"/>
        </w:rPr>
      </w:pPr>
      <w:hyperlink w:anchor="_Toc164679860" w:history="1">
        <w:r w:rsidR="00D15720" w:rsidRPr="00B54B00">
          <w:rPr>
            <w:rStyle w:val="Hyperlink"/>
          </w:rPr>
          <w:t>Licence Approval</w:t>
        </w:r>
        <w:r w:rsidR="00D15720">
          <w:rPr>
            <w:webHidden/>
          </w:rPr>
          <w:tab/>
        </w:r>
        <w:r w:rsidR="00D15720">
          <w:rPr>
            <w:webHidden/>
          </w:rPr>
          <w:fldChar w:fldCharType="begin"/>
        </w:r>
        <w:r w:rsidR="00D15720">
          <w:rPr>
            <w:webHidden/>
          </w:rPr>
          <w:instrText xml:space="preserve"> PAGEREF _Toc164679860 \h </w:instrText>
        </w:r>
        <w:r w:rsidR="00D15720">
          <w:rPr>
            <w:webHidden/>
          </w:rPr>
        </w:r>
        <w:r w:rsidR="00D15720">
          <w:rPr>
            <w:webHidden/>
          </w:rPr>
          <w:fldChar w:fldCharType="separate"/>
        </w:r>
        <w:r w:rsidR="00D15720">
          <w:rPr>
            <w:webHidden/>
          </w:rPr>
          <w:t>12</w:t>
        </w:r>
        <w:r w:rsidR="00D15720">
          <w:rPr>
            <w:webHidden/>
          </w:rPr>
          <w:fldChar w:fldCharType="end"/>
        </w:r>
      </w:hyperlink>
    </w:p>
    <w:p w14:paraId="26BC3E92" w14:textId="6DD36A5A" w:rsidR="00D15720" w:rsidRDefault="00C86C16">
      <w:pPr>
        <w:pStyle w:val="TOC2"/>
        <w:rPr>
          <w:rFonts w:asciiTheme="minorHAnsi" w:eastAsiaTheme="minorEastAsia" w:hAnsiTheme="minorHAnsi" w:cstheme="minorBidi"/>
          <w:kern w:val="2"/>
          <w:sz w:val="22"/>
          <w:lang w:eastAsia="en-AU"/>
          <w14:ligatures w14:val="standardContextual"/>
        </w:rPr>
      </w:pPr>
      <w:hyperlink w:anchor="_Toc164679861" w:history="1">
        <w:r w:rsidR="00D15720" w:rsidRPr="00B54B00">
          <w:rPr>
            <w:rStyle w:val="Hyperlink"/>
          </w:rPr>
          <w:t>Allocation Announcements</w:t>
        </w:r>
        <w:r w:rsidR="00D15720">
          <w:rPr>
            <w:webHidden/>
          </w:rPr>
          <w:tab/>
        </w:r>
        <w:r w:rsidR="00D15720">
          <w:rPr>
            <w:webHidden/>
          </w:rPr>
          <w:fldChar w:fldCharType="begin"/>
        </w:r>
        <w:r w:rsidR="00D15720">
          <w:rPr>
            <w:webHidden/>
          </w:rPr>
          <w:instrText xml:space="preserve"> PAGEREF _Toc164679861 \h </w:instrText>
        </w:r>
        <w:r w:rsidR="00D15720">
          <w:rPr>
            <w:webHidden/>
          </w:rPr>
        </w:r>
        <w:r w:rsidR="00D15720">
          <w:rPr>
            <w:webHidden/>
          </w:rPr>
          <w:fldChar w:fldCharType="separate"/>
        </w:r>
        <w:r w:rsidR="00D15720">
          <w:rPr>
            <w:webHidden/>
          </w:rPr>
          <w:t>13</w:t>
        </w:r>
        <w:r w:rsidR="00D15720">
          <w:rPr>
            <w:webHidden/>
          </w:rPr>
          <w:fldChar w:fldCharType="end"/>
        </w:r>
      </w:hyperlink>
    </w:p>
    <w:p w14:paraId="1EB92CBA" w14:textId="3B23D027" w:rsidR="00D15720" w:rsidRDefault="00C86C16">
      <w:pPr>
        <w:pStyle w:val="TOC2"/>
        <w:rPr>
          <w:rFonts w:asciiTheme="minorHAnsi" w:eastAsiaTheme="minorEastAsia" w:hAnsiTheme="minorHAnsi" w:cstheme="minorBidi"/>
          <w:kern w:val="2"/>
          <w:sz w:val="22"/>
          <w:lang w:eastAsia="en-AU"/>
          <w14:ligatures w14:val="standardContextual"/>
        </w:rPr>
      </w:pPr>
      <w:hyperlink w:anchor="_Toc164679862" w:history="1">
        <w:r w:rsidR="00D15720" w:rsidRPr="00B54B00">
          <w:rPr>
            <w:rStyle w:val="Hyperlink"/>
          </w:rPr>
          <w:t>Trading Activity</w:t>
        </w:r>
        <w:r w:rsidR="00D15720">
          <w:rPr>
            <w:webHidden/>
          </w:rPr>
          <w:tab/>
        </w:r>
        <w:r w:rsidR="00D15720">
          <w:rPr>
            <w:webHidden/>
          </w:rPr>
          <w:fldChar w:fldCharType="begin"/>
        </w:r>
        <w:r w:rsidR="00D15720">
          <w:rPr>
            <w:webHidden/>
          </w:rPr>
          <w:instrText xml:space="preserve"> PAGEREF _Toc164679862 \h </w:instrText>
        </w:r>
        <w:r w:rsidR="00D15720">
          <w:rPr>
            <w:webHidden/>
          </w:rPr>
        </w:r>
        <w:r w:rsidR="00D15720">
          <w:rPr>
            <w:webHidden/>
          </w:rPr>
          <w:fldChar w:fldCharType="separate"/>
        </w:r>
        <w:r w:rsidR="00D15720">
          <w:rPr>
            <w:webHidden/>
          </w:rPr>
          <w:t>13</w:t>
        </w:r>
        <w:r w:rsidR="00D15720">
          <w:rPr>
            <w:webHidden/>
          </w:rPr>
          <w:fldChar w:fldCharType="end"/>
        </w:r>
      </w:hyperlink>
    </w:p>
    <w:p w14:paraId="40F58C33" w14:textId="3543B2E9" w:rsidR="00D15720" w:rsidRDefault="00C86C16">
      <w:pPr>
        <w:pStyle w:val="TOC2"/>
        <w:rPr>
          <w:rFonts w:asciiTheme="minorHAnsi" w:eastAsiaTheme="minorEastAsia" w:hAnsiTheme="minorHAnsi" w:cstheme="minorBidi"/>
          <w:kern w:val="2"/>
          <w:sz w:val="22"/>
          <w:lang w:eastAsia="en-AU"/>
          <w14:ligatures w14:val="standardContextual"/>
        </w:rPr>
      </w:pPr>
      <w:hyperlink w:anchor="_Toc164679863" w:history="1">
        <w:r w:rsidR="00D15720" w:rsidRPr="00B54B00">
          <w:rPr>
            <w:rStyle w:val="Hyperlink"/>
            <w:lang w:val="en-US"/>
          </w:rPr>
          <w:t>Groundwater Level Monitoring</w:t>
        </w:r>
        <w:r w:rsidR="00D15720">
          <w:rPr>
            <w:webHidden/>
          </w:rPr>
          <w:tab/>
        </w:r>
        <w:r w:rsidR="00D15720">
          <w:rPr>
            <w:webHidden/>
          </w:rPr>
          <w:fldChar w:fldCharType="begin"/>
        </w:r>
        <w:r w:rsidR="00D15720">
          <w:rPr>
            <w:webHidden/>
          </w:rPr>
          <w:instrText xml:space="preserve"> PAGEREF _Toc164679863 \h </w:instrText>
        </w:r>
        <w:r w:rsidR="00D15720">
          <w:rPr>
            <w:webHidden/>
          </w:rPr>
        </w:r>
        <w:r w:rsidR="00D15720">
          <w:rPr>
            <w:webHidden/>
          </w:rPr>
          <w:fldChar w:fldCharType="separate"/>
        </w:r>
        <w:r w:rsidR="00D15720">
          <w:rPr>
            <w:webHidden/>
          </w:rPr>
          <w:t>16</w:t>
        </w:r>
        <w:r w:rsidR="00D15720">
          <w:rPr>
            <w:webHidden/>
          </w:rPr>
          <w:fldChar w:fldCharType="end"/>
        </w:r>
      </w:hyperlink>
    </w:p>
    <w:p w14:paraId="271055F3" w14:textId="59B5BD86" w:rsidR="00D15720" w:rsidRDefault="00C86C16">
      <w:pPr>
        <w:pStyle w:val="TOC2"/>
        <w:rPr>
          <w:rFonts w:asciiTheme="minorHAnsi" w:eastAsiaTheme="minorEastAsia" w:hAnsiTheme="minorHAnsi" w:cstheme="minorBidi"/>
          <w:kern w:val="2"/>
          <w:sz w:val="22"/>
          <w:lang w:eastAsia="en-AU"/>
          <w14:ligatures w14:val="standardContextual"/>
        </w:rPr>
      </w:pPr>
      <w:hyperlink w:anchor="_Toc164679864" w:history="1">
        <w:r w:rsidR="00D15720" w:rsidRPr="00B54B00">
          <w:rPr>
            <w:rStyle w:val="Hyperlink"/>
            <w:lang w:val="en-US"/>
          </w:rPr>
          <w:t>Groundwater Salinity Monitoring</w:t>
        </w:r>
        <w:r w:rsidR="00D15720">
          <w:rPr>
            <w:webHidden/>
          </w:rPr>
          <w:tab/>
        </w:r>
        <w:r w:rsidR="00D15720">
          <w:rPr>
            <w:webHidden/>
          </w:rPr>
          <w:fldChar w:fldCharType="begin"/>
        </w:r>
        <w:r w:rsidR="00D15720">
          <w:rPr>
            <w:webHidden/>
          </w:rPr>
          <w:instrText xml:space="preserve"> PAGEREF _Toc164679864 \h </w:instrText>
        </w:r>
        <w:r w:rsidR="00D15720">
          <w:rPr>
            <w:webHidden/>
          </w:rPr>
        </w:r>
        <w:r w:rsidR="00D15720">
          <w:rPr>
            <w:webHidden/>
          </w:rPr>
          <w:fldChar w:fldCharType="separate"/>
        </w:r>
        <w:r w:rsidR="00D15720">
          <w:rPr>
            <w:webHidden/>
          </w:rPr>
          <w:t>17</w:t>
        </w:r>
        <w:r w:rsidR="00D15720">
          <w:rPr>
            <w:webHidden/>
          </w:rPr>
          <w:fldChar w:fldCharType="end"/>
        </w:r>
      </w:hyperlink>
    </w:p>
    <w:p w14:paraId="38BE0174" w14:textId="358890E2" w:rsidR="00D15720" w:rsidRDefault="00C86C16">
      <w:pPr>
        <w:pStyle w:val="TOC1"/>
        <w:rPr>
          <w:rFonts w:asciiTheme="minorHAnsi" w:eastAsiaTheme="minorEastAsia" w:hAnsiTheme="minorHAnsi" w:cstheme="minorBidi"/>
          <w:b w:val="0"/>
          <w:color w:val="auto"/>
          <w:kern w:val="2"/>
          <w:sz w:val="22"/>
          <w:lang w:eastAsia="en-AU"/>
          <w14:ligatures w14:val="standardContextual"/>
        </w:rPr>
      </w:pPr>
      <w:hyperlink w:anchor="_Toc164679865" w:history="1">
        <w:r w:rsidR="00D15720" w:rsidRPr="00B54B00">
          <w:rPr>
            <w:rStyle w:val="Hyperlink"/>
          </w:rPr>
          <w:t>Findings</w:t>
        </w:r>
        <w:r w:rsidR="00D15720">
          <w:rPr>
            <w:webHidden/>
          </w:rPr>
          <w:tab/>
        </w:r>
        <w:r w:rsidR="00D15720">
          <w:rPr>
            <w:webHidden/>
          </w:rPr>
          <w:fldChar w:fldCharType="begin"/>
        </w:r>
        <w:r w:rsidR="00D15720">
          <w:rPr>
            <w:webHidden/>
          </w:rPr>
          <w:instrText xml:space="preserve"> PAGEREF _Toc164679865 \h </w:instrText>
        </w:r>
        <w:r w:rsidR="00D15720">
          <w:rPr>
            <w:webHidden/>
          </w:rPr>
        </w:r>
        <w:r w:rsidR="00D15720">
          <w:rPr>
            <w:webHidden/>
          </w:rPr>
          <w:fldChar w:fldCharType="separate"/>
        </w:r>
        <w:r w:rsidR="00D15720">
          <w:rPr>
            <w:webHidden/>
          </w:rPr>
          <w:t>18</w:t>
        </w:r>
        <w:r w:rsidR="00D15720">
          <w:rPr>
            <w:webHidden/>
          </w:rPr>
          <w:fldChar w:fldCharType="end"/>
        </w:r>
      </w:hyperlink>
    </w:p>
    <w:p w14:paraId="6C4A7F21" w14:textId="1754A130" w:rsidR="00D15720" w:rsidRDefault="00C86C16">
      <w:pPr>
        <w:pStyle w:val="TOC1"/>
        <w:rPr>
          <w:rFonts w:asciiTheme="minorHAnsi" w:eastAsiaTheme="minorEastAsia" w:hAnsiTheme="minorHAnsi" w:cstheme="minorBidi"/>
          <w:b w:val="0"/>
          <w:color w:val="auto"/>
          <w:kern w:val="2"/>
          <w:sz w:val="22"/>
          <w:lang w:eastAsia="en-AU"/>
          <w14:ligatures w14:val="standardContextual"/>
        </w:rPr>
      </w:pPr>
      <w:hyperlink w:anchor="_Toc164679866" w:history="1">
        <w:r w:rsidR="00D15720" w:rsidRPr="00B54B00">
          <w:rPr>
            <w:rStyle w:val="Hyperlink"/>
          </w:rPr>
          <w:t>Recommendations</w:t>
        </w:r>
        <w:r w:rsidR="00D15720">
          <w:rPr>
            <w:webHidden/>
          </w:rPr>
          <w:tab/>
        </w:r>
        <w:r w:rsidR="00D15720">
          <w:rPr>
            <w:webHidden/>
          </w:rPr>
          <w:fldChar w:fldCharType="begin"/>
        </w:r>
        <w:r w:rsidR="00D15720">
          <w:rPr>
            <w:webHidden/>
          </w:rPr>
          <w:instrText xml:space="preserve"> PAGEREF _Toc164679866 \h </w:instrText>
        </w:r>
        <w:r w:rsidR="00D15720">
          <w:rPr>
            <w:webHidden/>
          </w:rPr>
        </w:r>
        <w:r w:rsidR="00D15720">
          <w:rPr>
            <w:webHidden/>
          </w:rPr>
          <w:fldChar w:fldCharType="separate"/>
        </w:r>
        <w:r w:rsidR="00D15720">
          <w:rPr>
            <w:webHidden/>
          </w:rPr>
          <w:t>19</w:t>
        </w:r>
        <w:r w:rsidR="00D15720">
          <w:rPr>
            <w:webHidden/>
          </w:rPr>
          <w:fldChar w:fldCharType="end"/>
        </w:r>
      </w:hyperlink>
    </w:p>
    <w:p w14:paraId="00FBF37A" w14:textId="05B53A08" w:rsidR="00D15720" w:rsidRDefault="00C86C16">
      <w:pPr>
        <w:pStyle w:val="TOC1"/>
        <w:rPr>
          <w:rFonts w:asciiTheme="minorHAnsi" w:eastAsiaTheme="minorEastAsia" w:hAnsiTheme="minorHAnsi" w:cstheme="minorBidi"/>
          <w:b w:val="0"/>
          <w:color w:val="auto"/>
          <w:kern w:val="2"/>
          <w:sz w:val="22"/>
          <w:lang w:eastAsia="en-AU"/>
          <w14:ligatures w14:val="standardContextual"/>
        </w:rPr>
      </w:pPr>
      <w:hyperlink w:anchor="_Toc164679867" w:history="1">
        <w:r w:rsidR="00D15720" w:rsidRPr="00B54B00">
          <w:rPr>
            <w:rStyle w:val="Hyperlink"/>
          </w:rPr>
          <w:t>Appendix A</w:t>
        </w:r>
        <w:r w:rsidR="00D15720">
          <w:rPr>
            <w:webHidden/>
          </w:rPr>
          <w:tab/>
        </w:r>
        <w:r w:rsidR="00D15720">
          <w:rPr>
            <w:webHidden/>
          </w:rPr>
          <w:fldChar w:fldCharType="begin"/>
        </w:r>
        <w:r w:rsidR="00D15720">
          <w:rPr>
            <w:webHidden/>
          </w:rPr>
          <w:instrText xml:space="preserve"> PAGEREF _Toc164679867 \h </w:instrText>
        </w:r>
        <w:r w:rsidR="00D15720">
          <w:rPr>
            <w:webHidden/>
          </w:rPr>
        </w:r>
        <w:r w:rsidR="00D15720">
          <w:rPr>
            <w:webHidden/>
          </w:rPr>
          <w:fldChar w:fldCharType="separate"/>
        </w:r>
        <w:r w:rsidR="00D15720">
          <w:rPr>
            <w:webHidden/>
          </w:rPr>
          <w:t>20</w:t>
        </w:r>
        <w:r w:rsidR="00D15720">
          <w:rPr>
            <w:webHidden/>
          </w:rPr>
          <w:fldChar w:fldCharType="end"/>
        </w:r>
      </w:hyperlink>
    </w:p>
    <w:p w14:paraId="5CB844BE" w14:textId="5A833AE4" w:rsidR="00D15720" w:rsidRDefault="00C86C16">
      <w:pPr>
        <w:pStyle w:val="TOC2"/>
        <w:rPr>
          <w:rFonts w:asciiTheme="minorHAnsi" w:eastAsiaTheme="minorEastAsia" w:hAnsiTheme="minorHAnsi" w:cstheme="minorBidi"/>
          <w:kern w:val="2"/>
          <w:sz w:val="22"/>
          <w:lang w:eastAsia="en-AU"/>
          <w14:ligatures w14:val="standardContextual"/>
        </w:rPr>
      </w:pPr>
      <w:hyperlink w:anchor="_Toc164679868" w:history="1">
        <w:r w:rsidR="00D15720" w:rsidRPr="00B54B00">
          <w:rPr>
            <w:rStyle w:val="Hyperlink"/>
          </w:rPr>
          <w:t>Prescriptions in Katunga Groundwater Management Plan</w:t>
        </w:r>
        <w:r w:rsidR="00D15720">
          <w:rPr>
            <w:webHidden/>
          </w:rPr>
          <w:tab/>
        </w:r>
        <w:r w:rsidR="00D15720">
          <w:rPr>
            <w:webHidden/>
          </w:rPr>
          <w:fldChar w:fldCharType="begin"/>
        </w:r>
        <w:r w:rsidR="00D15720">
          <w:rPr>
            <w:webHidden/>
          </w:rPr>
          <w:instrText xml:space="preserve"> PAGEREF _Toc164679868 \h </w:instrText>
        </w:r>
        <w:r w:rsidR="00D15720">
          <w:rPr>
            <w:webHidden/>
          </w:rPr>
        </w:r>
        <w:r w:rsidR="00D15720">
          <w:rPr>
            <w:webHidden/>
          </w:rPr>
          <w:fldChar w:fldCharType="separate"/>
        </w:r>
        <w:r w:rsidR="00D15720">
          <w:rPr>
            <w:webHidden/>
          </w:rPr>
          <w:t>20</w:t>
        </w:r>
        <w:r w:rsidR="00D15720">
          <w:rPr>
            <w:webHidden/>
          </w:rPr>
          <w:fldChar w:fldCharType="end"/>
        </w:r>
      </w:hyperlink>
    </w:p>
    <w:p w14:paraId="24321A6C" w14:textId="01EC767B" w:rsidR="00D15720" w:rsidRDefault="00C86C16">
      <w:pPr>
        <w:pStyle w:val="TOC1"/>
        <w:rPr>
          <w:rFonts w:asciiTheme="minorHAnsi" w:eastAsiaTheme="minorEastAsia" w:hAnsiTheme="minorHAnsi" w:cstheme="minorBidi"/>
          <w:b w:val="0"/>
          <w:color w:val="auto"/>
          <w:kern w:val="2"/>
          <w:sz w:val="22"/>
          <w:lang w:eastAsia="en-AU"/>
          <w14:ligatures w14:val="standardContextual"/>
        </w:rPr>
      </w:pPr>
      <w:hyperlink w:anchor="_Toc164679869" w:history="1">
        <w:r w:rsidR="00D15720" w:rsidRPr="00B54B00">
          <w:rPr>
            <w:rStyle w:val="Hyperlink"/>
          </w:rPr>
          <w:t>Appendix B</w:t>
        </w:r>
        <w:r w:rsidR="00D15720">
          <w:rPr>
            <w:webHidden/>
          </w:rPr>
          <w:tab/>
        </w:r>
        <w:r w:rsidR="00D15720">
          <w:rPr>
            <w:webHidden/>
          </w:rPr>
          <w:fldChar w:fldCharType="begin"/>
        </w:r>
        <w:r w:rsidR="00D15720">
          <w:rPr>
            <w:webHidden/>
          </w:rPr>
          <w:instrText xml:space="preserve"> PAGEREF _Toc164679869 \h </w:instrText>
        </w:r>
        <w:r w:rsidR="00D15720">
          <w:rPr>
            <w:webHidden/>
          </w:rPr>
        </w:r>
        <w:r w:rsidR="00D15720">
          <w:rPr>
            <w:webHidden/>
          </w:rPr>
          <w:fldChar w:fldCharType="separate"/>
        </w:r>
        <w:r w:rsidR="00D15720">
          <w:rPr>
            <w:webHidden/>
          </w:rPr>
          <w:t>23</w:t>
        </w:r>
        <w:r w:rsidR="00D15720">
          <w:rPr>
            <w:webHidden/>
          </w:rPr>
          <w:fldChar w:fldCharType="end"/>
        </w:r>
      </w:hyperlink>
    </w:p>
    <w:p w14:paraId="312C67AB" w14:textId="3A33BB2B" w:rsidR="00D15720" w:rsidRDefault="00C86C16">
      <w:pPr>
        <w:pStyle w:val="TOC2"/>
        <w:rPr>
          <w:rFonts w:asciiTheme="minorHAnsi" w:eastAsiaTheme="minorEastAsia" w:hAnsiTheme="minorHAnsi" w:cstheme="minorBidi"/>
          <w:kern w:val="2"/>
          <w:sz w:val="22"/>
          <w:lang w:eastAsia="en-AU"/>
          <w14:ligatures w14:val="standardContextual"/>
        </w:rPr>
      </w:pPr>
      <w:hyperlink w:anchor="_Toc164679870" w:history="1">
        <w:r w:rsidR="00D15720" w:rsidRPr="00B54B00">
          <w:rPr>
            <w:rStyle w:val="Hyperlink"/>
          </w:rPr>
          <w:t>Monitoring bores – Allocation assessment and water quality</w:t>
        </w:r>
        <w:r w:rsidR="00D15720">
          <w:rPr>
            <w:webHidden/>
          </w:rPr>
          <w:tab/>
        </w:r>
        <w:r w:rsidR="00D15720">
          <w:rPr>
            <w:webHidden/>
          </w:rPr>
          <w:fldChar w:fldCharType="begin"/>
        </w:r>
        <w:r w:rsidR="00D15720">
          <w:rPr>
            <w:webHidden/>
          </w:rPr>
          <w:instrText xml:space="preserve"> PAGEREF _Toc164679870 \h </w:instrText>
        </w:r>
        <w:r w:rsidR="00D15720">
          <w:rPr>
            <w:webHidden/>
          </w:rPr>
        </w:r>
        <w:r w:rsidR="00D15720">
          <w:rPr>
            <w:webHidden/>
          </w:rPr>
          <w:fldChar w:fldCharType="separate"/>
        </w:r>
        <w:r w:rsidR="00D15720">
          <w:rPr>
            <w:webHidden/>
          </w:rPr>
          <w:t>23</w:t>
        </w:r>
        <w:r w:rsidR="00D15720">
          <w:rPr>
            <w:webHidden/>
          </w:rPr>
          <w:fldChar w:fldCharType="end"/>
        </w:r>
      </w:hyperlink>
    </w:p>
    <w:p w14:paraId="0F91DB13" w14:textId="5AF53A54" w:rsidR="00D15720" w:rsidRDefault="00C86C16">
      <w:pPr>
        <w:pStyle w:val="TOC1"/>
        <w:rPr>
          <w:rFonts w:asciiTheme="minorHAnsi" w:eastAsiaTheme="minorEastAsia" w:hAnsiTheme="minorHAnsi" w:cstheme="minorBidi"/>
          <w:b w:val="0"/>
          <w:color w:val="auto"/>
          <w:kern w:val="2"/>
          <w:sz w:val="22"/>
          <w:lang w:eastAsia="en-AU"/>
          <w14:ligatures w14:val="standardContextual"/>
        </w:rPr>
      </w:pPr>
      <w:hyperlink w:anchor="_Toc164679871" w:history="1">
        <w:r w:rsidR="00D15720" w:rsidRPr="00B54B00">
          <w:rPr>
            <w:rStyle w:val="Hyperlink"/>
          </w:rPr>
          <w:t>Appendix C</w:t>
        </w:r>
        <w:r w:rsidR="00D15720">
          <w:rPr>
            <w:webHidden/>
          </w:rPr>
          <w:tab/>
        </w:r>
        <w:r w:rsidR="00D15720">
          <w:rPr>
            <w:webHidden/>
          </w:rPr>
          <w:fldChar w:fldCharType="begin"/>
        </w:r>
        <w:r w:rsidR="00D15720">
          <w:rPr>
            <w:webHidden/>
          </w:rPr>
          <w:instrText xml:space="preserve"> PAGEREF _Toc164679871 \h </w:instrText>
        </w:r>
        <w:r w:rsidR="00D15720">
          <w:rPr>
            <w:webHidden/>
          </w:rPr>
        </w:r>
        <w:r w:rsidR="00D15720">
          <w:rPr>
            <w:webHidden/>
          </w:rPr>
          <w:fldChar w:fldCharType="separate"/>
        </w:r>
        <w:r w:rsidR="00D15720">
          <w:rPr>
            <w:webHidden/>
          </w:rPr>
          <w:t>24</w:t>
        </w:r>
        <w:r w:rsidR="00D15720">
          <w:rPr>
            <w:webHidden/>
          </w:rPr>
          <w:fldChar w:fldCharType="end"/>
        </w:r>
      </w:hyperlink>
    </w:p>
    <w:p w14:paraId="698E141C" w14:textId="292483CA" w:rsidR="00D15720" w:rsidRDefault="00C86C16">
      <w:pPr>
        <w:pStyle w:val="TOC2"/>
        <w:rPr>
          <w:rFonts w:asciiTheme="minorHAnsi" w:eastAsiaTheme="minorEastAsia" w:hAnsiTheme="minorHAnsi" w:cstheme="minorBidi"/>
          <w:kern w:val="2"/>
          <w:sz w:val="22"/>
          <w:lang w:eastAsia="en-AU"/>
          <w14:ligatures w14:val="standardContextual"/>
        </w:rPr>
      </w:pPr>
      <w:hyperlink w:anchor="_Toc164679872" w:history="1">
        <w:r w:rsidR="00D15720" w:rsidRPr="00B54B00">
          <w:rPr>
            <w:rStyle w:val="Hyperlink"/>
          </w:rPr>
          <w:t>Monitoring bores – Pumping impacts and aquifer interaction</w:t>
        </w:r>
        <w:r w:rsidR="00D15720">
          <w:rPr>
            <w:webHidden/>
          </w:rPr>
          <w:tab/>
        </w:r>
        <w:r w:rsidR="00D15720">
          <w:rPr>
            <w:webHidden/>
          </w:rPr>
          <w:fldChar w:fldCharType="begin"/>
        </w:r>
        <w:r w:rsidR="00D15720">
          <w:rPr>
            <w:webHidden/>
          </w:rPr>
          <w:instrText xml:space="preserve"> PAGEREF _Toc164679872 \h </w:instrText>
        </w:r>
        <w:r w:rsidR="00D15720">
          <w:rPr>
            <w:webHidden/>
          </w:rPr>
        </w:r>
        <w:r w:rsidR="00D15720">
          <w:rPr>
            <w:webHidden/>
          </w:rPr>
          <w:fldChar w:fldCharType="separate"/>
        </w:r>
        <w:r w:rsidR="00D15720">
          <w:rPr>
            <w:webHidden/>
          </w:rPr>
          <w:t>24</w:t>
        </w:r>
        <w:r w:rsidR="00D15720">
          <w:rPr>
            <w:webHidden/>
          </w:rPr>
          <w:fldChar w:fldCharType="end"/>
        </w:r>
      </w:hyperlink>
    </w:p>
    <w:p w14:paraId="6FC74DFD" w14:textId="0AA65675" w:rsidR="005B6E13" w:rsidRDefault="0066217F" w:rsidP="005B6E13">
      <w:r>
        <w:fldChar w:fldCharType="end"/>
      </w:r>
      <w:r w:rsidR="005B6E13">
        <w:br w:type="page"/>
      </w:r>
    </w:p>
    <w:p w14:paraId="6DEA4AA9" w14:textId="03363674" w:rsidR="00492AE6" w:rsidRDefault="00F17415" w:rsidP="00447D96">
      <w:pPr>
        <w:pStyle w:val="Heading1"/>
        <w:rPr>
          <w:sz w:val="48"/>
          <w:szCs w:val="22"/>
        </w:rPr>
      </w:pPr>
      <w:bookmarkStart w:id="3" w:name="_Toc164679853"/>
      <w:r>
        <w:rPr>
          <w:sz w:val="48"/>
          <w:szCs w:val="22"/>
        </w:rPr>
        <w:lastRenderedPageBreak/>
        <w:t>Summary</w:t>
      </w:r>
      <w:bookmarkEnd w:id="3"/>
    </w:p>
    <w:p w14:paraId="4C0F882E" w14:textId="77777777" w:rsidR="008446E6" w:rsidRPr="0054350F" w:rsidRDefault="008446E6" w:rsidP="008446E6">
      <w:pPr>
        <w:rPr>
          <w:rStyle w:val="Strong"/>
        </w:rPr>
      </w:pPr>
      <w:r w:rsidRPr="0054350F">
        <w:rPr>
          <w:rStyle w:val="Strong"/>
        </w:rPr>
        <w:t xml:space="preserve">The Inspector-General of Water Compliance (IGWC) was created to serve as a strong and independent regulator of Australia’s largest water resource, by separating compliance from the Basin Plan 2012 (Basin Plan) implementation. As the IGWC is not a government department and will not formulate or set policy, it is able to provide an independent, fair, evidence-based approach to the State’s management of water resources in the Murray-Darling Basin.  </w:t>
      </w:r>
    </w:p>
    <w:p w14:paraId="0AE82E32" w14:textId="77777777" w:rsidR="008446E6" w:rsidRDefault="008446E6" w:rsidP="008446E6">
      <w:r>
        <w:t xml:space="preserve">In developing its compliance program for 2021/22, the IGWC identified the management of increased groundwater use as a key priority. Groundwater is important for the environment and communities and if increased use and demand is not appropriately managed, this can lead to declining pressure levels, permanent salinity and drawdown problems, reversal of flow direction and affect dependent ecosystems. </w:t>
      </w:r>
    </w:p>
    <w:p w14:paraId="0840F3B5" w14:textId="77777777" w:rsidR="008446E6" w:rsidRDefault="008446E6" w:rsidP="008446E6">
      <w:r>
        <w:t>To provide confidence in how groundwater is being managed, the IGWC conducted an audit of groundwater rules in the Goulburn-Murray (Groundwater) Water Resource Plan Area. Within this area, the IGWC chose to focus on the Katunga Water Supply Protection Area (Katunga WSPA), as this had the highest volume of groundwater traded in Victoria during 2020-21.</w:t>
      </w:r>
    </w:p>
    <w:p w14:paraId="3ED21B6E" w14:textId="77777777" w:rsidR="008446E6" w:rsidRDefault="008446E6" w:rsidP="008446E6">
      <w:r>
        <w:t>The Goulburn-Murray (Groundwater) Water Resource Plan was accredited by the Minister for Resources, Water and Northern Australia in June 2020. This is a plan which sets out the rules for how water is used at a local or catchment level, limits how much water can be taken, how water quality standards are met and ensures that state water management rules meet objectives of the Basin Plan.</w:t>
      </w:r>
    </w:p>
    <w:p w14:paraId="1D73190A" w14:textId="77777777" w:rsidR="008446E6" w:rsidRDefault="008446E6" w:rsidP="008446E6">
      <w:r>
        <w:t xml:space="preserve">The audit specifically focused on the Katunga groundwater area, which forms part of the </w:t>
      </w:r>
      <w:r w:rsidRPr="003273CF">
        <w:rPr>
          <w:color w:val="4C6968" w:themeColor="text1"/>
        </w:rPr>
        <w:t>Goulburn-Murray (Groundwater) Water Resource Plan Area</w:t>
      </w:r>
      <w:r>
        <w:t>, and rules enshrined in the Water Act 1989 (Vic) (Victorian Water Act) and Katunga Water Supply Protection Area Groundwater Management Plan (Katunga Groundwater Management Plan) that relate to requirements covered within Chapter 10 of the Basin Plan:</w:t>
      </w:r>
    </w:p>
    <w:p w14:paraId="63945272" w14:textId="643B4479" w:rsidR="008446E6" w:rsidRDefault="008446E6" w:rsidP="0054350F">
      <w:pPr>
        <w:pStyle w:val="ListBullet"/>
      </w:pPr>
      <w:r w:rsidRPr="001B0CC8">
        <w:rPr>
          <w:color w:val="4C6968" w:themeColor="text1"/>
        </w:rPr>
        <w:t xml:space="preserve">Part 4 </w:t>
      </w:r>
      <w:r>
        <w:t>– The sustainable use and management of water resources</w:t>
      </w:r>
    </w:p>
    <w:p w14:paraId="4C2BD9FF" w14:textId="3F56AC2D" w:rsidR="008446E6" w:rsidRDefault="008446E6" w:rsidP="0054350F">
      <w:pPr>
        <w:pStyle w:val="ListBullet"/>
      </w:pPr>
      <w:r w:rsidRPr="001B0CC8">
        <w:rPr>
          <w:color w:val="4C6968" w:themeColor="text1"/>
        </w:rPr>
        <w:t xml:space="preserve">Part 5 </w:t>
      </w:r>
      <w:r>
        <w:t>– Interception activities</w:t>
      </w:r>
    </w:p>
    <w:p w14:paraId="4956EBC5" w14:textId="30A020ED" w:rsidR="008446E6" w:rsidRDefault="008446E6" w:rsidP="0054350F">
      <w:pPr>
        <w:pStyle w:val="ListBullet"/>
      </w:pPr>
      <w:r w:rsidRPr="001B0CC8">
        <w:rPr>
          <w:color w:val="4C6968" w:themeColor="text1"/>
        </w:rPr>
        <w:t xml:space="preserve">Part 7 </w:t>
      </w:r>
      <w:r w:rsidR="00634364">
        <w:t xml:space="preserve">– </w:t>
      </w:r>
      <w:r>
        <w:t>Water quality objectives</w:t>
      </w:r>
    </w:p>
    <w:p w14:paraId="269FC021" w14:textId="0A1BF1A7" w:rsidR="008446E6" w:rsidRDefault="008446E6" w:rsidP="0054350F">
      <w:pPr>
        <w:pStyle w:val="ListBullet"/>
      </w:pPr>
      <w:r w:rsidRPr="001B0CC8">
        <w:rPr>
          <w:color w:val="4C6968" w:themeColor="text1"/>
        </w:rPr>
        <w:t>Part 8</w:t>
      </w:r>
      <w:r w:rsidR="00634364">
        <w:rPr>
          <w:color w:val="4C6968" w:themeColor="text1"/>
        </w:rPr>
        <w:t xml:space="preserve"> </w:t>
      </w:r>
      <w:r>
        <w:t>– Trade of water access rights</w:t>
      </w:r>
    </w:p>
    <w:p w14:paraId="599A8A7A" w14:textId="73DBDBCA" w:rsidR="008446E6" w:rsidRDefault="008446E6" w:rsidP="0054350F">
      <w:pPr>
        <w:pStyle w:val="ListBullet"/>
      </w:pPr>
      <w:r w:rsidRPr="001B0CC8">
        <w:rPr>
          <w:color w:val="4C6968" w:themeColor="text1"/>
        </w:rPr>
        <w:t xml:space="preserve">Part 9 </w:t>
      </w:r>
      <w:r w:rsidR="00634364">
        <w:t xml:space="preserve">– </w:t>
      </w:r>
      <w:r>
        <w:t xml:space="preserve">Approaches to addressing risks to water </w:t>
      </w:r>
      <w:proofErr w:type="gramStart"/>
      <w:r>
        <w:t>resources</w:t>
      </w:r>
      <w:proofErr w:type="gramEnd"/>
    </w:p>
    <w:p w14:paraId="18BF5805" w14:textId="77777777" w:rsidR="008446E6" w:rsidRDefault="008446E6" w:rsidP="008446E6">
      <w:r>
        <w:t xml:space="preserve">For the trade of water access rights between two locations in the same groundwater SDL resource unit, Part 8 requires that the trade must meet each of the conditions in section 12.24 of the Basin Plan. </w:t>
      </w:r>
    </w:p>
    <w:p w14:paraId="5C31C4CE" w14:textId="5A825039" w:rsidR="000A5F93" w:rsidRDefault="000A5F93">
      <w:pPr>
        <w:spacing w:after="0"/>
      </w:pPr>
      <w:r>
        <w:br w:type="page"/>
      </w:r>
    </w:p>
    <w:p w14:paraId="7594D853" w14:textId="62293F4B" w:rsidR="0097075D" w:rsidRPr="00DB00E6" w:rsidRDefault="00A04746" w:rsidP="000A5F93">
      <w:pPr>
        <w:pStyle w:val="Heading2"/>
      </w:pPr>
      <w:bookmarkStart w:id="4" w:name="_Toc164679854"/>
      <w:r>
        <w:lastRenderedPageBreak/>
        <w:t>Finding</w:t>
      </w:r>
      <w:r w:rsidR="000A5F93">
        <w:t>s</w:t>
      </w:r>
      <w:bookmarkEnd w:id="4"/>
    </w:p>
    <w:p w14:paraId="1EF53F25" w14:textId="058CA9E5" w:rsidR="00B06CA5" w:rsidRPr="0068181F" w:rsidRDefault="00B06CA5" w:rsidP="0068181F">
      <w:pPr>
        <w:pStyle w:val="ListNumber"/>
        <w:numPr>
          <w:ilvl w:val="0"/>
          <w:numId w:val="20"/>
        </w:numPr>
      </w:pPr>
      <w:r w:rsidRPr="0068181F">
        <w:t>It has been identified that sufficient hydraulic connectivity between the location of the seller and location of the buyer before the trade of water access right is approved is not transparent within the Katunga Groundwater Management Plan. The IGWC is therefore unable to provide assurance that section 12.24(a) of the Basin Plan has been met by reference to the Katunga Groundwater Management Plan.</w:t>
      </w:r>
    </w:p>
    <w:p w14:paraId="083801F7" w14:textId="2F3E1251" w:rsidR="00B06CA5" w:rsidRPr="0068181F" w:rsidRDefault="00B06CA5" w:rsidP="0068181F">
      <w:pPr>
        <w:pStyle w:val="ListNumber"/>
        <w:numPr>
          <w:ilvl w:val="0"/>
          <w:numId w:val="20"/>
        </w:numPr>
      </w:pPr>
      <w:r w:rsidRPr="0068181F">
        <w:t xml:space="preserve">The Department of Energy, Environment and Climate Action (DEECA) are not entering manual water level measurements into the groundwater database within 30 days of collection. This does not meet DEECA’s requirements set out within the Katunga Groundwater Management Plan Prescription 5.2(c). </w:t>
      </w:r>
    </w:p>
    <w:p w14:paraId="5C2B8D44" w14:textId="7AB77177" w:rsidR="00876FEF" w:rsidRDefault="00B06CA5" w:rsidP="0068181F">
      <w:pPr>
        <w:pStyle w:val="ListNumber"/>
        <w:numPr>
          <w:ilvl w:val="0"/>
          <w:numId w:val="20"/>
        </w:numPr>
      </w:pPr>
      <w:r w:rsidRPr="0068181F">
        <w:t>Information</w:t>
      </w:r>
      <w:r>
        <w:t xml:space="preserve"> used by Goulburn-Murray Water (GMW) to determine allocation announcements for the Katunga WSPA differs between the Katunga WSPA annual report and the Victorian Water Measurement Information System (WMIS). This may lead to requirements as set out in the Katunga Groundwater Management Plan Prescription 2(a) not being met.</w:t>
      </w:r>
    </w:p>
    <w:p w14:paraId="5AF6845B" w14:textId="575CF05F" w:rsidR="00B06CA5" w:rsidRDefault="00B06CA5" w:rsidP="00B06CA5">
      <w:pPr>
        <w:pStyle w:val="Heading2"/>
      </w:pPr>
      <w:bookmarkStart w:id="5" w:name="_Toc164679855"/>
      <w:r>
        <w:t>Observations</w:t>
      </w:r>
      <w:bookmarkEnd w:id="5"/>
    </w:p>
    <w:p w14:paraId="71C1BDFA" w14:textId="64A816A2" w:rsidR="00B06CA5" w:rsidRDefault="00B06CA5" w:rsidP="00B06CA5">
      <w:pPr>
        <w:pStyle w:val="ListBullet"/>
      </w:pPr>
      <w:r>
        <w:t xml:space="preserve">Transparency </w:t>
      </w:r>
    </w:p>
    <w:p w14:paraId="02518F49" w14:textId="77777777" w:rsidR="00692118" w:rsidRDefault="00692118" w:rsidP="00640D91">
      <w:pPr>
        <w:pStyle w:val="ListNumber"/>
        <w:numPr>
          <w:ilvl w:val="0"/>
          <w:numId w:val="6"/>
        </w:numPr>
      </w:pPr>
      <w:r>
        <w:t>GMW should consider including information on their website to explain why no new licences have been issued in the Katunga WSPA since 2006. This would increase public knowledge on how groundwater is managed in the region and provide a greater understanding for those seeking new licences in the area.</w:t>
      </w:r>
    </w:p>
    <w:p w14:paraId="2DB190A9" w14:textId="02E91C8F" w:rsidR="00692118" w:rsidRDefault="00692118" w:rsidP="00640D91">
      <w:pPr>
        <w:pStyle w:val="ListNumber"/>
        <w:numPr>
          <w:ilvl w:val="0"/>
          <w:numId w:val="6"/>
        </w:numPr>
      </w:pPr>
      <w:r>
        <w:t>The Katunga Groundwater Management Plan should be amended to identify that trade between the Shepparton Irrigation Region Groundwater Management Area (Shepparton GMA) and Katunga WSPA is not allowed.</w:t>
      </w:r>
    </w:p>
    <w:p w14:paraId="048FBE7E" w14:textId="2C725689" w:rsidR="00B06CA5" w:rsidRDefault="00692118" w:rsidP="00640D91">
      <w:pPr>
        <w:pStyle w:val="ListNumber"/>
        <w:numPr>
          <w:ilvl w:val="0"/>
          <w:numId w:val="6"/>
        </w:numPr>
      </w:pPr>
      <w:r>
        <w:t>Information on groundwater bore sites in WMIS could be improved by explaining the level of information available on the range of bores monitored. This includes the bores that are used for monitoring pumping impacts and aquifer interaction.</w:t>
      </w:r>
    </w:p>
    <w:p w14:paraId="01834B10" w14:textId="77777777" w:rsidR="00B47F5A" w:rsidRPr="00B47F5A" w:rsidRDefault="00B47F5A" w:rsidP="00B47F5A">
      <w:pPr>
        <w:pStyle w:val="ListBullet"/>
      </w:pPr>
      <w:r w:rsidRPr="00B47F5A">
        <w:t>Risk Management</w:t>
      </w:r>
    </w:p>
    <w:p w14:paraId="6CC4FB2E" w14:textId="5DE4A09B" w:rsidR="00DA14F7" w:rsidRDefault="00DA14F7" w:rsidP="00640D91">
      <w:pPr>
        <w:pStyle w:val="ListNumber2"/>
        <w:numPr>
          <w:ilvl w:val="0"/>
          <w:numId w:val="6"/>
        </w:numPr>
      </w:pPr>
      <w:r>
        <w:t xml:space="preserve">The Katunga Groundwater Management Plan should be updated to explain why it includes monitoring bores that are in the Shepparton GMA. </w:t>
      </w:r>
    </w:p>
    <w:p w14:paraId="6252E7D6" w14:textId="5EBA0B46" w:rsidR="00692118" w:rsidRPr="00B06CA5" w:rsidRDefault="00DA14F7" w:rsidP="00640D91">
      <w:pPr>
        <w:pStyle w:val="ListNumber2"/>
        <w:numPr>
          <w:ilvl w:val="0"/>
          <w:numId w:val="6"/>
        </w:numPr>
      </w:pPr>
      <w:r>
        <w:t xml:space="preserve">Further discussion on the management of shared water resources between New South Wales and Victoria will be needed once the Murray Alluvium Water Resource Plan has been accredited.   </w:t>
      </w:r>
    </w:p>
    <w:p w14:paraId="38D0A73D" w14:textId="6E41DD53" w:rsidR="00C73622" w:rsidRDefault="00DA14F7" w:rsidP="00DA14F7">
      <w:pPr>
        <w:pStyle w:val="Heading2"/>
      </w:pPr>
      <w:bookmarkStart w:id="6" w:name="_Toc164679856"/>
      <w:r>
        <w:t>Conclusion</w:t>
      </w:r>
      <w:bookmarkEnd w:id="6"/>
    </w:p>
    <w:p w14:paraId="435499B8" w14:textId="77777777" w:rsidR="00CF7A49" w:rsidRPr="00CF7A49" w:rsidRDefault="00CF7A49" w:rsidP="00CF7A49">
      <w:pPr>
        <w:rPr>
          <w:color w:val="4C6968" w:themeColor="text1"/>
        </w:rPr>
      </w:pPr>
      <w:r>
        <w:t xml:space="preserve">This audit confirmed that GMW and DEECA are meeting the requirements of the Goulburn-Murray (Groundwater) Water Resource Plan covering </w:t>
      </w:r>
      <w:r w:rsidRPr="00CF7A49">
        <w:rPr>
          <w:color w:val="4C6968" w:themeColor="text1"/>
        </w:rPr>
        <w:t xml:space="preserve">trade of groundwater access rights and management of risk associated </w:t>
      </w:r>
      <w:proofErr w:type="gramStart"/>
      <w:r w:rsidRPr="00CF7A49">
        <w:rPr>
          <w:color w:val="4C6968" w:themeColor="text1"/>
        </w:rPr>
        <w:t>with;</w:t>
      </w:r>
      <w:proofErr w:type="gramEnd"/>
    </w:p>
    <w:p w14:paraId="1F99F0D4" w14:textId="6036E0CB" w:rsidR="00CF7A49" w:rsidRPr="00CF7A49" w:rsidRDefault="00CF7A49" w:rsidP="00640D91">
      <w:pPr>
        <w:pStyle w:val="ListNumber"/>
        <w:numPr>
          <w:ilvl w:val="0"/>
          <w:numId w:val="7"/>
        </w:numPr>
        <w:rPr>
          <w:color w:val="4C6968" w:themeColor="text1"/>
        </w:rPr>
      </w:pPr>
      <w:r w:rsidRPr="00CF7A49">
        <w:rPr>
          <w:color w:val="4C6968" w:themeColor="text1"/>
        </w:rPr>
        <w:t>the structural integrity of the aquifers and hydraulic relationships</w:t>
      </w:r>
    </w:p>
    <w:p w14:paraId="6FB8A557" w14:textId="617488EC" w:rsidR="00CF7A49" w:rsidRPr="00CF7A49" w:rsidRDefault="00CF7A49" w:rsidP="00640D91">
      <w:pPr>
        <w:pStyle w:val="ListNumber"/>
        <w:numPr>
          <w:ilvl w:val="0"/>
          <w:numId w:val="7"/>
        </w:numPr>
        <w:rPr>
          <w:color w:val="4C6968" w:themeColor="text1"/>
        </w:rPr>
      </w:pPr>
      <w:r w:rsidRPr="00CF7A49">
        <w:rPr>
          <w:color w:val="4C6968" w:themeColor="text1"/>
        </w:rPr>
        <w:t>interception activity and</w:t>
      </w:r>
    </w:p>
    <w:p w14:paraId="19AC00E1" w14:textId="0114D996" w:rsidR="00CF7A49" w:rsidRPr="00CF7A49" w:rsidRDefault="00CF7A49" w:rsidP="00640D91">
      <w:pPr>
        <w:pStyle w:val="ListNumber"/>
        <w:numPr>
          <w:ilvl w:val="0"/>
          <w:numId w:val="7"/>
        </w:numPr>
        <w:rPr>
          <w:color w:val="4C6968" w:themeColor="text1"/>
        </w:rPr>
      </w:pPr>
      <w:r w:rsidRPr="00CF7A49">
        <w:rPr>
          <w:color w:val="4C6968" w:themeColor="text1"/>
        </w:rPr>
        <w:t>water quality</w:t>
      </w:r>
    </w:p>
    <w:p w14:paraId="76AA7E65" w14:textId="77777777" w:rsidR="00CF7A49" w:rsidRDefault="00CF7A49" w:rsidP="00CF7A49">
      <w:r>
        <w:t>The audit report has identified 3 findings that could improve the extent of compliance.</w:t>
      </w:r>
    </w:p>
    <w:p w14:paraId="05BFCD8C" w14:textId="77777777" w:rsidR="00CF7A49" w:rsidRDefault="00CF7A49" w:rsidP="00CF7A49">
      <w:r>
        <w:t xml:space="preserve">The most significant of these findings is that sufficient hydraulic connectivity between the location of the seller and location of the buyer before the trade of water access right is approved is not transparent within the Katunga Groundwater Management Plan. While the </w:t>
      </w:r>
      <w:r>
        <w:lastRenderedPageBreak/>
        <w:t>IGWC understands that there has been an independent technical assessment to satisfy the Victorian Minister for Water that there is sufficient hydraulic connectivity between all groundwater resources in the Katunga WSPA, it is observed that there is no reference to this in the Groundwater Management Plan.</w:t>
      </w:r>
    </w:p>
    <w:p w14:paraId="2A3D3A38" w14:textId="77777777" w:rsidR="00CF7A49" w:rsidRDefault="00CF7A49" w:rsidP="00CF7A49">
      <w:r>
        <w:t xml:space="preserve">The remaining two findings relate to the delays in capturing water level measurements within the required timeframe and inconsistencies in data that can be publicly accessed. These findings may undermine public confidence in how allocation announcements are being determined. </w:t>
      </w:r>
    </w:p>
    <w:p w14:paraId="65CCAE76" w14:textId="09EF3F54" w:rsidR="00DA14F7" w:rsidRPr="00DA14F7" w:rsidRDefault="00CF7A49" w:rsidP="00CF7A49">
      <w:r>
        <w:t xml:space="preserve">Addressing these findings and the observations made in this report will improve the systems and processes for ensuring there is compliance with the Goulburn-Murray Water (Groundwater) Water Resource Plan and improve public confidence and knowledge in how groundwater resources are being managed.    </w:t>
      </w:r>
    </w:p>
    <w:p w14:paraId="73865192" w14:textId="77777777" w:rsidR="00C73622" w:rsidRDefault="00C73622" w:rsidP="00F47020">
      <w:pPr>
        <w:spacing w:after="0"/>
      </w:pPr>
    </w:p>
    <w:p w14:paraId="41467E2B" w14:textId="5528692A" w:rsidR="005145C4" w:rsidRDefault="005145C4">
      <w:pPr>
        <w:spacing w:after="0"/>
      </w:pPr>
      <w:r>
        <w:br w:type="page"/>
      </w:r>
    </w:p>
    <w:p w14:paraId="0A575B09" w14:textId="3A522AB1" w:rsidR="00951EB3" w:rsidRDefault="005145C4" w:rsidP="005145C4">
      <w:pPr>
        <w:pStyle w:val="Heading1"/>
      </w:pPr>
      <w:bookmarkStart w:id="7" w:name="_Toc164679857"/>
      <w:r>
        <w:lastRenderedPageBreak/>
        <w:t>Background</w:t>
      </w:r>
      <w:bookmarkEnd w:id="7"/>
      <w:r>
        <w:t xml:space="preserve"> </w:t>
      </w:r>
    </w:p>
    <w:p w14:paraId="29F67410" w14:textId="77777777" w:rsidR="00951FAB" w:rsidRPr="00F60F1C" w:rsidRDefault="00951FAB" w:rsidP="00A93C3E">
      <w:pPr>
        <w:pStyle w:val="Heading4"/>
        <w:rPr>
          <w:sz w:val="24"/>
          <w:szCs w:val="24"/>
        </w:rPr>
      </w:pPr>
      <w:r w:rsidRPr="00F60F1C">
        <w:rPr>
          <w:sz w:val="24"/>
          <w:szCs w:val="24"/>
        </w:rPr>
        <w:t>Water Resource Plans</w:t>
      </w:r>
    </w:p>
    <w:p w14:paraId="19EE7336" w14:textId="6ECF6154" w:rsidR="005145C4" w:rsidRPr="005145C4" w:rsidRDefault="00951FAB" w:rsidP="00951FAB">
      <w:r>
        <w:t>Water Resource Plans (WRPs) are the key instrument for implementing the Basin Plan. They set out how much water can be taken from the system at a local level, how water quality standards are met and ensure that state water management rules meet objectives of the Basin Plan.</w:t>
      </w:r>
    </w:p>
    <w:p w14:paraId="6D935E7F" w14:textId="332CC860" w:rsidR="00C73622" w:rsidRDefault="0072739E" w:rsidP="0072739E">
      <w:pPr>
        <w:pStyle w:val="FigureHeading"/>
      </w:pPr>
      <w:r>
        <w:t>Figure 1: Source of rules in the accredited Goulburn-Murray (Groundwater) Water Resource Plan</w:t>
      </w:r>
    </w:p>
    <w:p w14:paraId="02C82E68" w14:textId="61E7A5D5" w:rsidR="00A12F71" w:rsidRDefault="00A12F71" w:rsidP="00A12F71">
      <w:r w:rsidRPr="0065764F">
        <w:rPr>
          <w:i/>
          <w:iCs/>
        </w:rPr>
        <w:t>Victorian Water Act</w:t>
      </w:r>
      <w:r>
        <w:t xml:space="preserve">, then </w:t>
      </w:r>
    </w:p>
    <w:p w14:paraId="6B632035" w14:textId="77777777" w:rsidR="00A12F71" w:rsidRDefault="00A12F71" w:rsidP="00A12F71">
      <w:r>
        <w:t>Groundwater Management Units, then</w:t>
      </w:r>
    </w:p>
    <w:p w14:paraId="6AA1991D" w14:textId="77777777" w:rsidR="00A12F71" w:rsidRDefault="00A12F71" w:rsidP="00A12F71">
      <w:r>
        <w:t>Water Supply Protection Areas, then</w:t>
      </w:r>
    </w:p>
    <w:p w14:paraId="376ADE14" w14:textId="77777777" w:rsidR="00A12F71" w:rsidRDefault="00A12F71" w:rsidP="00A12F71">
      <w:r>
        <w:t>Katunga Water Supply Protection Area 2006, then</w:t>
      </w:r>
    </w:p>
    <w:p w14:paraId="2EC6AAEB" w14:textId="77777777" w:rsidR="00A12F71" w:rsidRDefault="00A12F71" w:rsidP="00A12F71">
      <w:r w:rsidRPr="0065764F">
        <w:rPr>
          <w:i/>
          <w:iCs/>
        </w:rPr>
        <w:t>Katunga Groundwater Management Plan 2006</w:t>
      </w:r>
      <w:r>
        <w:t xml:space="preserve">, then </w:t>
      </w:r>
    </w:p>
    <w:p w14:paraId="57F6E7FC" w14:textId="2A2F87FC" w:rsidR="0072739E" w:rsidRDefault="00A36A8B" w:rsidP="00A12F71">
      <w:r w:rsidRPr="00A36A8B">
        <w:t>Goulburn-Murray (Groundwater) Water Resource Plan (June 2020)</w:t>
      </w:r>
      <w:r>
        <w:t xml:space="preserve"> </w:t>
      </w:r>
    </w:p>
    <w:p w14:paraId="1100BCCE" w14:textId="5FA13B3D" w:rsidR="00560540" w:rsidRDefault="00560540" w:rsidP="00560540">
      <w:pPr>
        <w:rPr>
          <w:rFonts w:ascii="Calibri" w:hAnsi="Calibri"/>
        </w:rPr>
      </w:pPr>
      <w:r>
        <w:t>Victorian Water Act also feeds into Goulburn-Murray (Groundwater) Water Resource Plan (June 2020).</w:t>
      </w:r>
    </w:p>
    <w:p w14:paraId="6E0DD80A" w14:textId="77777777" w:rsidR="00560540" w:rsidRDefault="00560540" w:rsidP="00A12F71"/>
    <w:p w14:paraId="2D808E6F" w14:textId="7CF63D8A" w:rsidR="00C73622" w:rsidRPr="00C32993" w:rsidRDefault="00057C92" w:rsidP="004344E7">
      <w:pPr>
        <w:pStyle w:val="Heading4"/>
        <w:rPr>
          <w:sz w:val="24"/>
          <w:szCs w:val="24"/>
        </w:rPr>
      </w:pPr>
      <w:r w:rsidRPr="00C32993">
        <w:rPr>
          <w:sz w:val="24"/>
          <w:szCs w:val="24"/>
        </w:rPr>
        <w:t>Victorian Groundwater Management Framework</w:t>
      </w:r>
    </w:p>
    <w:p w14:paraId="7581B99A" w14:textId="77777777" w:rsidR="00456396" w:rsidRDefault="00456396" w:rsidP="00456396">
      <w:r>
        <w:t>Under the Victorian Groundwater Management Framework, Groundwater Management Units have been established as defined areas where specific rules are used to manage the sustainability of the resource according to the needs of groundwater users and the environment. They vary in size and are determined based on aquifer size, density of use and water corporation boundaries.</w:t>
      </w:r>
    </w:p>
    <w:p w14:paraId="0CBA3479" w14:textId="77777777" w:rsidR="00456396" w:rsidRDefault="00456396" w:rsidP="00456396">
      <w:r>
        <w:t>There are two types of Groundwater Management Units:</w:t>
      </w:r>
    </w:p>
    <w:p w14:paraId="5E7BAC3E" w14:textId="77777777" w:rsidR="00456396" w:rsidRPr="00216229" w:rsidRDefault="00456396" w:rsidP="00456396">
      <w:pPr>
        <w:rPr>
          <w:rStyle w:val="IntenseEmphasis"/>
        </w:rPr>
      </w:pPr>
      <w:r w:rsidRPr="00216229">
        <w:rPr>
          <w:rStyle w:val="IntenseEmphasis"/>
        </w:rPr>
        <w:t>Water Supply Protection Areas</w:t>
      </w:r>
    </w:p>
    <w:p w14:paraId="498BBFC2" w14:textId="77777777" w:rsidR="00456396" w:rsidRDefault="00456396" w:rsidP="00456396">
      <w:r>
        <w:t xml:space="preserve">An area declared under the Victorian Water Act, to protect the groundwater or surface water resources through the development of a statutory management plan. These are plans drafted by a consultative committee of groundwater users and stakeholder agencies and submitted to the Victorian Minister for Water for approval. </w:t>
      </w:r>
    </w:p>
    <w:p w14:paraId="11484B46" w14:textId="77777777" w:rsidR="00456396" w:rsidRPr="00216229" w:rsidRDefault="00456396" w:rsidP="00456396">
      <w:pPr>
        <w:rPr>
          <w:rStyle w:val="IntenseEmphasis"/>
        </w:rPr>
      </w:pPr>
      <w:r w:rsidRPr="00216229">
        <w:rPr>
          <w:rStyle w:val="IntenseEmphasis"/>
        </w:rPr>
        <w:t>Groundwater Management Areas</w:t>
      </w:r>
    </w:p>
    <w:p w14:paraId="1D7C6F15" w14:textId="77777777" w:rsidR="00456396" w:rsidRDefault="00456396" w:rsidP="00456396">
      <w:r>
        <w:t xml:space="preserve">An area where groundwater has been intensively developed or has the potential to be developed. Boundaries are defined for the purposes of setting a Permissible Consumptive Volume (PCV) to cap allocations and use. In some Groundwater Management </w:t>
      </w:r>
      <w:proofErr w:type="gramStart"/>
      <w:r>
        <w:t>Areas</w:t>
      </w:r>
      <w:proofErr w:type="gramEnd"/>
      <w:r>
        <w:t xml:space="preserve"> a Local Management Plan is developed where local water users and the wider community are invited to comment on a draft plan before it is implemented.</w:t>
      </w:r>
    </w:p>
    <w:p w14:paraId="2438253C" w14:textId="77777777" w:rsidR="00456396" w:rsidRPr="00C32993" w:rsidRDefault="00456396" w:rsidP="00216229">
      <w:pPr>
        <w:pStyle w:val="Heading4"/>
        <w:rPr>
          <w:sz w:val="24"/>
          <w:szCs w:val="24"/>
        </w:rPr>
      </w:pPr>
      <w:r w:rsidRPr="00C32993">
        <w:rPr>
          <w:sz w:val="24"/>
          <w:szCs w:val="24"/>
        </w:rPr>
        <w:t>Goulburn Murray (Groundwater) Water Resource Plan Area</w:t>
      </w:r>
    </w:p>
    <w:p w14:paraId="18F938E7" w14:textId="77777777" w:rsidR="00456396" w:rsidRDefault="00456396" w:rsidP="00456396">
      <w:r>
        <w:t xml:space="preserve">The Goulburn-Murray (Groundwater) Water Resource Plan was accredited by the Minister for Resources, Water and Northern Australia in June 2020. It covers four SDL resource units in the </w:t>
      </w:r>
      <w:r>
        <w:lastRenderedPageBreak/>
        <w:t xml:space="preserve">Murray-Darling Basin – Goulburn-Murray: Shepparton Irrigation Region, Highlands, Sedimentary Plain and Deep.  </w:t>
      </w:r>
    </w:p>
    <w:p w14:paraId="2C08C20C" w14:textId="77777777" w:rsidR="00456396" w:rsidRDefault="00456396" w:rsidP="00456396">
      <w:r>
        <w:t xml:space="preserve">In the Goulburn-Murray (Groundwater) Water Resource Plan Area, there are seventeen Groundwater Management Units – four of which are water supply protection areas with an approved statutory management plan. This includes the Katunga WSPA where a Statutory Plan was approved in 2004, then amended in 2006 and 2017. </w:t>
      </w:r>
    </w:p>
    <w:p w14:paraId="62D640FC" w14:textId="67090ED0" w:rsidR="00057C92" w:rsidRDefault="00456396" w:rsidP="00456396">
      <w:r>
        <w:t>Groundwater in the Goulburn-Murray (Groundwater) Water Resource Plan Area is found in shallow and deep aquifers that vary in character and connectivity. Fresh groundwater is extracted for urban and domestic and stock use as well as irrigation. Some shallow and saline aquifers across the floodplains are a threat to productivity and natural assets and are managed with pumping.</w:t>
      </w:r>
    </w:p>
    <w:p w14:paraId="01D6F33F" w14:textId="59A9544E" w:rsidR="00A64B1A" w:rsidRDefault="00652C34" w:rsidP="00A64B1A">
      <w:pPr>
        <w:pStyle w:val="FigureHeading"/>
      </w:pPr>
      <w:r w:rsidRPr="00652C34">
        <w:t>Figure 2 Groundwater Management Units</w:t>
      </w:r>
      <w:r w:rsidR="00F8317E">
        <w:t xml:space="preserve">. </w:t>
      </w:r>
    </w:p>
    <w:p w14:paraId="711EF9B8" w14:textId="77235445" w:rsidR="00652C34" w:rsidRDefault="00F8317E" w:rsidP="00A64B1A">
      <w:pPr>
        <w:pStyle w:val="FigureHeading"/>
      </w:pPr>
      <w:r>
        <w:rPr>
          <w:noProof/>
        </w:rPr>
        <w:drawing>
          <wp:inline distT="0" distB="0" distL="0" distR="0" wp14:anchorId="2164BFC6" wp14:editId="29C77AA4">
            <wp:extent cx="6120130" cy="3434959"/>
            <wp:effectExtent l="0" t="0" r="0" b="0"/>
            <wp:docPr id="7" name="Picture 7" descr="Groundwater Management Units extend from the Loddon Highlands in the east of the Goulburn-Murray (Groundwater) Water Resource Plan Area to the Upper Murray in the 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oundwater Management Units extend from the Loddon Highlands in the east of the Goulburn-Murray (Groundwater) Water Resource Plan Area to the Upper Murray in the west.  "/>
                    <pic:cNvPicPr/>
                  </pic:nvPicPr>
                  <pic:blipFill>
                    <a:blip r:embed="rId16"/>
                    <a:stretch>
                      <a:fillRect/>
                    </a:stretch>
                  </pic:blipFill>
                  <pic:spPr>
                    <a:xfrm>
                      <a:off x="0" y="0"/>
                      <a:ext cx="6120130" cy="3434959"/>
                    </a:xfrm>
                    <a:prstGeom prst="rect">
                      <a:avLst/>
                    </a:prstGeom>
                  </pic:spPr>
                </pic:pic>
              </a:graphicData>
            </a:graphic>
          </wp:inline>
        </w:drawing>
      </w:r>
    </w:p>
    <w:p w14:paraId="5E302ED9" w14:textId="7791FE4D" w:rsidR="00C32993" w:rsidRPr="00C32993" w:rsidRDefault="00C32993" w:rsidP="00C32993">
      <w:pPr>
        <w:pStyle w:val="Caption"/>
      </w:pPr>
      <w:r w:rsidRPr="00C32993">
        <w:t xml:space="preserve">Source: </w:t>
      </w:r>
      <w:hyperlink r:id="rId17" w:history="1">
        <w:r w:rsidRPr="00C32993">
          <w:rPr>
            <w:u w:val="single"/>
          </w:rPr>
          <w:t>Website of GMW</w:t>
        </w:r>
      </w:hyperlink>
    </w:p>
    <w:p w14:paraId="35186014" w14:textId="15183EDC" w:rsidR="00C32993" w:rsidRPr="00C32993" w:rsidRDefault="00C32993" w:rsidP="00C32993">
      <w:pPr>
        <w:pStyle w:val="Heading4"/>
        <w:rPr>
          <w:sz w:val="24"/>
          <w:szCs w:val="24"/>
        </w:rPr>
      </w:pPr>
      <w:r w:rsidRPr="00C32993">
        <w:rPr>
          <w:sz w:val="24"/>
          <w:szCs w:val="24"/>
        </w:rPr>
        <w:t>Katunga Water Supply Protection Area</w:t>
      </w:r>
    </w:p>
    <w:p w14:paraId="032AAF98" w14:textId="77777777" w:rsidR="00C32993" w:rsidRDefault="00C32993" w:rsidP="00C32993">
      <w:pPr>
        <w:spacing w:after="120"/>
        <w:jc w:val="both"/>
      </w:pPr>
      <w:r w:rsidRPr="004F6AEA">
        <w:t>The Katunga WSPA</w:t>
      </w:r>
      <w:r w:rsidRPr="006C2BE3">
        <w:t xml:space="preserve"> was chosen for this audit as this area had the highest volume of groundwater traded in Victoria during 2020</w:t>
      </w:r>
      <w:r>
        <w:t xml:space="preserve">-21. </w:t>
      </w:r>
    </w:p>
    <w:p w14:paraId="179F02E8" w14:textId="77777777" w:rsidR="00C32993" w:rsidRDefault="00C32993" w:rsidP="00C32993">
      <w:pPr>
        <w:spacing w:after="120"/>
        <w:jc w:val="both"/>
      </w:pPr>
      <w:r>
        <w:t>As an area that requires intensive management due to the risks associated with groundwater extraction, Katunga was declared a water supply protection area with a statutory management plan approved by the Minister for Water in Victoria. It provides</w:t>
      </w:r>
      <w:r w:rsidRPr="0057399F">
        <w:t xml:space="preserve"> the local community, and in particular licensed groundwater users, with information about the groundwater system and rules describing </w:t>
      </w:r>
      <w:r>
        <w:t>management of the resource. This plan outlines management arrangements for the resource with rules that cover:</w:t>
      </w:r>
    </w:p>
    <w:p w14:paraId="5936EB2D" w14:textId="1AAC3FE1" w:rsidR="00C32993" w:rsidRDefault="00C32993" w:rsidP="00640D91">
      <w:pPr>
        <w:pStyle w:val="ListBullet"/>
      </w:pPr>
      <w:r>
        <w:t>Limits on groundwater licences</w:t>
      </w:r>
    </w:p>
    <w:p w14:paraId="45A7C663" w14:textId="7F41EC11" w:rsidR="00C32993" w:rsidRDefault="00C32993" w:rsidP="00640D91">
      <w:pPr>
        <w:pStyle w:val="ListBullet"/>
      </w:pPr>
      <w:r>
        <w:t xml:space="preserve">Restrictions on taking </w:t>
      </w:r>
      <w:proofErr w:type="gramStart"/>
      <w:r>
        <w:t>groundwater</w:t>
      </w:r>
      <w:proofErr w:type="gramEnd"/>
    </w:p>
    <w:p w14:paraId="5753828F" w14:textId="49EA4461" w:rsidR="00C32993" w:rsidRDefault="00C32993" w:rsidP="00640D91">
      <w:pPr>
        <w:pStyle w:val="ListBullet"/>
      </w:pPr>
      <w:r>
        <w:t xml:space="preserve">Rules governing transfer of groundwater </w:t>
      </w:r>
      <w:proofErr w:type="gramStart"/>
      <w:r>
        <w:t>licences</w:t>
      </w:r>
      <w:proofErr w:type="gramEnd"/>
    </w:p>
    <w:p w14:paraId="459F526E" w14:textId="462EF6F2" w:rsidR="00C32993" w:rsidRDefault="00C32993" w:rsidP="00640D91">
      <w:pPr>
        <w:pStyle w:val="ListBullet"/>
      </w:pPr>
      <w:r>
        <w:t>Metering licenced take</w:t>
      </w:r>
    </w:p>
    <w:p w14:paraId="47690944" w14:textId="2C68C582" w:rsidR="00C32993" w:rsidRDefault="00C32993" w:rsidP="00640D91">
      <w:pPr>
        <w:pStyle w:val="ListBullet"/>
      </w:pPr>
      <w:r>
        <w:t>Groundwater level monitoring</w:t>
      </w:r>
    </w:p>
    <w:p w14:paraId="30C068B0" w14:textId="04E9B6D8" w:rsidR="00C32993" w:rsidRDefault="00C32993" w:rsidP="00640D91">
      <w:pPr>
        <w:pStyle w:val="ListBullet"/>
      </w:pPr>
      <w:r>
        <w:lastRenderedPageBreak/>
        <w:t>Groundwater salinity monitoring, and</w:t>
      </w:r>
    </w:p>
    <w:p w14:paraId="607CFD21" w14:textId="77777777" w:rsidR="00C32993" w:rsidRDefault="00C32993" w:rsidP="00C32993">
      <w:pPr>
        <w:pStyle w:val="ListBullet"/>
      </w:pPr>
      <w:r>
        <w:t xml:space="preserve">Annual reporting </w:t>
      </w:r>
    </w:p>
    <w:p w14:paraId="3607C8FC" w14:textId="77777777" w:rsidR="00C32993" w:rsidRDefault="00C32993" w:rsidP="00C32993">
      <w:pPr>
        <w:pStyle w:val="ListParagraph"/>
      </w:pPr>
    </w:p>
    <w:p w14:paraId="63B637E6" w14:textId="77777777" w:rsidR="00C32993" w:rsidRDefault="00C32993" w:rsidP="00C32993">
      <w:pPr>
        <w:spacing w:after="0" w:line="0" w:lineRule="atLeast"/>
        <w:jc w:val="both"/>
      </w:pPr>
      <w:r w:rsidRPr="004F6AEA">
        <w:t>The Katunga WSPA</w:t>
      </w:r>
      <w:r w:rsidRPr="007078B8">
        <w:t xml:space="preserve"> is located to the north of the Great Dividing Range and incorporates parts of the flood plains of the River Murray, Broken Creek and the Goulburn River between Yarrawonga and Barmah. It includes the towns of Nathalia, Numurkah and Cobram and covers an area of approximately 2,100 km2.</w:t>
      </w:r>
    </w:p>
    <w:p w14:paraId="608B4FEA" w14:textId="77777777" w:rsidR="00C32993" w:rsidRDefault="00C32993" w:rsidP="00C32993">
      <w:pPr>
        <w:spacing w:after="0" w:line="0" w:lineRule="atLeast"/>
      </w:pPr>
    </w:p>
    <w:p w14:paraId="5B85AA49" w14:textId="486972E3" w:rsidR="00C32993" w:rsidRDefault="00C32993" w:rsidP="00C32993">
      <w:pPr>
        <w:pStyle w:val="FigureHeading"/>
      </w:pPr>
      <w:r>
        <w:t xml:space="preserve">Figure </w:t>
      </w:r>
      <w:r>
        <w:fldChar w:fldCharType="begin"/>
      </w:r>
      <w:r>
        <w:instrText>SEQ Figure \* ARABIC</w:instrText>
      </w:r>
      <w:r>
        <w:fldChar w:fldCharType="separate"/>
      </w:r>
      <w:r>
        <w:rPr>
          <w:noProof/>
        </w:rPr>
        <w:t>3</w:t>
      </w:r>
      <w:r>
        <w:fldChar w:fldCharType="end"/>
      </w:r>
      <w:r>
        <w:t>: Map of Katunga Water Supply Protection Area</w:t>
      </w:r>
    </w:p>
    <w:p w14:paraId="31E28A09" w14:textId="77777777" w:rsidR="00C32993" w:rsidRDefault="00C32993" w:rsidP="00C32993">
      <w:pPr>
        <w:spacing w:after="0" w:line="0" w:lineRule="atLeast"/>
      </w:pPr>
      <w:r w:rsidRPr="007528C0">
        <w:rPr>
          <w:noProof/>
        </w:rPr>
        <w:drawing>
          <wp:inline distT="0" distB="0" distL="0" distR="0" wp14:anchorId="69543BF2" wp14:editId="5F8CA255">
            <wp:extent cx="6531350" cy="4608000"/>
            <wp:effectExtent l="0" t="0" r="3175" b="2540"/>
            <wp:docPr id="6" name="Picture 6" descr="The Katunga Water Supply Protection Area is located to the west of Yarrawonga and includes the towns of Katamatite, Numurkah, Nathalia, Strathmerton and Cob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Katunga Water Supply Protection Area is located to the west of Yarrawonga and includes the towns of Katamatite, Numurkah, Nathalia, Strathmerton and Cobram."/>
                    <pic:cNvPicPr/>
                  </pic:nvPicPr>
                  <pic:blipFill>
                    <a:blip r:embed="rId18"/>
                    <a:stretch>
                      <a:fillRect/>
                    </a:stretch>
                  </pic:blipFill>
                  <pic:spPr>
                    <a:xfrm>
                      <a:off x="0" y="0"/>
                      <a:ext cx="6531350" cy="4608000"/>
                    </a:xfrm>
                    <a:prstGeom prst="rect">
                      <a:avLst/>
                    </a:prstGeom>
                  </pic:spPr>
                </pic:pic>
              </a:graphicData>
            </a:graphic>
          </wp:inline>
        </w:drawing>
      </w:r>
    </w:p>
    <w:p w14:paraId="5AD65B1A" w14:textId="77777777" w:rsidR="00C32993" w:rsidRDefault="00C32993" w:rsidP="00C32993">
      <w:pPr>
        <w:spacing w:after="0" w:line="0" w:lineRule="atLeast"/>
      </w:pPr>
    </w:p>
    <w:p w14:paraId="6C71DA7F" w14:textId="77777777" w:rsidR="00C32993" w:rsidRPr="00C32993" w:rsidRDefault="00C32993" w:rsidP="00C32993">
      <w:pPr>
        <w:pStyle w:val="Caption"/>
        <w:rPr>
          <w:color w:val="4C6968" w:themeColor="text1"/>
        </w:rPr>
      </w:pPr>
      <w:r w:rsidRPr="00C32993">
        <w:rPr>
          <w:color w:val="4C6968" w:themeColor="text1"/>
        </w:rPr>
        <w:t xml:space="preserve">Source: </w:t>
      </w:r>
      <w:hyperlink r:id="rId19" w:history="1">
        <w:r w:rsidRPr="00C32993">
          <w:rPr>
            <w:color w:val="4C6968" w:themeColor="text1"/>
            <w:u w:val="single"/>
          </w:rPr>
          <w:t>Website of GMW</w:t>
        </w:r>
      </w:hyperlink>
      <w:r w:rsidRPr="00C32993">
        <w:rPr>
          <w:color w:val="4C6968" w:themeColor="text1"/>
        </w:rPr>
        <w:t xml:space="preserve"> </w:t>
      </w:r>
    </w:p>
    <w:p w14:paraId="66D8231C" w14:textId="77777777" w:rsidR="00C32993" w:rsidRDefault="00C32993" w:rsidP="00C32993">
      <w:pPr>
        <w:spacing w:after="0" w:line="0" w:lineRule="atLeast"/>
      </w:pPr>
    </w:p>
    <w:p w14:paraId="0CC7D572" w14:textId="77777777" w:rsidR="00C32993" w:rsidRDefault="00C32993" w:rsidP="00C32993">
      <w:pPr>
        <w:spacing w:after="0" w:line="0" w:lineRule="atLeast"/>
        <w:jc w:val="both"/>
      </w:pPr>
      <w:r>
        <w:t xml:space="preserve">A PCV of 60,577 ML has been declared for </w:t>
      </w:r>
      <w:r w:rsidRPr="004F6AEA">
        <w:t>the Katunga WSPA</w:t>
      </w:r>
      <w:r>
        <w:t xml:space="preserve"> under </w:t>
      </w:r>
      <w:r w:rsidRPr="004F6AEA">
        <w:t>section 22A</w:t>
      </w:r>
      <w:r w:rsidRPr="006C2BE3">
        <w:t xml:space="preserve"> of the </w:t>
      </w:r>
      <w:r w:rsidRPr="004F6AEA">
        <w:t>Victorian Water Act</w:t>
      </w:r>
      <w:r>
        <w:t xml:space="preserve"> to provide certainty on the amount of groundwater that can be extracted while also protecting water for the environment.  </w:t>
      </w:r>
    </w:p>
    <w:p w14:paraId="75B3D8E5" w14:textId="1A488AA5" w:rsidR="00700EB3" w:rsidRDefault="00700EB3">
      <w:pPr>
        <w:spacing w:after="0"/>
        <w:rPr>
          <w:color w:val="4C6968" w:themeColor="text1"/>
        </w:rPr>
      </w:pPr>
      <w:r>
        <w:br w:type="page"/>
      </w:r>
    </w:p>
    <w:p w14:paraId="3D64112C" w14:textId="77777777" w:rsidR="00E6319E" w:rsidRDefault="00E6319E" w:rsidP="00E6319E">
      <w:pPr>
        <w:pStyle w:val="Heading1"/>
      </w:pPr>
      <w:bookmarkStart w:id="8" w:name="_Toc146011115"/>
      <w:bookmarkStart w:id="9" w:name="_Toc164679858"/>
      <w:r>
        <w:lastRenderedPageBreak/>
        <w:t xml:space="preserve">Audit </w:t>
      </w:r>
      <w:proofErr w:type="gramStart"/>
      <w:r>
        <w:t>approach</w:t>
      </w:r>
      <w:bookmarkEnd w:id="8"/>
      <w:bookmarkEnd w:id="9"/>
      <w:proofErr w:type="gramEnd"/>
    </w:p>
    <w:p w14:paraId="42F391F0" w14:textId="77777777" w:rsidR="00E6319E" w:rsidRPr="006B1D13" w:rsidRDefault="00E6319E" w:rsidP="002B2DBA">
      <w:pPr>
        <w:pStyle w:val="Heading4"/>
        <w:spacing w:before="0"/>
        <w:rPr>
          <w:sz w:val="24"/>
          <w:szCs w:val="24"/>
        </w:rPr>
      </w:pPr>
      <w:r w:rsidRPr="006B1D13">
        <w:rPr>
          <w:sz w:val="24"/>
          <w:szCs w:val="24"/>
        </w:rPr>
        <w:t xml:space="preserve">Audit objective and </w:t>
      </w:r>
      <w:proofErr w:type="gramStart"/>
      <w:r w:rsidRPr="006B1D13">
        <w:rPr>
          <w:sz w:val="24"/>
          <w:szCs w:val="24"/>
        </w:rPr>
        <w:t>scope</w:t>
      </w:r>
      <w:proofErr w:type="gramEnd"/>
    </w:p>
    <w:p w14:paraId="15326C92" w14:textId="77777777" w:rsidR="00E6319E" w:rsidRPr="006C2BE3" w:rsidRDefault="00E6319E" w:rsidP="00E6319E">
      <w:pPr>
        <w:jc w:val="both"/>
      </w:pPr>
      <w:r>
        <w:t xml:space="preserve">To provide confidence in how groundwater is being managed in the </w:t>
      </w:r>
      <w:r w:rsidRPr="004F6AEA">
        <w:t>Goulburn-Murray (Groundwater) Water Resource Plan Area.</w:t>
      </w:r>
    </w:p>
    <w:p w14:paraId="4A7BE259" w14:textId="77777777" w:rsidR="00E6319E" w:rsidRDefault="00E6319E" w:rsidP="00E6319E">
      <w:pPr>
        <w:jc w:val="both"/>
      </w:pPr>
      <w:r>
        <w:t xml:space="preserve">The objective of the audit was to assess whether Goulburn-Murray Water (GMW) and DEECA) have been complying with rules in the </w:t>
      </w:r>
      <w:r w:rsidRPr="004F6AEA">
        <w:t>Goulburn-Murray Water (Groundwater) Water Resource Plan</w:t>
      </w:r>
      <w:r>
        <w:t xml:space="preserve"> in relation to </w:t>
      </w:r>
      <w:r w:rsidRPr="00FE7D1E">
        <w:rPr>
          <w:i/>
          <w:iCs/>
        </w:rPr>
        <w:t xml:space="preserve">the </w:t>
      </w:r>
      <w:r w:rsidRPr="004F6AEA">
        <w:t>Katunga WSPA</w:t>
      </w:r>
      <w:r>
        <w:t xml:space="preserve">. Specifically in relation to the trade of groundwater access rights and management of risks associated </w:t>
      </w:r>
      <w:proofErr w:type="gramStart"/>
      <w:r>
        <w:t>with;</w:t>
      </w:r>
      <w:proofErr w:type="gramEnd"/>
    </w:p>
    <w:p w14:paraId="0DA74AD9" w14:textId="77777777" w:rsidR="00E6319E" w:rsidRDefault="00E6319E" w:rsidP="006B1D13">
      <w:pPr>
        <w:pStyle w:val="ListBullet"/>
      </w:pPr>
      <w:r>
        <w:t>structural integrity of the aquifers and hydraulic relationships,</w:t>
      </w:r>
    </w:p>
    <w:p w14:paraId="65EF2A7E" w14:textId="77777777" w:rsidR="00E6319E" w:rsidRDefault="00E6319E" w:rsidP="006B1D13">
      <w:pPr>
        <w:pStyle w:val="ListBullet"/>
      </w:pPr>
      <w:r>
        <w:t>interception activity,</w:t>
      </w:r>
    </w:p>
    <w:p w14:paraId="233DFE70" w14:textId="77777777" w:rsidR="00E6319E" w:rsidRPr="007112FF" w:rsidRDefault="00E6319E" w:rsidP="006B1D13">
      <w:pPr>
        <w:pStyle w:val="ListBullet"/>
      </w:pPr>
      <w:r>
        <w:t>water quality.</w:t>
      </w:r>
    </w:p>
    <w:p w14:paraId="1C56E049" w14:textId="77777777" w:rsidR="00E6319E" w:rsidRDefault="00E6319E" w:rsidP="00E6319E">
      <w:r>
        <w:t xml:space="preserve">These rules are contained in the Victorian Water Act </w:t>
      </w:r>
      <w:r w:rsidRPr="00DA6C5B">
        <w:t xml:space="preserve">and </w:t>
      </w:r>
      <w:r w:rsidRPr="004F6AEA">
        <w:t>Katunga Groundwater Management Plan</w:t>
      </w:r>
      <w:r>
        <w:t xml:space="preserve"> (refer to Appendix A</w:t>
      </w:r>
      <w:proofErr w:type="gramStart"/>
      <w:r>
        <w:t>), and</w:t>
      </w:r>
      <w:proofErr w:type="gramEnd"/>
      <w:r>
        <w:t xml:space="preserve"> are linked to the accredited </w:t>
      </w:r>
      <w:r w:rsidRPr="004F6AEA">
        <w:t>Goulburn-Murray (Groundwater) Water Resource Plan</w:t>
      </w:r>
      <w:r>
        <w:t xml:space="preserve">. They cover the following requirements in </w:t>
      </w:r>
      <w:r w:rsidRPr="004F6AEA">
        <w:t>Chapter 10</w:t>
      </w:r>
      <w:r w:rsidRPr="006C2BE3">
        <w:t xml:space="preserve"> of the </w:t>
      </w:r>
      <w:r w:rsidRPr="004F6AEA">
        <w:t xml:space="preserve">Basin Plan </w:t>
      </w:r>
    </w:p>
    <w:p w14:paraId="4BE722F1" w14:textId="77777777" w:rsidR="00E6319E" w:rsidRPr="006B1D13" w:rsidRDefault="00E6319E" w:rsidP="006B1D13">
      <w:pPr>
        <w:pStyle w:val="ListBullet"/>
      </w:pPr>
      <w:r w:rsidRPr="006B1D13">
        <w:t>Part 4 – The sustainable use and management of water resources</w:t>
      </w:r>
    </w:p>
    <w:p w14:paraId="7D3449E5" w14:textId="77777777" w:rsidR="00E6319E" w:rsidRPr="006B1D13" w:rsidRDefault="00E6319E" w:rsidP="006B1D13">
      <w:pPr>
        <w:pStyle w:val="ListBullet"/>
      </w:pPr>
      <w:r w:rsidRPr="006B1D13">
        <w:t>Part 5 – Interception activities</w:t>
      </w:r>
    </w:p>
    <w:p w14:paraId="5A03C7EE" w14:textId="77777777" w:rsidR="00E6319E" w:rsidRPr="006B1D13" w:rsidRDefault="00E6319E" w:rsidP="006B1D13">
      <w:pPr>
        <w:pStyle w:val="ListBullet"/>
      </w:pPr>
      <w:r w:rsidRPr="006B1D13">
        <w:t>Part 7 – Water quality objectives</w:t>
      </w:r>
    </w:p>
    <w:p w14:paraId="5E19EB79" w14:textId="77777777" w:rsidR="00E6319E" w:rsidRPr="006B1D13" w:rsidRDefault="00E6319E" w:rsidP="006B1D13">
      <w:pPr>
        <w:pStyle w:val="ListBullet"/>
      </w:pPr>
      <w:r w:rsidRPr="006B1D13">
        <w:t>Part 8 – Trade of water access rights</w:t>
      </w:r>
    </w:p>
    <w:p w14:paraId="2B5D1859" w14:textId="36868861" w:rsidR="006B1D13" w:rsidRDefault="00E6319E" w:rsidP="00640D91">
      <w:pPr>
        <w:pStyle w:val="ListBullet"/>
      </w:pPr>
      <w:r w:rsidRPr="006B1D13">
        <w:t xml:space="preserve">Part 9 – Approaches to addressing risks to water </w:t>
      </w:r>
      <w:proofErr w:type="gramStart"/>
      <w:r w:rsidRPr="006B1D13">
        <w:t>resources</w:t>
      </w:r>
      <w:proofErr w:type="gramEnd"/>
    </w:p>
    <w:p w14:paraId="0EBF7D81" w14:textId="77777777" w:rsidR="002B2DBA" w:rsidRDefault="002B2DBA" w:rsidP="002B2DBA"/>
    <w:p w14:paraId="272F3C59" w14:textId="681F2AF2" w:rsidR="00E6319E" w:rsidRPr="002B2DBA" w:rsidRDefault="00E6319E" w:rsidP="006B1D13">
      <w:pPr>
        <w:pStyle w:val="Heading4"/>
        <w:rPr>
          <w:sz w:val="24"/>
          <w:szCs w:val="24"/>
        </w:rPr>
      </w:pPr>
      <w:r w:rsidRPr="002B2DBA">
        <w:rPr>
          <w:sz w:val="24"/>
          <w:szCs w:val="24"/>
        </w:rPr>
        <w:t xml:space="preserve">Audit </w:t>
      </w:r>
      <w:proofErr w:type="gramStart"/>
      <w:r w:rsidRPr="002B2DBA">
        <w:rPr>
          <w:sz w:val="24"/>
          <w:szCs w:val="24"/>
        </w:rPr>
        <w:t>methodology</w:t>
      </w:r>
      <w:proofErr w:type="gramEnd"/>
    </w:p>
    <w:p w14:paraId="5A2ADA4D" w14:textId="77777777" w:rsidR="00E6319E" w:rsidRPr="00FE7D1E" w:rsidRDefault="00E6319E" w:rsidP="00E6319E">
      <w:pPr>
        <w:jc w:val="both"/>
        <w:rPr>
          <w:i/>
          <w:iCs/>
        </w:rPr>
      </w:pPr>
      <w:r>
        <w:t xml:space="preserve">The audit has been conducted in accordance with the standards issued by the </w:t>
      </w:r>
      <w:r w:rsidRPr="00FE7D1E">
        <w:rPr>
          <w:i/>
          <w:iCs/>
        </w:rPr>
        <w:t>Australian Auditing and Assurance Standards Board (AUASB)</w:t>
      </w:r>
      <w:r>
        <w:t xml:space="preserve">, specifically the following </w:t>
      </w:r>
      <w:r w:rsidRPr="00FE7D1E">
        <w:rPr>
          <w:i/>
          <w:iCs/>
        </w:rPr>
        <w:t xml:space="preserve">Standards on Assurance Engagements (ASAE): </w:t>
      </w:r>
    </w:p>
    <w:p w14:paraId="3905B01D" w14:textId="77777777" w:rsidR="00E6319E" w:rsidRDefault="00E6319E" w:rsidP="006B1D13">
      <w:pPr>
        <w:pStyle w:val="ListBullet"/>
      </w:pPr>
      <w:r w:rsidRPr="006B1D13">
        <w:rPr>
          <w:b/>
          <w:bCs/>
        </w:rPr>
        <w:t>ASAE 3000</w:t>
      </w:r>
      <w:r>
        <w:t xml:space="preserve"> for Assurance Engagements other than Audits or Reviews of Historical Financial Information </w:t>
      </w:r>
    </w:p>
    <w:p w14:paraId="2A4210D8" w14:textId="77777777" w:rsidR="00E6319E" w:rsidRDefault="00E6319E" w:rsidP="006B1D13">
      <w:pPr>
        <w:pStyle w:val="ListBullet"/>
      </w:pPr>
      <w:r w:rsidRPr="006B1D13">
        <w:rPr>
          <w:b/>
          <w:bCs/>
        </w:rPr>
        <w:t>ASAE 3100</w:t>
      </w:r>
      <w:r>
        <w:t xml:space="preserve"> for specific Compliance Assurance Engagements. </w:t>
      </w:r>
    </w:p>
    <w:p w14:paraId="438CECCF" w14:textId="77777777" w:rsidR="00E6319E" w:rsidRDefault="00E6319E" w:rsidP="00E6319E">
      <w:pPr>
        <w:jc w:val="both"/>
      </w:pPr>
      <w:r>
        <w:t xml:space="preserve">This is a limited assurance compliance audit with the purpose to assess compliance against legislative requirements, documented policies, or procedures to identify </w:t>
      </w:r>
      <w:proofErr w:type="gramStart"/>
      <w:r>
        <w:t>whether or not</w:t>
      </w:r>
      <w:proofErr w:type="gramEnd"/>
      <w:r>
        <w:t xml:space="preserve"> specific requirements have been met. Due to the limited assurance nature of this audit, it is possible that some deviations in implementation from WRP provisions may not be detected and should not be relied upon to comprehensively identify all weaknesses, improvements, or areas of non-compliance. </w:t>
      </w:r>
    </w:p>
    <w:p w14:paraId="10659FD6" w14:textId="77777777" w:rsidR="00E6319E" w:rsidRDefault="00E6319E" w:rsidP="00E6319E">
      <w:pPr>
        <w:jc w:val="both"/>
      </w:pPr>
      <w:r>
        <w:t xml:space="preserve">Audit procedures included: </w:t>
      </w:r>
    </w:p>
    <w:p w14:paraId="25B19808" w14:textId="77777777" w:rsidR="00E6319E" w:rsidRDefault="00E6319E" w:rsidP="006B1D13">
      <w:pPr>
        <w:pStyle w:val="ListBullet"/>
      </w:pPr>
      <w:r>
        <w:t>interviews with representatives from GMW and DEECA</w:t>
      </w:r>
    </w:p>
    <w:p w14:paraId="292222BB" w14:textId="77777777" w:rsidR="00E6319E" w:rsidRDefault="00E6319E" w:rsidP="006B1D13">
      <w:pPr>
        <w:pStyle w:val="ListBullet"/>
      </w:pPr>
      <w:r>
        <w:t xml:space="preserve">review of documents including procedures, </w:t>
      </w:r>
      <w:proofErr w:type="gramStart"/>
      <w:r>
        <w:t>guidelines</w:t>
      </w:r>
      <w:proofErr w:type="gramEnd"/>
      <w:r>
        <w:t xml:space="preserve"> and manuals </w:t>
      </w:r>
    </w:p>
    <w:p w14:paraId="1D9B1FC6" w14:textId="77777777" w:rsidR="00E6319E" w:rsidRDefault="00E6319E" w:rsidP="006B1D13">
      <w:pPr>
        <w:pStyle w:val="ListBullet"/>
      </w:pPr>
      <w:r>
        <w:t xml:space="preserve">review of spreadsheets and data related to groundwater levels, water quality and water </w:t>
      </w:r>
      <w:proofErr w:type="gramStart"/>
      <w:r>
        <w:t>trading</w:t>
      </w:r>
      <w:proofErr w:type="gramEnd"/>
      <w:r>
        <w:t xml:space="preserve"> </w:t>
      </w:r>
    </w:p>
    <w:p w14:paraId="631EBF7A" w14:textId="77777777" w:rsidR="00E6319E" w:rsidRPr="004F6AEA" w:rsidRDefault="00E6319E" w:rsidP="006B1D13">
      <w:pPr>
        <w:pStyle w:val="ListBullet"/>
      </w:pPr>
      <w:r>
        <w:t xml:space="preserve">testing of GMW compliance with requirements set out in the WRP, </w:t>
      </w:r>
      <w:r w:rsidRPr="004F6AEA">
        <w:t>Victorian Water Act</w:t>
      </w:r>
      <w:r w:rsidRPr="00E84D72">
        <w:t xml:space="preserve"> and </w:t>
      </w:r>
      <w:r w:rsidRPr="004F6AEA">
        <w:t>Katunga Groundwater Management Plan</w:t>
      </w:r>
    </w:p>
    <w:p w14:paraId="1D19561C" w14:textId="77777777" w:rsidR="00E6319E" w:rsidRDefault="00E6319E" w:rsidP="00E6319E">
      <w:pPr>
        <w:jc w:val="both"/>
      </w:pPr>
      <w:r>
        <w:lastRenderedPageBreak/>
        <w:t>These procedures were carried out on a test basis to provide sufficient appropriate evidence to provide a limited assurance conclusion.</w:t>
      </w:r>
    </w:p>
    <w:p w14:paraId="6BFB9EED" w14:textId="2BE5772E" w:rsidR="002B2DBA" w:rsidRDefault="002B2DBA">
      <w:pPr>
        <w:spacing w:after="0"/>
        <w:rPr>
          <w:color w:val="4C6968" w:themeColor="text1"/>
        </w:rPr>
      </w:pPr>
      <w:r>
        <w:br w:type="page"/>
      </w:r>
    </w:p>
    <w:p w14:paraId="07C09865" w14:textId="77777777" w:rsidR="005F3C99" w:rsidRDefault="005F3C99" w:rsidP="005F3C99">
      <w:pPr>
        <w:pStyle w:val="Heading1"/>
      </w:pPr>
      <w:bookmarkStart w:id="10" w:name="_Toc146011116"/>
      <w:bookmarkStart w:id="11" w:name="_Toc164679859"/>
      <w:bookmarkStart w:id="12" w:name="_Hlk116999945"/>
      <w:r>
        <w:lastRenderedPageBreak/>
        <w:t>Requirements Tested</w:t>
      </w:r>
      <w:bookmarkEnd w:id="10"/>
      <w:bookmarkEnd w:id="11"/>
    </w:p>
    <w:p w14:paraId="02A30E79" w14:textId="77777777" w:rsidR="005F3C99" w:rsidRDefault="005F3C99" w:rsidP="005F3C99">
      <w:pPr>
        <w:pStyle w:val="Heading2"/>
      </w:pPr>
      <w:bookmarkStart w:id="13" w:name="_Toc146011117"/>
      <w:bookmarkStart w:id="14" w:name="_Toc164679860"/>
      <w:r>
        <w:t>Licence Approval</w:t>
      </w:r>
      <w:bookmarkEnd w:id="13"/>
      <w:bookmarkEnd w:id="14"/>
    </w:p>
    <w:p w14:paraId="446ED8C7" w14:textId="77777777" w:rsidR="005F3C99" w:rsidRDefault="005F3C99" w:rsidP="005F3C99">
      <w:pPr>
        <w:jc w:val="both"/>
        <w:rPr>
          <w:lang w:val="en-US"/>
        </w:rPr>
      </w:pPr>
      <w:r>
        <w:rPr>
          <w:lang w:val="en-US"/>
        </w:rPr>
        <w:t xml:space="preserve">Under the </w:t>
      </w:r>
      <w:r w:rsidRPr="004F6AEA">
        <w:rPr>
          <w:lang w:val="en-US"/>
        </w:rPr>
        <w:t>Katunga Groundwater Management Plan</w:t>
      </w:r>
      <w:r>
        <w:rPr>
          <w:lang w:val="en-US"/>
        </w:rPr>
        <w:t xml:space="preserve">, </w:t>
      </w:r>
      <w:bookmarkStart w:id="15" w:name="_Hlk117692576"/>
      <w:r>
        <w:rPr>
          <w:lang w:val="en-US"/>
        </w:rPr>
        <w:t xml:space="preserve">GMW is responsible for the approval of groundwater licenses. GMW must not approve an application if approval of the application would cause intensity or management zone limits to be exceeded (refer to Prescription 1 – Appendix A). </w:t>
      </w:r>
      <w:bookmarkEnd w:id="15"/>
      <w:r>
        <w:rPr>
          <w:lang w:val="en-US"/>
        </w:rPr>
        <w:t xml:space="preserve">This is in addition to the requirement in </w:t>
      </w:r>
      <w:r w:rsidRPr="004F6AEA">
        <w:rPr>
          <w:lang w:val="en-US"/>
        </w:rPr>
        <w:t>section 55(2B)</w:t>
      </w:r>
      <w:r w:rsidRPr="00E84D72">
        <w:rPr>
          <w:lang w:val="en-US"/>
        </w:rPr>
        <w:t xml:space="preserve"> of the </w:t>
      </w:r>
      <w:r w:rsidRPr="004F6AEA">
        <w:rPr>
          <w:lang w:val="en-US"/>
        </w:rPr>
        <w:t>Victorian Water Act,</w:t>
      </w:r>
      <w:r w:rsidRPr="00DC44BD">
        <w:rPr>
          <w:i/>
          <w:iCs/>
          <w:lang w:val="en-US"/>
        </w:rPr>
        <w:t xml:space="preserve"> </w:t>
      </w:r>
      <w:r w:rsidRPr="00FE7D1E">
        <w:rPr>
          <w:lang w:val="en-US"/>
        </w:rPr>
        <w:t>that</w:t>
      </w:r>
      <w:r w:rsidRPr="00213BBB">
        <w:rPr>
          <w:lang w:val="en-US"/>
        </w:rPr>
        <w:t xml:space="preserve"> </w:t>
      </w:r>
      <w:r>
        <w:rPr>
          <w:lang w:val="en-US"/>
        </w:rPr>
        <w:t xml:space="preserve">an application must be refused if the allocation of water under the </w:t>
      </w:r>
      <w:proofErr w:type="spellStart"/>
      <w:r>
        <w:rPr>
          <w:lang w:val="en-US"/>
        </w:rPr>
        <w:t>licence</w:t>
      </w:r>
      <w:proofErr w:type="spellEnd"/>
      <w:r>
        <w:rPr>
          <w:lang w:val="en-US"/>
        </w:rPr>
        <w:t xml:space="preserve"> will or may result in the PCV for the area being exceeded. </w:t>
      </w:r>
    </w:p>
    <w:p w14:paraId="6B7F1333" w14:textId="77777777" w:rsidR="005F3C99" w:rsidRDefault="005F3C99" w:rsidP="005F3C99">
      <w:r>
        <w:t xml:space="preserve">During the audit, the IGWC identified that no new licences for entitlements have been issued since 1 July 2019. As no new licences for entitlements have been issued since the Water Resource Plan was accredited, testing of decisions against what’s required by the </w:t>
      </w:r>
      <w:r w:rsidRPr="004F6AEA">
        <w:t>Victorian Water Act</w:t>
      </w:r>
      <w:r w:rsidRPr="00E84D72">
        <w:t xml:space="preserve"> and </w:t>
      </w:r>
      <w:r w:rsidRPr="004F6AEA">
        <w:t>Katunga Groundwater Management Plan</w:t>
      </w:r>
      <w:r>
        <w:t xml:space="preserve"> were not necessary.     </w:t>
      </w:r>
    </w:p>
    <w:p w14:paraId="05107242" w14:textId="77777777" w:rsidR="005F3C99" w:rsidRDefault="005F3C99" w:rsidP="005F3C99">
      <w:pPr>
        <w:jc w:val="both"/>
        <w:rPr>
          <w:szCs w:val="20"/>
        </w:rPr>
      </w:pPr>
      <w:r>
        <w:rPr>
          <w:szCs w:val="20"/>
        </w:rPr>
        <w:t xml:space="preserve">Information on current licence records and total licences issued are available from the Victorian Water Register. This is the register which captures water resource assessment requirements and is the accounting system through which all licence and trading applications are processed. </w:t>
      </w:r>
    </w:p>
    <w:p w14:paraId="62FC02A6" w14:textId="77777777" w:rsidR="005F3C99" w:rsidRDefault="005F3C99" w:rsidP="005F3C99">
      <w:pPr>
        <w:jc w:val="both"/>
        <w:rPr>
          <w:szCs w:val="20"/>
        </w:rPr>
      </w:pPr>
      <w:r>
        <w:rPr>
          <w:szCs w:val="20"/>
        </w:rPr>
        <w:t xml:space="preserve">A review of the Victorian Water Register identified that as </w:t>
      </w:r>
      <w:proofErr w:type="gramStart"/>
      <w:r>
        <w:rPr>
          <w:szCs w:val="20"/>
        </w:rPr>
        <w:t>at</w:t>
      </w:r>
      <w:proofErr w:type="gramEnd"/>
      <w:r>
        <w:rPr>
          <w:szCs w:val="20"/>
        </w:rPr>
        <w:t xml:space="preserve"> 11 July 2022, the total volume under all licences issued was 60,635.7 Megalitres (ML). While this volume exceeds the PCV for the </w:t>
      </w:r>
      <w:r w:rsidRPr="00FE7D1E">
        <w:rPr>
          <w:i/>
          <w:iCs/>
          <w:szCs w:val="20"/>
        </w:rPr>
        <w:t>Katunga WSPA</w:t>
      </w:r>
      <w:r>
        <w:rPr>
          <w:szCs w:val="20"/>
        </w:rPr>
        <w:t>, it included three accounting entries for 434 ML to enable system functionality for reducing entitlement volume forfeited during trades between 2006 – 2017. Removal of this amount from total volume identified on the Victorian Water Register means that it is only 60,202 ML of water currently available to landholders.</w:t>
      </w:r>
    </w:p>
    <w:p w14:paraId="0EFB833C" w14:textId="77777777" w:rsidR="00471800" w:rsidRDefault="005F3C99" w:rsidP="005F3C99">
      <w:pPr>
        <w:jc w:val="both"/>
        <w:rPr>
          <w:szCs w:val="20"/>
        </w:rPr>
      </w:pPr>
      <w:r>
        <w:rPr>
          <w:szCs w:val="20"/>
        </w:rPr>
        <w:t xml:space="preserve">The IGWC understands that these </w:t>
      </w:r>
      <w:r w:rsidRPr="00023D32">
        <w:rPr>
          <w:szCs w:val="20"/>
        </w:rPr>
        <w:t xml:space="preserve">accounting entries have </w:t>
      </w:r>
      <w:r>
        <w:rPr>
          <w:szCs w:val="20"/>
        </w:rPr>
        <w:t xml:space="preserve">since </w:t>
      </w:r>
      <w:r w:rsidRPr="00023D32">
        <w:rPr>
          <w:szCs w:val="20"/>
        </w:rPr>
        <w:t xml:space="preserve">been removed from the Victorian Water Register </w:t>
      </w:r>
      <w:r>
        <w:rPr>
          <w:szCs w:val="20"/>
        </w:rPr>
        <w:t xml:space="preserve">and </w:t>
      </w:r>
      <w:r w:rsidRPr="00023D32">
        <w:rPr>
          <w:szCs w:val="20"/>
        </w:rPr>
        <w:t>are no longer included in the current volume of entitlement on issue in the Katunga WSPA</w:t>
      </w:r>
      <w:r>
        <w:rPr>
          <w:szCs w:val="20"/>
        </w:rPr>
        <w:t xml:space="preserve">.   </w:t>
      </w:r>
    </w:p>
    <w:p w14:paraId="58B6F334" w14:textId="61A84211" w:rsidR="005F3C99" w:rsidRDefault="005F3C99" w:rsidP="005F3C99">
      <w:pPr>
        <w:jc w:val="both"/>
        <w:rPr>
          <w:szCs w:val="20"/>
        </w:rPr>
      </w:pPr>
      <w:r>
        <w:rPr>
          <w:szCs w:val="20"/>
        </w:rPr>
        <w:t xml:space="preserve">   </w:t>
      </w:r>
    </w:p>
    <w:p w14:paraId="7D9CE62E" w14:textId="6F063C3F" w:rsidR="005F3C99" w:rsidRPr="00C44AD6" w:rsidRDefault="002A6C5A" w:rsidP="00C2085C">
      <w:pPr>
        <w:rPr>
          <w:rStyle w:val="Strong"/>
          <w:color w:val="4C6968" w:themeColor="text1"/>
        </w:rPr>
      </w:pPr>
      <w:r w:rsidRPr="002A6C5A">
        <w:rPr>
          <w:rStyle w:val="IntenseReference"/>
        </w:rPr>
        <w:t>OBSERVATION</w:t>
      </w:r>
    </w:p>
    <w:p w14:paraId="0737802E" w14:textId="77777777" w:rsidR="005F3C99" w:rsidRDefault="005F3C99" w:rsidP="00C2085C">
      <w:pPr>
        <w:rPr>
          <w:b/>
          <w:bCs/>
          <w:szCs w:val="20"/>
        </w:rPr>
      </w:pPr>
      <w:r w:rsidRPr="00AB0DEB">
        <w:rPr>
          <w:szCs w:val="20"/>
        </w:rPr>
        <w:t xml:space="preserve">GMW should consider including information on their website to explain why no new licences have been issued in the Katunga WSPA since 2006. </w:t>
      </w:r>
      <w:r>
        <w:rPr>
          <w:szCs w:val="20"/>
        </w:rPr>
        <w:t xml:space="preserve">This would increase public knowledge on how groundwater is managed in the region and provide a greater understanding for those seeking new licences in the area.  </w:t>
      </w:r>
    </w:p>
    <w:p w14:paraId="773D15C9" w14:textId="77777777" w:rsidR="005F3C99" w:rsidRPr="003943AF" w:rsidRDefault="005F3C99" w:rsidP="00C2085C"/>
    <w:bookmarkEnd w:id="12"/>
    <w:p w14:paraId="7D79BF3F" w14:textId="77777777" w:rsidR="005F3C99" w:rsidRDefault="005F3C99" w:rsidP="005F3C99">
      <w:pPr>
        <w:spacing w:after="0"/>
      </w:pPr>
    </w:p>
    <w:p w14:paraId="42AABE36" w14:textId="77777777" w:rsidR="005F3C99" w:rsidRDefault="005F3C99" w:rsidP="005F3C99">
      <w:pPr>
        <w:spacing w:after="0"/>
      </w:pPr>
    </w:p>
    <w:p w14:paraId="2B4FEDDE" w14:textId="77777777" w:rsidR="005F3C99" w:rsidRDefault="005F3C99" w:rsidP="005F3C99">
      <w:pPr>
        <w:spacing w:after="0"/>
      </w:pPr>
      <w:r>
        <w:br w:type="page"/>
      </w:r>
    </w:p>
    <w:p w14:paraId="346525BB" w14:textId="77777777" w:rsidR="005F3C99" w:rsidRDefault="005F3C99" w:rsidP="002A6C5A">
      <w:pPr>
        <w:pStyle w:val="Heading2"/>
      </w:pPr>
      <w:bookmarkStart w:id="16" w:name="_Toc146011118"/>
      <w:bookmarkStart w:id="17" w:name="_Toc164679861"/>
      <w:bookmarkStart w:id="18" w:name="_Hlk116999962"/>
      <w:r>
        <w:lastRenderedPageBreak/>
        <w:t>Allocation Announcements</w:t>
      </w:r>
      <w:bookmarkEnd w:id="16"/>
      <w:bookmarkEnd w:id="17"/>
    </w:p>
    <w:p w14:paraId="276546BC" w14:textId="77777777" w:rsidR="005F3C99" w:rsidRDefault="005F3C99" w:rsidP="005F3C99">
      <w:pPr>
        <w:jc w:val="both"/>
        <w:rPr>
          <w:lang w:val="en-US"/>
        </w:rPr>
      </w:pPr>
      <w:r>
        <w:rPr>
          <w:lang w:val="en-US"/>
        </w:rPr>
        <w:t xml:space="preserve">To minimize the potential impacts </w:t>
      </w:r>
      <w:r w:rsidRPr="00D3270D">
        <w:rPr>
          <w:lang w:val="en-US"/>
        </w:rPr>
        <w:t>on the long-term sustainability of the groundwater</w:t>
      </w:r>
      <w:r>
        <w:rPr>
          <w:lang w:val="en-US"/>
        </w:rPr>
        <w:t xml:space="preserve"> </w:t>
      </w:r>
      <w:r w:rsidRPr="00D3270D">
        <w:rPr>
          <w:lang w:val="en-US"/>
        </w:rPr>
        <w:t>resource for groundwater users, trigger levels for restrictions on groundwater</w:t>
      </w:r>
      <w:r>
        <w:rPr>
          <w:lang w:val="en-US"/>
        </w:rPr>
        <w:t xml:space="preserve"> </w:t>
      </w:r>
      <w:r w:rsidRPr="00D3270D">
        <w:rPr>
          <w:lang w:val="en-US"/>
        </w:rPr>
        <w:t>extraction have been set</w:t>
      </w:r>
      <w:r>
        <w:rPr>
          <w:lang w:val="en-US"/>
        </w:rPr>
        <w:t xml:space="preserve"> (refer to </w:t>
      </w:r>
      <w:r w:rsidRPr="004F6AEA">
        <w:rPr>
          <w:lang w:val="en-US"/>
        </w:rPr>
        <w:t>Prescription 2</w:t>
      </w:r>
      <w:r>
        <w:rPr>
          <w:lang w:val="en-US"/>
        </w:rPr>
        <w:t xml:space="preserve"> – Appendix A)</w:t>
      </w:r>
      <w:r w:rsidRPr="00D3270D">
        <w:rPr>
          <w:lang w:val="en-US"/>
        </w:rPr>
        <w:t>.</w:t>
      </w:r>
      <w:r>
        <w:rPr>
          <w:lang w:val="en-US"/>
        </w:rPr>
        <w:t xml:space="preserve"> </w:t>
      </w:r>
      <w:r w:rsidRPr="00D3270D">
        <w:rPr>
          <w:lang w:val="en-US"/>
        </w:rPr>
        <w:t xml:space="preserve">Restrictions on licensed groundwater extraction </w:t>
      </w:r>
      <w:r>
        <w:rPr>
          <w:lang w:val="en-US"/>
        </w:rPr>
        <w:t>are</w:t>
      </w:r>
      <w:r w:rsidRPr="00D3270D">
        <w:rPr>
          <w:lang w:val="en-US"/>
        </w:rPr>
        <w:t xml:space="preserve"> introduced through allocations announced at the start of each water season.</w:t>
      </w:r>
      <w:r>
        <w:rPr>
          <w:lang w:val="en-US"/>
        </w:rPr>
        <w:t xml:space="preserve"> </w:t>
      </w:r>
    </w:p>
    <w:p w14:paraId="73575EEE" w14:textId="77777777" w:rsidR="005F3C99" w:rsidRPr="004F6AEA" w:rsidRDefault="005F3C99" w:rsidP="005F3C99">
      <w:pPr>
        <w:jc w:val="both"/>
        <w:rPr>
          <w:lang w:val="en-US"/>
        </w:rPr>
      </w:pPr>
      <w:r>
        <w:rPr>
          <w:lang w:val="en-US"/>
        </w:rPr>
        <w:t xml:space="preserve">In the </w:t>
      </w:r>
      <w:r w:rsidRPr="004F6AEA">
        <w:rPr>
          <w:lang w:val="en-US"/>
        </w:rPr>
        <w:t>Katunga WSPA</w:t>
      </w:r>
      <w:r>
        <w:rPr>
          <w:lang w:val="en-US"/>
        </w:rPr>
        <w:t>,</w:t>
      </w:r>
      <w:r w:rsidRPr="00F5091C">
        <w:t xml:space="preserve"> </w:t>
      </w:r>
      <w:r w:rsidRPr="00F5091C">
        <w:rPr>
          <w:lang w:val="en-US"/>
        </w:rPr>
        <w:t>allocations are determined by comparing the rolling five</w:t>
      </w:r>
      <w:r>
        <w:rPr>
          <w:lang w:val="en-US"/>
        </w:rPr>
        <w:t>-</w:t>
      </w:r>
      <w:r w:rsidRPr="00F5091C">
        <w:rPr>
          <w:lang w:val="en-US"/>
        </w:rPr>
        <w:t>year average of the maximum annual groundwater recovery levels recorded in seven key monitoring bores against set</w:t>
      </w:r>
      <w:r>
        <w:rPr>
          <w:lang w:val="en-US"/>
        </w:rPr>
        <w:t xml:space="preserve"> </w:t>
      </w:r>
      <w:r w:rsidRPr="00F5091C">
        <w:rPr>
          <w:lang w:val="en-US"/>
        </w:rPr>
        <w:t>groundwater trigger levels</w:t>
      </w:r>
      <w:r>
        <w:rPr>
          <w:lang w:val="en-US"/>
        </w:rPr>
        <w:t xml:space="preserve"> (refer to Appendix B). These bores are listed in </w:t>
      </w:r>
      <w:r w:rsidRPr="004F6AEA">
        <w:rPr>
          <w:lang w:val="en-US"/>
        </w:rPr>
        <w:t>Schedule 1</w:t>
      </w:r>
      <w:r w:rsidRPr="00E84D72">
        <w:rPr>
          <w:lang w:val="en-US"/>
        </w:rPr>
        <w:t xml:space="preserve"> of </w:t>
      </w:r>
      <w:r w:rsidRPr="004F6AEA">
        <w:rPr>
          <w:lang w:val="en-US"/>
        </w:rPr>
        <w:t xml:space="preserve">the Katunga Groundwater Management Plan. </w:t>
      </w:r>
    </w:p>
    <w:p w14:paraId="79E1B8FC" w14:textId="77777777" w:rsidR="005F3C99" w:rsidRDefault="005F3C99" w:rsidP="005F3C99">
      <w:pPr>
        <w:jc w:val="both"/>
        <w:rPr>
          <w:lang w:val="en-US"/>
        </w:rPr>
      </w:pPr>
      <w:r>
        <w:rPr>
          <w:lang w:val="en-US"/>
        </w:rPr>
        <w:t xml:space="preserve">Information on maximum annual groundwater recovery levels recorded and how rolling averages are calculated is captured in the annual report prepared for the </w:t>
      </w:r>
      <w:r w:rsidRPr="004F6AEA">
        <w:rPr>
          <w:lang w:val="en-US"/>
        </w:rPr>
        <w:t>Katunga WSPA</w:t>
      </w:r>
      <w:r>
        <w:rPr>
          <w:lang w:val="en-US"/>
        </w:rPr>
        <w:t xml:space="preserve">. There is also public access to this information through the WMIS. </w:t>
      </w:r>
    </w:p>
    <w:p w14:paraId="6382845F" w14:textId="77777777" w:rsidR="005F3C99" w:rsidRDefault="005F3C99" w:rsidP="005F3C99">
      <w:pPr>
        <w:jc w:val="both"/>
        <w:rPr>
          <w:lang w:val="en-US"/>
        </w:rPr>
      </w:pPr>
      <w:r>
        <w:rPr>
          <w:lang w:val="en-US"/>
        </w:rPr>
        <w:t>Comparison of information on maximum annual groundwater recovery levels and rolling average calculations in the annual report for 2020/21 identified discrepancies with data available from the WMIS</w:t>
      </w:r>
      <w:r w:rsidRPr="00E84D72">
        <w:rPr>
          <w:lang w:val="en-US"/>
        </w:rPr>
        <w:t xml:space="preserve">. </w:t>
      </w:r>
      <w:r>
        <w:rPr>
          <w:lang w:val="en-US"/>
        </w:rPr>
        <w:t xml:space="preserve">This was primarily the result of GMW not having access to validated telemetry data when the annual report was prepared.   </w:t>
      </w:r>
    </w:p>
    <w:p w14:paraId="211D0ED9" w14:textId="77777777" w:rsidR="005F3C99" w:rsidRDefault="005F3C99" w:rsidP="005F3C99">
      <w:pPr>
        <w:jc w:val="both"/>
        <w:rPr>
          <w:lang w:val="en-US"/>
        </w:rPr>
      </w:pPr>
      <w:r>
        <w:rPr>
          <w:lang w:val="en-US"/>
        </w:rPr>
        <w:t xml:space="preserve">While the discrepancies identified did not impact the allocations announced, the ability to accurately reconcile information published on maximum groundwater recovery levels and rolling average calculations to other public data sources is critical to providing confidence in how they were determined.     </w:t>
      </w:r>
    </w:p>
    <w:p w14:paraId="72CF689B" w14:textId="77777777" w:rsidR="005F3C99" w:rsidRDefault="005F3C99" w:rsidP="005F3C99">
      <w:pPr>
        <w:jc w:val="both"/>
        <w:rPr>
          <w:lang w:val="en-US"/>
        </w:rPr>
      </w:pPr>
      <w:r>
        <w:rPr>
          <w:lang w:val="en-US"/>
        </w:rPr>
        <w:t xml:space="preserve">All allocations are announced by listing on the website of GMW, letters sent to all </w:t>
      </w:r>
      <w:proofErr w:type="spellStart"/>
      <w:r>
        <w:rPr>
          <w:lang w:val="en-US"/>
        </w:rPr>
        <w:t>licence</w:t>
      </w:r>
      <w:proofErr w:type="spellEnd"/>
      <w:r>
        <w:rPr>
          <w:lang w:val="en-US"/>
        </w:rPr>
        <w:t xml:space="preserve"> holders and public notices placed in local newspapers. </w:t>
      </w:r>
    </w:p>
    <w:p w14:paraId="31E58B9A" w14:textId="4E747ED4" w:rsidR="005F3C99" w:rsidRPr="00B02355" w:rsidRDefault="00B02355" w:rsidP="00B02355">
      <w:pPr>
        <w:rPr>
          <w:rStyle w:val="IntenseReference"/>
        </w:rPr>
      </w:pPr>
      <w:r w:rsidRPr="00B02355">
        <w:rPr>
          <w:rStyle w:val="IntenseReference"/>
        </w:rPr>
        <w:t>FINDING</w:t>
      </w:r>
    </w:p>
    <w:p w14:paraId="4E29522F" w14:textId="77777777" w:rsidR="005F3C99" w:rsidRPr="00B02355" w:rsidRDefault="005F3C99" w:rsidP="00B02355">
      <w:r w:rsidRPr="00B02355">
        <w:t xml:space="preserve">Information used to determine allocation announcements for the Katunga WSPA differs between the Katunga WSPA annual report and WMIS. This may lead to requirements as set out in the Katunga Groundwater   Management Plan Prescription 2(a) not being met. </w:t>
      </w:r>
    </w:p>
    <w:bookmarkEnd w:id="18"/>
    <w:p w14:paraId="74FD8480" w14:textId="77777777" w:rsidR="005F3C99" w:rsidRDefault="005F3C99" w:rsidP="005F3C99">
      <w:pPr>
        <w:spacing w:after="0"/>
      </w:pPr>
    </w:p>
    <w:p w14:paraId="3F8055E1" w14:textId="77777777" w:rsidR="005F3C99" w:rsidRDefault="005F3C99" w:rsidP="00B02355">
      <w:pPr>
        <w:pStyle w:val="Heading2"/>
      </w:pPr>
      <w:bookmarkStart w:id="19" w:name="_Toc146011119"/>
      <w:bookmarkStart w:id="20" w:name="_Toc164679862"/>
      <w:r>
        <w:t>Trading Activity</w:t>
      </w:r>
      <w:bookmarkEnd w:id="19"/>
      <w:bookmarkEnd w:id="20"/>
    </w:p>
    <w:p w14:paraId="396B5F2C" w14:textId="77777777" w:rsidR="005F3C99" w:rsidRDefault="005F3C99" w:rsidP="005F3C99">
      <w:pPr>
        <w:jc w:val="both"/>
        <w:rPr>
          <w:lang w:val="en-US"/>
        </w:rPr>
      </w:pPr>
      <w:proofErr w:type="spellStart"/>
      <w:r>
        <w:rPr>
          <w:lang w:val="en-US"/>
        </w:rPr>
        <w:t>Licence</w:t>
      </w:r>
      <w:proofErr w:type="spellEnd"/>
      <w:r>
        <w:rPr>
          <w:lang w:val="en-US"/>
        </w:rPr>
        <w:t xml:space="preserve"> holders may apply to transfer their </w:t>
      </w:r>
      <w:proofErr w:type="spellStart"/>
      <w:r>
        <w:rPr>
          <w:lang w:val="en-US"/>
        </w:rPr>
        <w:t>licence</w:t>
      </w:r>
      <w:proofErr w:type="spellEnd"/>
      <w:r>
        <w:rPr>
          <w:lang w:val="en-US"/>
        </w:rPr>
        <w:t xml:space="preserve"> to another person or entity either temporarily or permanently. This encourages more efficient water use and provides buyers and sellers with choice and flexibility in business decision making and risk management to increase productivity. </w:t>
      </w:r>
    </w:p>
    <w:p w14:paraId="672EEAEE" w14:textId="316695AA" w:rsidR="005F3C99" w:rsidRDefault="005F3C99" w:rsidP="005F3C99">
      <w:pPr>
        <w:jc w:val="both"/>
        <w:rPr>
          <w:lang w:val="en-US"/>
        </w:rPr>
      </w:pPr>
      <w:r>
        <w:rPr>
          <w:lang w:val="en-US"/>
        </w:rPr>
        <w:t xml:space="preserve">Consistent with new </w:t>
      </w:r>
      <w:proofErr w:type="spellStart"/>
      <w:r>
        <w:rPr>
          <w:lang w:val="en-US"/>
        </w:rPr>
        <w:t>licence</w:t>
      </w:r>
      <w:proofErr w:type="spellEnd"/>
      <w:r>
        <w:rPr>
          <w:lang w:val="en-US"/>
        </w:rPr>
        <w:t xml:space="preserve"> applications, GMW will not approve an application for the temporary or permanent trade of a </w:t>
      </w:r>
      <w:proofErr w:type="spellStart"/>
      <w:r>
        <w:rPr>
          <w:lang w:val="en-US"/>
        </w:rPr>
        <w:t>licence</w:t>
      </w:r>
      <w:proofErr w:type="spellEnd"/>
      <w:r>
        <w:rPr>
          <w:lang w:val="en-US"/>
        </w:rPr>
        <w:t xml:space="preserve"> unless requirements of the </w:t>
      </w:r>
      <w:r w:rsidRPr="004F6AEA">
        <w:rPr>
          <w:lang w:val="en-US"/>
        </w:rPr>
        <w:t>Katunga Groundwater Management Plan</w:t>
      </w:r>
      <w:r w:rsidRPr="00E84D72">
        <w:rPr>
          <w:lang w:val="en-US"/>
        </w:rPr>
        <w:t xml:space="preserve"> and </w:t>
      </w:r>
      <w:r w:rsidRPr="004F6AEA">
        <w:rPr>
          <w:lang w:val="en-US"/>
        </w:rPr>
        <w:t>Victorian Water Act</w:t>
      </w:r>
      <w:r>
        <w:rPr>
          <w:lang w:val="en-US"/>
        </w:rPr>
        <w:t xml:space="preserve"> have been met. This includes intensity and management zone limits (refer to </w:t>
      </w:r>
      <w:r w:rsidRPr="00FE7D1E">
        <w:rPr>
          <w:i/>
          <w:iCs/>
          <w:lang w:val="en-US"/>
        </w:rPr>
        <w:t>Prescription 3</w:t>
      </w:r>
      <w:r>
        <w:rPr>
          <w:lang w:val="en-US"/>
        </w:rPr>
        <w:t xml:space="preserve"> – Appendix A) and trading rules captured in the Victorian Water Register for processing of applications received. </w:t>
      </w:r>
      <w:r w:rsidRPr="00B66813">
        <w:rPr>
          <w:lang w:val="en-US"/>
        </w:rPr>
        <w:t xml:space="preserve">There are also </w:t>
      </w:r>
      <w:r>
        <w:rPr>
          <w:lang w:val="en-US"/>
        </w:rPr>
        <w:t>water trading</w:t>
      </w:r>
      <w:r w:rsidRPr="00B66813">
        <w:rPr>
          <w:lang w:val="en-US"/>
        </w:rPr>
        <w:t xml:space="preserve"> rules in the </w:t>
      </w:r>
      <w:r w:rsidRPr="004F6AEA">
        <w:rPr>
          <w:iCs/>
          <w:lang w:val="en-US"/>
        </w:rPr>
        <w:t>Basin Plan</w:t>
      </w:r>
      <w:r w:rsidRPr="00B66813">
        <w:rPr>
          <w:lang w:val="en-US"/>
        </w:rPr>
        <w:t xml:space="preserve"> that include the requirement to assess whether there is sufficient hydraulic connectivit</w:t>
      </w:r>
      <w:r w:rsidRPr="00B851D2">
        <w:rPr>
          <w:lang w:val="en-US"/>
        </w:rPr>
        <w:t>y between the location of the seller and location of the buyer before the trade of groundwater is</w:t>
      </w:r>
      <w:r>
        <w:rPr>
          <w:lang w:val="en-US"/>
        </w:rPr>
        <w:t xml:space="preserve"> </w:t>
      </w:r>
      <w:r w:rsidRPr="00B851D2">
        <w:rPr>
          <w:lang w:val="en-US"/>
        </w:rPr>
        <w:t>approved</w:t>
      </w:r>
      <w:r w:rsidRPr="00B851D2">
        <w:rPr>
          <w:rStyle w:val="FootnoteReference"/>
          <w:lang w:val="en-US"/>
        </w:rPr>
        <w:footnoteReference w:id="1"/>
      </w:r>
      <w:r w:rsidRPr="00B851D2">
        <w:rPr>
          <w:lang w:val="en-US"/>
        </w:rPr>
        <w:t>.</w:t>
      </w:r>
      <w:r>
        <w:rPr>
          <w:lang w:val="en-US"/>
        </w:rPr>
        <w:t xml:space="preserve"> </w:t>
      </w:r>
    </w:p>
    <w:p w14:paraId="59D0F909" w14:textId="77777777" w:rsidR="00DF3E05" w:rsidRDefault="00DF3E05" w:rsidP="00DF3E05">
      <w:pPr>
        <w:pStyle w:val="TableHeading"/>
        <w:rPr>
          <w:lang w:val="en-US"/>
        </w:rPr>
      </w:pPr>
    </w:p>
    <w:p w14:paraId="2196CA9C" w14:textId="77777777" w:rsidR="00DF3E05" w:rsidRDefault="00DF3E05" w:rsidP="00DF3E05">
      <w:pPr>
        <w:pStyle w:val="TableHeading"/>
        <w:rPr>
          <w:lang w:val="en-US"/>
        </w:rPr>
      </w:pPr>
    </w:p>
    <w:p w14:paraId="0BFE177B" w14:textId="40EEBB5E" w:rsidR="00DF3E05" w:rsidRPr="004F6AEA" w:rsidRDefault="00DF3E05" w:rsidP="00DF3E05">
      <w:pPr>
        <w:pStyle w:val="TableHeading"/>
        <w:rPr>
          <w:lang w:val="en-US"/>
        </w:rPr>
      </w:pPr>
      <w:r w:rsidRPr="004F6AEA">
        <w:rPr>
          <w:lang w:val="en-US"/>
        </w:rPr>
        <w:lastRenderedPageBreak/>
        <w:t>Section 1.07 of the Basin Plan defines hydraulic connectivity:</w:t>
      </w:r>
    </w:p>
    <w:p w14:paraId="2DD77CDC" w14:textId="3BBD1644" w:rsidR="00DF3E05" w:rsidRPr="004F6AEA" w:rsidRDefault="00DF3E05" w:rsidP="00DF3E05">
      <w:pPr>
        <w:rPr>
          <w:lang w:val="en-US"/>
        </w:rPr>
      </w:pPr>
      <w:r>
        <w:rPr>
          <w:lang w:val="en-US"/>
        </w:rPr>
        <w:t>“</w:t>
      </w:r>
      <w:r w:rsidRPr="004F6AEA">
        <w:rPr>
          <w:lang w:val="en-US"/>
        </w:rPr>
        <w:t>Hydraulic connectivity means the ease with which, or the rate at which, groundwater moves:</w:t>
      </w:r>
    </w:p>
    <w:p w14:paraId="3EDDE016" w14:textId="77777777" w:rsidR="00DF3E05" w:rsidRPr="004F6AEA" w:rsidRDefault="00DF3E05" w:rsidP="00640D91">
      <w:pPr>
        <w:pStyle w:val="ListNumber"/>
        <w:numPr>
          <w:ilvl w:val="0"/>
          <w:numId w:val="8"/>
        </w:numPr>
        <w:rPr>
          <w:lang w:val="en-US"/>
        </w:rPr>
      </w:pPr>
      <w:r w:rsidRPr="004F6AEA">
        <w:rPr>
          <w:lang w:val="en-US"/>
        </w:rPr>
        <w:t xml:space="preserve">within an </w:t>
      </w:r>
      <w:proofErr w:type="gramStart"/>
      <w:r w:rsidRPr="004F6AEA">
        <w:rPr>
          <w:lang w:val="en-US"/>
        </w:rPr>
        <w:t>aquifer;</w:t>
      </w:r>
      <w:proofErr w:type="gramEnd"/>
    </w:p>
    <w:p w14:paraId="60EA6F80" w14:textId="77777777" w:rsidR="00DF3E05" w:rsidRPr="004F6AEA" w:rsidRDefault="00DF3E05" w:rsidP="00640D91">
      <w:pPr>
        <w:pStyle w:val="ListNumber"/>
        <w:numPr>
          <w:ilvl w:val="0"/>
          <w:numId w:val="8"/>
        </w:numPr>
        <w:rPr>
          <w:lang w:val="en-US"/>
        </w:rPr>
      </w:pPr>
      <w:r w:rsidRPr="004F6AEA">
        <w:rPr>
          <w:lang w:val="en-US"/>
        </w:rPr>
        <w:t>between aquifers; or</w:t>
      </w:r>
    </w:p>
    <w:p w14:paraId="1CC47498" w14:textId="77777777" w:rsidR="00DF3E05" w:rsidRDefault="00DF3E05" w:rsidP="00640D91">
      <w:pPr>
        <w:pStyle w:val="ListNumber"/>
        <w:numPr>
          <w:ilvl w:val="0"/>
          <w:numId w:val="8"/>
        </w:numPr>
        <w:rPr>
          <w:lang w:val="en-US"/>
        </w:rPr>
      </w:pPr>
      <w:r w:rsidRPr="004F6AEA">
        <w:rPr>
          <w:lang w:val="en-US"/>
        </w:rPr>
        <w:t>between aquifers and the adjacent or overlying surface water systems.</w:t>
      </w:r>
    </w:p>
    <w:p w14:paraId="6709E455" w14:textId="77777777" w:rsidR="00DF3E05" w:rsidRPr="00FE7D1E" w:rsidRDefault="00DF3E05" w:rsidP="00DF3E05">
      <w:r w:rsidRPr="00FE7D1E">
        <w:rPr>
          <w:lang w:val="en-US"/>
        </w:rPr>
        <w:t>Groundwater trade between two locations that have low or no hydraulic connectivity can lead to increased leakage between aquifers and reduced groundwater levels in other production bores in the area. This may increase the cost of, or even prevent, groundwater access for other users and affect water quality.</w:t>
      </w:r>
    </w:p>
    <w:p w14:paraId="157E6514" w14:textId="77777777" w:rsidR="00DF3E05" w:rsidRPr="00FE7D1E" w:rsidRDefault="00DF3E05" w:rsidP="00DF3E05">
      <w:pPr>
        <w:rPr>
          <w:lang w:val="en-US"/>
        </w:rPr>
      </w:pPr>
      <w:r w:rsidRPr="00FE7D1E">
        <w:rPr>
          <w:lang w:val="en-US"/>
        </w:rPr>
        <w:t xml:space="preserve">The relatively high reliability of </w:t>
      </w:r>
      <w:r>
        <w:rPr>
          <w:lang w:val="en-US"/>
        </w:rPr>
        <w:t xml:space="preserve">some </w:t>
      </w:r>
      <w:r w:rsidRPr="00FE7D1E">
        <w:rPr>
          <w:lang w:val="en-US"/>
        </w:rPr>
        <w:t>groundwater</w:t>
      </w:r>
      <w:r>
        <w:rPr>
          <w:lang w:val="en-US"/>
        </w:rPr>
        <w:t xml:space="preserve"> systems</w:t>
      </w:r>
      <w:r w:rsidRPr="00FE7D1E">
        <w:rPr>
          <w:lang w:val="en-US"/>
        </w:rPr>
        <w:t xml:space="preserve"> makes it an attractive alternative or supplement water source for surface water users. This is especially evident in drought. </w:t>
      </w:r>
      <w:hyperlink r:id="rId20" w:history="1">
        <w:r w:rsidRPr="00F91110">
          <w:rPr>
            <w:color w:val="0000FF"/>
            <w:u w:val="single"/>
          </w:rPr>
          <w:t>Australian Water Markets Report 2019–20 (bom.gov.au)</w:t>
        </w:r>
      </w:hyperlink>
      <w:r w:rsidRPr="00F91110">
        <w:t xml:space="preserve"> </w:t>
      </w:r>
      <w:proofErr w:type="spellStart"/>
      <w:r w:rsidRPr="00F91110">
        <w:t>pg</w:t>
      </w:r>
      <w:proofErr w:type="spellEnd"/>
      <w:r w:rsidRPr="00F91110">
        <w:t xml:space="preserve"> 34: ‘</w:t>
      </w:r>
      <w:r w:rsidRPr="00FE7D1E">
        <w:rPr>
          <w:lang w:val="en-US"/>
        </w:rPr>
        <w:t>the volume of groundwater allocation traded in 2019-20 was 291GL in the MDB. This was 9 and 36 per cent higher compared to 2018-19 and 2017-18 respectively’.</w:t>
      </w:r>
    </w:p>
    <w:p w14:paraId="53BAA34B" w14:textId="7CECFE0F" w:rsidR="00DF3E05" w:rsidRPr="00FE7D1E" w:rsidRDefault="00DF3E05" w:rsidP="00DF3E05">
      <w:pPr>
        <w:rPr>
          <w:lang w:val="en-US"/>
        </w:rPr>
      </w:pPr>
      <w:r w:rsidRPr="00FE7D1E">
        <w:rPr>
          <w:lang w:val="en-US"/>
        </w:rPr>
        <w:t xml:space="preserve">It is important that groundwater trade reflects the physical realities of water movement and </w:t>
      </w:r>
      <w:r w:rsidRPr="00D12D99">
        <w:rPr>
          <w:lang w:val="en-US"/>
        </w:rPr>
        <w:t>supply.</w:t>
      </w:r>
      <w:r>
        <w:rPr>
          <w:lang w:val="en-US"/>
        </w:rPr>
        <w:t>”</w:t>
      </w:r>
    </w:p>
    <w:p w14:paraId="03EC80F6" w14:textId="77777777" w:rsidR="005F3C99" w:rsidRDefault="005F3C99" w:rsidP="005F3C99">
      <w:pPr>
        <w:jc w:val="both"/>
      </w:pPr>
      <w:r>
        <w:rPr>
          <w:lang w:val="en-US"/>
        </w:rPr>
        <w:t xml:space="preserve">Within the three management zones established by the </w:t>
      </w:r>
      <w:r w:rsidRPr="004F6AEA">
        <w:rPr>
          <w:lang w:val="en-US"/>
        </w:rPr>
        <w:t>Katunga Groundwater Management Plan</w:t>
      </w:r>
      <w:r>
        <w:rPr>
          <w:lang w:val="en-US"/>
        </w:rPr>
        <w:t xml:space="preserve"> (refer to </w:t>
      </w:r>
      <w:r w:rsidRPr="00FE7D1E">
        <w:rPr>
          <w:i/>
          <w:iCs/>
          <w:lang w:val="en-US"/>
        </w:rPr>
        <w:t>Prescription 1</w:t>
      </w:r>
      <w:r>
        <w:rPr>
          <w:lang w:val="en-US"/>
        </w:rPr>
        <w:t xml:space="preserve"> – Appendix A) there are two defined hydrogeological aquifers. </w:t>
      </w:r>
      <w:r>
        <w:t xml:space="preserve">The Katunga WSPA includes all formations from a depth of 25 metres, including the deeper Shepparton formation and the very deep Calivil formation. </w:t>
      </w:r>
    </w:p>
    <w:p w14:paraId="7AB4D6B5" w14:textId="4BA1E46F" w:rsidR="00DF3E05" w:rsidRDefault="00DF3E05" w:rsidP="005F3C99">
      <w:pPr>
        <w:jc w:val="both"/>
      </w:pPr>
      <w:r w:rsidRPr="00DF3E05">
        <w:t>Saline groundwater in the shallow Shepparton formation is managed under the Shepparton GMA. While it is understood that trade between this GMA and the Katunga WSPA is not allowed, this is not referred to in the Katunga Groundwater Management Plan.</w:t>
      </w:r>
    </w:p>
    <w:p w14:paraId="054F10B3" w14:textId="77777777" w:rsidR="005F3C99" w:rsidRDefault="005F3C99" w:rsidP="005F3C99">
      <w:pPr>
        <w:spacing w:after="0"/>
        <w:rPr>
          <w:lang w:val="en-US"/>
        </w:rPr>
      </w:pPr>
      <w:r>
        <w:rPr>
          <w:lang w:val="en-US"/>
        </w:rPr>
        <w:br w:type="page"/>
      </w:r>
    </w:p>
    <w:p w14:paraId="45404C76" w14:textId="77777777" w:rsidR="005F3C99" w:rsidRDefault="005F3C99" w:rsidP="00DF3E05">
      <w:pPr>
        <w:pStyle w:val="FigureHeading"/>
        <w:rPr>
          <w:lang w:val="en-US"/>
        </w:rPr>
      </w:pPr>
      <w:r>
        <w:lastRenderedPageBreak/>
        <w:t xml:space="preserve">Figure </w:t>
      </w:r>
      <w:r>
        <w:fldChar w:fldCharType="begin"/>
      </w:r>
      <w:r>
        <w:instrText>SEQ Figure \* ARABIC</w:instrText>
      </w:r>
      <w:r>
        <w:fldChar w:fldCharType="separate"/>
      </w:r>
      <w:r>
        <w:rPr>
          <w:noProof/>
        </w:rPr>
        <w:t>4</w:t>
      </w:r>
      <w:r>
        <w:fldChar w:fldCharType="end"/>
      </w:r>
      <w:r>
        <w:t xml:space="preserve"> Cross section of aquifers in the Katunga WSPA</w:t>
      </w:r>
    </w:p>
    <w:p w14:paraId="4EC235DD" w14:textId="77777777" w:rsidR="005F3C99" w:rsidRDefault="005F3C99" w:rsidP="005F3C99">
      <w:pPr>
        <w:rPr>
          <w:lang w:val="en-US"/>
        </w:rPr>
      </w:pPr>
      <w:r>
        <w:rPr>
          <w:noProof/>
        </w:rPr>
        <w:drawing>
          <wp:inline distT="0" distB="0" distL="0" distR="0" wp14:anchorId="1EF42E5D" wp14:editId="18A378A9">
            <wp:extent cx="6192520" cy="4575175"/>
            <wp:effectExtent l="0" t="0" r="0" b="0"/>
            <wp:docPr id="21" name="Picture 21" descr="Groundwater moves into the Deep Lead aquifer from the east and flows through into New South Wales as lateral outflow. Along the way, it may collect some groundwater from the underlying bedrock or overlying Shepparton 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oundwater moves into the Deep Lead aquifer from the east and flows through into New South Wales as lateral outflow. Along the way, it may collect some groundwater from the underlying bedrock or overlying Shepparton Formation. "/>
                    <pic:cNvPicPr/>
                  </pic:nvPicPr>
                  <pic:blipFill>
                    <a:blip r:embed="rId21"/>
                    <a:stretch>
                      <a:fillRect/>
                    </a:stretch>
                  </pic:blipFill>
                  <pic:spPr>
                    <a:xfrm>
                      <a:off x="0" y="0"/>
                      <a:ext cx="6192520" cy="4575175"/>
                    </a:xfrm>
                    <a:prstGeom prst="rect">
                      <a:avLst/>
                    </a:prstGeom>
                  </pic:spPr>
                </pic:pic>
              </a:graphicData>
            </a:graphic>
          </wp:inline>
        </w:drawing>
      </w:r>
    </w:p>
    <w:p w14:paraId="1264B8F4" w14:textId="77777777" w:rsidR="005F3C99" w:rsidRPr="00DF3E05" w:rsidRDefault="005F3C99" w:rsidP="00DF3E05">
      <w:pPr>
        <w:pStyle w:val="Caption"/>
        <w:rPr>
          <w:color w:val="4C6968" w:themeColor="accent1"/>
          <w:lang w:val="en-US"/>
        </w:rPr>
      </w:pPr>
      <w:r w:rsidRPr="00DF3E05">
        <w:rPr>
          <w:color w:val="4C6968" w:themeColor="accent1"/>
          <w:lang w:val="en-US"/>
        </w:rPr>
        <w:t xml:space="preserve">Source: </w:t>
      </w:r>
      <w:hyperlink r:id="rId22" w:history="1">
        <w:r w:rsidRPr="00DF3E05">
          <w:rPr>
            <w:rStyle w:val="Hyperlink"/>
            <w:color w:val="4C6968" w:themeColor="accent1"/>
          </w:rPr>
          <w:t>Katunga WSPA Groundwater Management Plan</w:t>
        </w:r>
      </w:hyperlink>
      <w:r w:rsidRPr="00DF3E05">
        <w:rPr>
          <w:color w:val="4C6968" w:themeColor="accent1"/>
          <w:lang w:val="en-US"/>
        </w:rPr>
        <w:t xml:space="preserve"> </w:t>
      </w:r>
    </w:p>
    <w:p w14:paraId="3D181992" w14:textId="77777777" w:rsidR="005F3C99" w:rsidRDefault="005F3C99" w:rsidP="005F3C99">
      <w:pPr>
        <w:rPr>
          <w:lang w:val="en-US"/>
        </w:rPr>
      </w:pPr>
    </w:p>
    <w:p w14:paraId="6099C0F7" w14:textId="77777777" w:rsidR="005F3C99" w:rsidRDefault="005F3C99" w:rsidP="005F3C99">
      <w:pPr>
        <w:rPr>
          <w:lang w:val="en-US"/>
        </w:rPr>
      </w:pPr>
      <w:bookmarkStart w:id="21" w:name="_Hlk157076788"/>
      <w:r w:rsidRPr="00FC469C">
        <w:rPr>
          <w:lang w:val="en-US"/>
        </w:rPr>
        <w:t xml:space="preserve">To meet the requirements of </w:t>
      </w:r>
      <w:r w:rsidRPr="004F6AEA">
        <w:rPr>
          <w:lang w:val="en-US"/>
        </w:rPr>
        <w:t>s12.24(a)</w:t>
      </w:r>
      <w:r w:rsidRPr="00E84D72">
        <w:rPr>
          <w:lang w:val="en-US"/>
        </w:rPr>
        <w:t xml:space="preserve"> of the </w:t>
      </w:r>
      <w:r w:rsidRPr="004F6AEA">
        <w:rPr>
          <w:lang w:val="en-US"/>
        </w:rPr>
        <w:t>Basin Plan</w:t>
      </w:r>
      <w:r w:rsidRPr="00E84D72">
        <w:rPr>
          <w:lang w:val="en-US"/>
        </w:rPr>
        <w:t xml:space="preserve">, the </w:t>
      </w:r>
      <w:r w:rsidRPr="004F6AEA">
        <w:rPr>
          <w:lang w:val="en-US"/>
        </w:rPr>
        <w:t>Goulburn-Murray (Groundwater) Water Resource Plan</w:t>
      </w:r>
      <w:r w:rsidRPr="00FC469C">
        <w:rPr>
          <w:lang w:val="en-US"/>
        </w:rPr>
        <w:t xml:space="preserve"> </w:t>
      </w:r>
      <w:r>
        <w:rPr>
          <w:lang w:val="en-US"/>
        </w:rPr>
        <w:t>identifies</w:t>
      </w:r>
      <w:r w:rsidRPr="00FC469C">
        <w:rPr>
          <w:lang w:val="en-US"/>
        </w:rPr>
        <w:t xml:space="preserve"> that trade between two locations within a single SDL resource unit is permitted where sufficient hydraulic connectivity has been demonstrated by a relevant hydrogeological resource assessment or approved Statutory Management Plan.</w:t>
      </w:r>
      <w:r>
        <w:rPr>
          <w:lang w:val="en-US"/>
        </w:rPr>
        <w:t xml:space="preserve"> The IGWC has been informed by DEECA and GMW that they rely upon an independent technical assessment of the resource against the requirements of s12.24(a).</w:t>
      </w:r>
    </w:p>
    <w:p w14:paraId="058CB626" w14:textId="77777777" w:rsidR="005F3C99" w:rsidRDefault="005F3C99" w:rsidP="005F3C99">
      <w:pPr>
        <w:rPr>
          <w:lang w:val="en-US"/>
        </w:rPr>
      </w:pPr>
      <w:proofErr w:type="gramStart"/>
      <w:r>
        <w:rPr>
          <w:lang w:val="en-US"/>
        </w:rPr>
        <w:t>In the course of</w:t>
      </w:r>
      <w:proofErr w:type="gramEnd"/>
      <w:r>
        <w:rPr>
          <w:lang w:val="en-US"/>
        </w:rPr>
        <w:t xml:space="preserve"> auditing the Katunga Groundwater Management Plan, which is the supporting document of the Water Resource Plan, mention of the requirements to comply with s.12.24(a) was not present. </w:t>
      </w:r>
    </w:p>
    <w:bookmarkEnd w:id="21"/>
    <w:p w14:paraId="35B6BAA5" w14:textId="5D2D364A" w:rsidR="005F3C99" w:rsidRPr="00DF3E05" w:rsidRDefault="00DF3E05" w:rsidP="00DF3E05">
      <w:pPr>
        <w:rPr>
          <w:rStyle w:val="IntenseReference"/>
        </w:rPr>
      </w:pPr>
      <w:r w:rsidRPr="00DF3E05">
        <w:rPr>
          <w:rStyle w:val="IntenseReference"/>
        </w:rPr>
        <w:t>FINDING</w:t>
      </w:r>
    </w:p>
    <w:p w14:paraId="3E2321F6" w14:textId="77777777" w:rsidR="005F3C99" w:rsidRDefault="005F3C99" w:rsidP="00DF3E05">
      <w:r w:rsidRPr="00DF3E05">
        <w:t>It has been identified that sufficient hydraulic connectivity between the location of the seller and location of the buyer before the trade of a water access right is approved is not transparent within the Katunga Groundwater Management Plan. The IGWC is therefore unable to provide assurance that section 12.24(a) of the Basin Plan has been met by reference to the Katunga Groundwater Management Plan.</w:t>
      </w:r>
    </w:p>
    <w:p w14:paraId="4AC59AE4" w14:textId="041F3689" w:rsidR="00DF3E05" w:rsidRDefault="00DF3E05" w:rsidP="00DF3E05">
      <w:pPr>
        <w:rPr>
          <w:rStyle w:val="IntenseReference"/>
        </w:rPr>
      </w:pPr>
      <w:r>
        <w:rPr>
          <w:rStyle w:val="IntenseReference"/>
        </w:rPr>
        <w:t>OBSERVATION</w:t>
      </w:r>
    </w:p>
    <w:p w14:paraId="1C667DDB" w14:textId="1D530028" w:rsidR="00DF3E05" w:rsidRPr="00DF3E05" w:rsidRDefault="00DF3E05" w:rsidP="00DF3E05">
      <w:pPr>
        <w:rPr>
          <w:lang w:val="en-US"/>
        </w:rPr>
      </w:pPr>
      <w:r w:rsidRPr="00DF3E05">
        <w:rPr>
          <w:lang w:val="en-US"/>
        </w:rPr>
        <w:t xml:space="preserve">The </w:t>
      </w:r>
      <w:r>
        <w:rPr>
          <w:lang w:val="en-US"/>
        </w:rPr>
        <w:t>K</w:t>
      </w:r>
      <w:r w:rsidRPr="00DF3E05">
        <w:rPr>
          <w:lang w:val="en-US"/>
        </w:rPr>
        <w:t xml:space="preserve">atunga </w:t>
      </w:r>
      <w:r>
        <w:rPr>
          <w:lang w:val="en-US"/>
        </w:rPr>
        <w:t>G</w:t>
      </w:r>
      <w:r w:rsidRPr="00DF3E05">
        <w:rPr>
          <w:lang w:val="en-US"/>
        </w:rPr>
        <w:t xml:space="preserve">roundwater </w:t>
      </w:r>
      <w:r>
        <w:rPr>
          <w:lang w:val="en-US"/>
        </w:rPr>
        <w:t>M</w:t>
      </w:r>
      <w:r w:rsidRPr="00DF3E05">
        <w:rPr>
          <w:lang w:val="en-US"/>
        </w:rPr>
        <w:t xml:space="preserve">anagement </w:t>
      </w:r>
      <w:r>
        <w:rPr>
          <w:lang w:val="en-US"/>
        </w:rPr>
        <w:t>P</w:t>
      </w:r>
      <w:r w:rsidRPr="00DF3E05">
        <w:rPr>
          <w:lang w:val="en-US"/>
        </w:rPr>
        <w:t xml:space="preserve">lan should be amended to identify that trade between the </w:t>
      </w:r>
      <w:proofErr w:type="spellStart"/>
      <w:r w:rsidRPr="00DF3E05">
        <w:rPr>
          <w:lang w:val="en-US"/>
        </w:rPr>
        <w:t>Shepparton</w:t>
      </w:r>
      <w:proofErr w:type="spellEnd"/>
      <w:r w:rsidRPr="00DF3E05">
        <w:rPr>
          <w:lang w:val="en-US"/>
        </w:rPr>
        <w:t xml:space="preserve"> </w:t>
      </w:r>
      <w:r>
        <w:rPr>
          <w:lang w:val="en-US"/>
        </w:rPr>
        <w:t>GMA</w:t>
      </w:r>
      <w:r w:rsidRPr="00DF3E05">
        <w:rPr>
          <w:lang w:val="en-US"/>
        </w:rPr>
        <w:t xml:space="preserve"> and </w:t>
      </w:r>
      <w:r>
        <w:rPr>
          <w:lang w:val="en-US"/>
        </w:rPr>
        <w:t>K</w:t>
      </w:r>
      <w:r w:rsidRPr="00DF3E05">
        <w:rPr>
          <w:lang w:val="en-US"/>
        </w:rPr>
        <w:t xml:space="preserve">atunga </w:t>
      </w:r>
      <w:r>
        <w:rPr>
          <w:lang w:val="en-US"/>
        </w:rPr>
        <w:t>WSPA</w:t>
      </w:r>
      <w:r w:rsidRPr="00DF3E05">
        <w:rPr>
          <w:lang w:val="en-US"/>
        </w:rPr>
        <w:t xml:space="preserve"> is not allowed.</w:t>
      </w:r>
    </w:p>
    <w:p w14:paraId="2199D2D6" w14:textId="77777777" w:rsidR="00517F31" w:rsidRPr="00517F31" w:rsidRDefault="00517F31" w:rsidP="00CA3D54">
      <w:pPr>
        <w:pStyle w:val="Heading2"/>
        <w:rPr>
          <w:lang w:val="en-US"/>
        </w:rPr>
      </w:pPr>
      <w:bookmarkStart w:id="22" w:name="_Toc164679863"/>
      <w:r w:rsidRPr="00517F31">
        <w:rPr>
          <w:lang w:val="en-US"/>
        </w:rPr>
        <w:lastRenderedPageBreak/>
        <w:t>Groundwater Level Monitoring</w:t>
      </w:r>
      <w:bookmarkEnd w:id="22"/>
    </w:p>
    <w:p w14:paraId="253A2480" w14:textId="77777777" w:rsidR="00517F31" w:rsidRPr="00517F31" w:rsidRDefault="00517F31" w:rsidP="00517F31">
      <w:pPr>
        <w:rPr>
          <w:lang w:val="en-US"/>
        </w:rPr>
      </w:pPr>
      <w:r w:rsidRPr="00517F31">
        <w:rPr>
          <w:lang w:val="en-US"/>
        </w:rPr>
        <w:t xml:space="preserve">Monitoring of groundwater levels provides important information that is used to: </w:t>
      </w:r>
    </w:p>
    <w:p w14:paraId="4297044A" w14:textId="499A7141" w:rsidR="00517F31" w:rsidRPr="00517F31" w:rsidRDefault="00517F31" w:rsidP="000D6186">
      <w:pPr>
        <w:pStyle w:val="ListBullet"/>
        <w:rPr>
          <w:lang w:val="en-US"/>
        </w:rPr>
      </w:pPr>
      <w:r w:rsidRPr="00517F31">
        <w:rPr>
          <w:lang w:val="en-US"/>
        </w:rPr>
        <w:t xml:space="preserve">assess annual and long-term impacts on water levels from groundwater </w:t>
      </w:r>
      <w:proofErr w:type="gramStart"/>
      <w:r w:rsidRPr="00517F31">
        <w:rPr>
          <w:lang w:val="en-US"/>
        </w:rPr>
        <w:t>pumping</w:t>
      </w:r>
      <w:proofErr w:type="gramEnd"/>
    </w:p>
    <w:p w14:paraId="368C50CB" w14:textId="6E1EA8C6" w:rsidR="00517F31" w:rsidRPr="00517F31" w:rsidRDefault="00517F31" w:rsidP="00CA3D54">
      <w:pPr>
        <w:pStyle w:val="ListBullet"/>
        <w:rPr>
          <w:lang w:val="en-US"/>
        </w:rPr>
      </w:pPr>
      <w:r w:rsidRPr="00517F31">
        <w:rPr>
          <w:lang w:val="en-US"/>
        </w:rPr>
        <w:t xml:space="preserve">monitor regional and local seasonal </w:t>
      </w:r>
      <w:proofErr w:type="gramStart"/>
      <w:r w:rsidRPr="00517F31">
        <w:rPr>
          <w:lang w:val="en-US"/>
        </w:rPr>
        <w:t>drawdown</w:t>
      </w:r>
      <w:proofErr w:type="gramEnd"/>
    </w:p>
    <w:p w14:paraId="40044148" w14:textId="3AA5429B" w:rsidR="00517F31" w:rsidRPr="00517F31" w:rsidRDefault="00517F31" w:rsidP="00CA3D54">
      <w:pPr>
        <w:pStyle w:val="ListBullet"/>
        <w:rPr>
          <w:lang w:val="en-US"/>
        </w:rPr>
      </w:pPr>
      <w:r w:rsidRPr="00517F31">
        <w:rPr>
          <w:lang w:val="en-US"/>
        </w:rPr>
        <w:t xml:space="preserve">assess yearly </w:t>
      </w:r>
      <w:proofErr w:type="gramStart"/>
      <w:r w:rsidRPr="00517F31">
        <w:rPr>
          <w:lang w:val="en-US"/>
        </w:rPr>
        <w:t>allocations</w:t>
      </w:r>
      <w:proofErr w:type="gramEnd"/>
    </w:p>
    <w:p w14:paraId="7E493035" w14:textId="1C6187D6" w:rsidR="00517F31" w:rsidRPr="00517F31" w:rsidRDefault="00517F31" w:rsidP="00CA3D54">
      <w:pPr>
        <w:pStyle w:val="ListBullet"/>
        <w:rPr>
          <w:lang w:val="en-US"/>
        </w:rPr>
      </w:pPr>
      <w:r w:rsidRPr="00517F31">
        <w:rPr>
          <w:lang w:val="en-US"/>
        </w:rPr>
        <w:t xml:space="preserve">provide information for future resource </w:t>
      </w:r>
      <w:proofErr w:type="gramStart"/>
      <w:r w:rsidRPr="00517F31">
        <w:rPr>
          <w:lang w:val="en-US"/>
        </w:rPr>
        <w:t>assessments</w:t>
      </w:r>
      <w:proofErr w:type="gramEnd"/>
    </w:p>
    <w:p w14:paraId="58CB6547" w14:textId="21564BB5" w:rsidR="00517F31" w:rsidRPr="00517F31" w:rsidRDefault="00517F31" w:rsidP="00CA3D54">
      <w:pPr>
        <w:pStyle w:val="ListBullet"/>
        <w:rPr>
          <w:lang w:val="en-US"/>
        </w:rPr>
      </w:pPr>
      <w:r w:rsidRPr="00517F31">
        <w:rPr>
          <w:lang w:val="en-US"/>
        </w:rPr>
        <w:t xml:space="preserve">assess potential management issues including evaluating potential interference between </w:t>
      </w:r>
      <w:proofErr w:type="gramStart"/>
      <w:r w:rsidRPr="00517F31">
        <w:rPr>
          <w:lang w:val="en-US"/>
        </w:rPr>
        <w:t>bores</w:t>
      </w:r>
      <w:proofErr w:type="gramEnd"/>
    </w:p>
    <w:p w14:paraId="0DF930BC" w14:textId="77777777" w:rsidR="00517F31" w:rsidRPr="00517F31" w:rsidRDefault="00517F31" w:rsidP="00517F31">
      <w:pPr>
        <w:rPr>
          <w:lang w:val="en-US"/>
        </w:rPr>
      </w:pPr>
      <w:r w:rsidRPr="00517F31">
        <w:rPr>
          <w:lang w:val="en-US"/>
        </w:rPr>
        <w:t xml:space="preserve">In the Katunga WSPA, monitoring activity is undertaken using state observation bores listed in Schedules 1 and 2 of the Katunga Groundwater Management Plan (refer to Appendices B and C). This includes the seven priority bores used for determining the allocations to be announced. </w:t>
      </w:r>
    </w:p>
    <w:p w14:paraId="2BCF4AE7" w14:textId="77777777" w:rsidR="00517F31" w:rsidRPr="00517F31" w:rsidRDefault="00517F31" w:rsidP="00517F31">
      <w:pPr>
        <w:rPr>
          <w:lang w:val="en-US"/>
        </w:rPr>
      </w:pPr>
      <w:r w:rsidRPr="00517F31">
        <w:rPr>
          <w:lang w:val="en-US"/>
        </w:rPr>
        <w:t xml:space="preserve">Data for monitoring activity is collected by a private supplier who also inspects bore condition and reports to DEECA if maintenance is required. All data collected is captured in the WMIS. </w:t>
      </w:r>
    </w:p>
    <w:p w14:paraId="4A795902" w14:textId="77777777" w:rsidR="00517F31" w:rsidRPr="00517F31" w:rsidRDefault="00517F31" w:rsidP="00517F31">
      <w:pPr>
        <w:rPr>
          <w:lang w:val="en-US"/>
        </w:rPr>
      </w:pPr>
      <w:r w:rsidRPr="00517F31">
        <w:rPr>
          <w:lang w:val="en-US"/>
        </w:rPr>
        <w:t xml:space="preserve">The IGWC was satisfied with the process by which monitoring data is collected. However, DEECA reported to the IGWC that since 1 January 2016, only 63 of the 230 manual water level measurements used for announcing allocations were entered into the groundwater database within 30 days of when they were collected. This does not meet DEECA’s requirements set out within the Katunga Groundwater Management Plan Prescription 5.2(c). </w:t>
      </w:r>
    </w:p>
    <w:p w14:paraId="2C587A71" w14:textId="77777777" w:rsidR="00517F31" w:rsidRPr="00517F31" w:rsidRDefault="00517F31" w:rsidP="00517F31">
      <w:pPr>
        <w:rPr>
          <w:lang w:val="en-US"/>
        </w:rPr>
      </w:pPr>
      <w:r w:rsidRPr="00517F31">
        <w:rPr>
          <w:lang w:val="en-US"/>
        </w:rPr>
        <w:t xml:space="preserve">During this audit, the IGWC also explored consideration given to the need for an agreed process for the joint management of groundwater resources where there is a significant connection between the border of New South Wales (NSW) and Victoria. DEECA have acknowledged that there needs to be further discussion on the management of shared water resources which have been delayed pending the accreditation of NSW’s Murray Alluvium Water Resource Plan. </w:t>
      </w:r>
    </w:p>
    <w:p w14:paraId="0A966A5D" w14:textId="7B57A898" w:rsidR="00517F31" w:rsidRPr="00B05216" w:rsidRDefault="00B05216" w:rsidP="00517F31">
      <w:pPr>
        <w:rPr>
          <w:rStyle w:val="IntenseReference"/>
          <w:lang w:val="en-US"/>
        </w:rPr>
      </w:pPr>
      <w:r w:rsidRPr="00B05216">
        <w:rPr>
          <w:rStyle w:val="IntenseReference"/>
        </w:rPr>
        <w:t>FINDING</w:t>
      </w:r>
    </w:p>
    <w:p w14:paraId="477B3A64" w14:textId="77777777" w:rsidR="00517F31" w:rsidRPr="00517F31" w:rsidRDefault="00517F31" w:rsidP="00517F31">
      <w:pPr>
        <w:rPr>
          <w:lang w:val="en-US"/>
        </w:rPr>
      </w:pPr>
      <w:r w:rsidRPr="00517F31">
        <w:rPr>
          <w:lang w:val="en-US"/>
        </w:rPr>
        <w:t xml:space="preserve">DEECA are not entering manual water level measurements into the groundwater database within 30 days of collection. This does not meet DEECA’s requirements set out within the Katunga Groundwater Management Plan Prescription 5.2(c). </w:t>
      </w:r>
    </w:p>
    <w:p w14:paraId="7594EAA5" w14:textId="443AC12B" w:rsidR="00517F31" w:rsidRPr="00B05216" w:rsidRDefault="00B05216" w:rsidP="00517F31">
      <w:pPr>
        <w:rPr>
          <w:rStyle w:val="IntenseReference"/>
          <w:lang w:val="en-US"/>
        </w:rPr>
      </w:pPr>
      <w:r w:rsidRPr="00B05216">
        <w:rPr>
          <w:rStyle w:val="IntenseReference"/>
        </w:rPr>
        <w:t>OBSERVATION</w:t>
      </w:r>
    </w:p>
    <w:p w14:paraId="10F01B78" w14:textId="4BE681C3" w:rsidR="00517F31" w:rsidRPr="00517F31" w:rsidRDefault="00517F31" w:rsidP="00517F31">
      <w:pPr>
        <w:rPr>
          <w:lang w:val="en-US"/>
        </w:rPr>
      </w:pPr>
      <w:r w:rsidRPr="00517F31">
        <w:rPr>
          <w:lang w:val="en-US"/>
        </w:rPr>
        <w:t>Information on groundwater bore sites in WMIS could be improved by explaining the level of information    available on the range of bores monitored. This should include the bores that are used for monitoring pumping impacts and aquifer interaction.</w:t>
      </w:r>
    </w:p>
    <w:p w14:paraId="665A7AFF" w14:textId="3AC429DC" w:rsidR="00517F31" w:rsidRPr="00B05216" w:rsidRDefault="00B05216" w:rsidP="00517F31">
      <w:pPr>
        <w:rPr>
          <w:rStyle w:val="IntenseReference"/>
          <w:lang w:val="en-US"/>
        </w:rPr>
      </w:pPr>
      <w:r w:rsidRPr="00B05216">
        <w:rPr>
          <w:rStyle w:val="IntenseReference"/>
        </w:rPr>
        <w:t>OBSERVATION</w:t>
      </w:r>
    </w:p>
    <w:p w14:paraId="382D6F84" w14:textId="77777777" w:rsidR="00517F31" w:rsidRPr="00517F31" w:rsidRDefault="00517F31" w:rsidP="00517F31">
      <w:pPr>
        <w:rPr>
          <w:lang w:val="en-US"/>
        </w:rPr>
      </w:pPr>
      <w:r w:rsidRPr="00517F31">
        <w:rPr>
          <w:lang w:val="en-US"/>
        </w:rPr>
        <w:t xml:space="preserve">Further discussion on the management of shared water resources between NSW and Victoria will be needed once the Murray Alluvium Water Resource Plan has been accredited.   </w:t>
      </w:r>
    </w:p>
    <w:p w14:paraId="420CE9A3" w14:textId="77777777" w:rsidR="00517F31" w:rsidRDefault="00517F31" w:rsidP="00517F31">
      <w:pPr>
        <w:rPr>
          <w:lang w:val="en-US"/>
        </w:rPr>
      </w:pPr>
    </w:p>
    <w:p w14:paraId="05AA55EF" w14:textId="77777777" w:rsidR="00B05216" w:rsidRDefault="00B05216" w:rsidP="00517F31">
      <w:pPr>
        <w:rPr>
          <w:lang w:val="en-US"/>
        </w:rPr>
      </w:pPr>
    </w:p>
    <w:p w14:paraId="4E974397" w14:textId="77777777" w:rsidR="00B05216" w:rsidRPr="00517F31" w:rsidRDefault="00B05216" w:rsidP="00517F31">
      <w:pPr>
        <w:rPr>
          <w:lang w:val="en-US"/>
        </w:rPr>
      </w:pPr>
    </w:p>
    <w:p w14:paraId="046BFB45" w14:textId="77777777" w:rsidR="00517F31" w:rsidRPr="00517F31" w:rsidRDefault="00517F31" w:rsidP="00B05216">
      <w:pPr>
        <w:pStyle w:val="Heading2"/>
        <w:rPr>
          <w:lang w:val="en-US"/>
        </w:rPr>
      </w:pPr>
      <w:bookmarkStart w:id="23" w:name="_Toc164679864"/>
      <w:r w:rsidRPr="00517F31">
        <w:rPr>
          <w:lang w:val="en-US"/>
        </w:rPr>
        <w:lastRenderedPageBreak/>
        <w:t>Groundwater Salinity Monitoring</w:t>
      </w:r>
      <w:bookmarkEnd w:id="23"/>
    </w:p>
    <w:p w14:paraId="3D932C81" w14:textId="5E9937A1" w:rsidR="00517F31" w:rsidRPr="00517F31" w:rsidRDefault="00517F31" w:rsidP="00517F31">
      <w:pPr>
        <w:rPr>
          <w:lang w:val="en-US"/>
        </w:rPr>
      </w:pPr>
      <w:r w:rsidRPr="00517F31">
        <w:rPr>
          <w:lang w:val="en-US"/>
        </w:rPr>
        <w:t xml:space="preserve">In the Katunga WSPA, some of the groundwater pumped from the Deep Lead aquifer is sourced from the overlying </w:t>
      </w:r>
      <w:proofErr w:type="spellStart"/>
      <w:r w:rsidR="005F38F6" w:rsidRPr="00517F31">
        <w:rPr>
          <w:lang w:val="en-US"/>
        </w:rPr>
        <w:t>Shepp</w:t>
      </w:r>
      <w:r w:rsidR="005F38F6">
        <w:rPr>
          <w:lang w:val="en-US"/>
        </w:rPr>
        <w:t>a</w:t>
      </w:r>
      <w:r w:rsidR="005F38F6" w:rsidRPr="00517F31">
        <w:rPr>
          <w:lang w:val="en-US"/>
        </w:rPr>
        <w:t>rton</w:t>
      </w:r>
      <w:proofErr w:type="spellEnd"/>
      <w:r w:rsidRPr="00517F31">
        <w:rPr>
          <w:lang w:val="en-US"/>
        </w:rPr>
        <w:t xml:space="preserve"> Formation aquifer which generally has a higher level of salinity. Increased salinity levels can therefore impact how groundwater is used.  </w:t>
      </w:r>
    </w:p>
    <w:p w14:paraId="521F31AB" w14:textId="77777777" w:rsidR="00517F31" w:rsidRPr="00517F31" w:rsidRDefault="00517F31" w:rsidP="00517F31">
      <w:pPr>
        <w:rPr>
          <w:lang w:val="en-US"/>
        </w:rPr>
      </w:pPr>
      <w:r w:rsidRPr="00517F31">
        <w:rPr>
          <w:lang w:val="en-US"/>
        </w:rPr>
        <w:t xml:space="preserve">To monitor potential changes in groundwater salinity, GMW sample groundwater from bores specified in the Katunga Groundwater Management Plan (refer to Appendix B) and have the results </w:t>
      </w:r>
      <w:proofErr w:type="spellStart"/>
      <w:r w:rsidRPr="00517F31">
        <w:rPr>
          <w:lang w:val="en-US"/>
        </w:rPr>
        <w:t>analysed</w:t>
      </w:r>
      <w:proofErr w:type="spellEnd"/>
      <w:r w:rsidRPr="00517F31">
        <w:rPr>
          <w:lang w:val="en-US"/>
        </w:rPr>
        <w:t xml:space="preserve"> by an accredited laboratory. Individual groundwater users are also encouraged to monitor salinity of their own bores by requesting a bottle from GMW for sample testing. </w:t>
      </w:r>
    </w:p>
    <w:p w14:paraId="42B47009" w14:textId="2B62E164" w:rsidR="00517F31" w:rsidRPr="00517F31" w:rsidRDefault="00517F31" w:rsidP="00517F31">
      <w:pPr>
        <w:rPr>
          <w:lang w:val="en-US"/>
        </w:rPr>
      </w:pPr>
      <w:r w:rsidRPr="00517F31">
        <w:rPr>
          <w:lang w:val="en-US"/>
        </w:rPr>
        <w:t xml:space="preserve">In the Katunga WSPA annual report for 2020/21, GMW identified that while groundwater salinity levels had remained stable over the previous six years, there was a recent increase in salinity over the last two readings collected from an observation bore in the </w:t>
      </w:r>
      <w:proofErr w:type="spellStart"/>
      <w:r w:rsidRPr="00517F31">
        <w:rPr>
          <w:lang w:val="en-US"/>
        </w:rPr>
        <w:t>Calivil</w:t>
      </w:r>
      <w:proofErr w:type="spellEnd"/>
      <w:r w:rsidRPr="00517F31">
        <w:rPr>
          <w:lang w:val="en-US"/>
        </w:rPr>
        <w:t xml:space="preserve"> Formation aquifer. This bore however is in the </w:t>
      </w:r>
      <w:proofErr w:type="spellStart"/>
      <w:r w:rsidRPr="00517F31">
        <w:rPr>
          <w:lang w:val="en-US"/>
        </w:rPr>
        <w:t>Shepparton</w:t>
      </w:r>
      <w:proofErr w:type="spellEnd"/>
      <w:r w:rsidRPr="00517F31">
        <w:rPr>
          <w:lang w:val="en-US"/>
        </w:rPr>
        <w:t xml:space="preserve"> GMA and should not have been included in this report.</w:t>
      </w:r>
    </w:p>
    <w:p w14:paraId="1F3AD3FA" w14:textId="77777777" w:rsidR="00517F31" w:rsidRPr="00517F31" w:rsidRDefault="00517F31" w:rsidP="00517F31">
      <w:pPr>
        <w:rPr>
          <w:lang w:val="en-US"/>
        </w:rPr>
      </w:pPr>
      <w:r w:rsidRPr="00517F31">
        <w:rPr>
          <w:lang w:val="en-US"/>
        </w:rPr>
        <w:t xml:space="preserve">The IGWC understands that error in the Katunga WSPA annual report for 2020/21 will be addressed in the annual report for 2022/23.   </w:t>
      </w:r>
    </w:p>
    <w:p w14:paraId="2EE2D4F8" w14:textId="75B85C3F" w:rsidR="00517F31" w:rsidRPr="00B57F6D" w:rsidRDefault="00B57F6D" w:rsidP="00517F31">
      <w:pPr>
        <w:rPr>
          <w:rStyle w:val="IntenseReference"/>
          <w:lang w:val="en-US"/>
        </w:rPr>
      </w:pPr>
      <w:r w:rsidRPr="00B57F6D">
        <w:rPr>
          <w:rStyle w:val="IntenseReference"/>
        </w:rPr>
        <w:t>OBSERVATION</w:t>
      </w:r>
    </w:p>
    <w:p w14:paraId="4F10FBF2" w14:textId="77777777" w:rsidR="00517F31" w:rsidRPr="00517F31" w:rsidRDefault="00517F31" w:rsidP="00517F31">
      <w:pPr>
        <w:rPr>
          <w:lang w:val="en-US"/>
        </w:rPr>
      </w:pPr>
      <w:r w:rsidRPr="00517F31">
        <w:rPr>
          <w:lang w:val="en-US"/>
        </w:rPr>
        <w:t xml:space="preserve">The Katunga Groundwater Management Plan should be updated to explain why it includes monitoring bores that are in the </w:t>
      </w:r>
      <w:proofErr w:type="spellStart"/>
      <w:r w:rsidRPr="00517F31">
        <w:rPr>
          <w:lang w:val="en-US"/>
        </w:rPr>
        <w:t>Shepparton</w:t>
      </w:r>
      <w:proofErr w:type="spellEnd"/>
      <w:r w:rsidRPr="00517F31">
        <w:rPr>
          <w:lang w:val="en-US"/>
        </w:rPr>
        <w:t xml:space="preserve"> GMA.</w:t>
      </w:r>
    </w:p>
    <w:p w14:paraId="5B47CB3E" w14:textId="760E1CAA" w:rsidR="00A0559B" w:rsidRDefault="00517F31" w:rsidP="00517F31">
      <w:pPr>
        <w:rPr>
          <w:lang w:val="en-US"/>
        </w:rPr>
      </w:pPr>
      <w:r w:rsidRPr="00517F31">
        <w:rPr>
          <w:lang w:val="en-US"/>
        </w:rPr>
        <w:t xml:space="preserve">  </w:t>
      </w:r>
    </w:p>
    <w:p w14:paraId="166E9448" w14:textId="77777777" w:rsidR="00A0559B" w:rsidRDefault="00A0559B">
      <w:pPr>
        <w:spacing w:after="0"/>
        <w:rPr>
          <w:lang w:val="en-US"/>
        </w:rPr>
      </w:pPr>
      <w:r>
        <w:rPr>
          <w:lang w:val="en-US"/>
        </w:rPr>
        <w:br w:type="page"/>
      </w:r>
    </w:p>
    <w:p w14:paraId="2B3B3EA3" w14:textId="77777777" w:rsidR="00A0559B" w:rsidRDefault="00A0559B" w:rsidP="00CE6F1B">
      <w:pPr>
        <w:pStyle w:val="Heading1"/>
      </w:pPr>
      <w:bookmarkStart w:id="24" w:name="_Toc146011122"/>
      <w:bookmarkStart w:id="25" w:name="_Toc164679865"/>
      <w:bookmarkStart w:id="26" w:name="_Hlk117000647"/>
      <w:r>
        <w:lastRenderedPageBreak/>
        <w:t>Findings</w:t>
      </w:r>
      <w:bookmarkEnd w:id="24"/>
      <w:bookmarkEnd w:id="25"/>
    </w:p>
    <w:bookmarkEnd w:id="26"/>
    <w:p w14:paraId="6DAD2371" w14:textId="77777777" w:rsidR="00A0559B" w:rsidRPr="00CE6F1B" w:rsidRDefault="00A0559B" w:rsidP="00640D91">
      <w:pPr>
        <w:pStyle w:val="ListNumber"/>
        <w:numPr>
          <w:ilvl w:val="0"/>
          <w:numId w:val="9"/>
        </w:numPr>
        <w:rPr>
          <w:color w:val="000000"/>
          <w:spacing w:val="-2"/>
          <w:lang w:val="en-GB"/>
        </w:rPr>
      </w:pPr>
      <w:r>
        <w:t>It has been identified that sufficient hydraulic connectivity between the location of the seller and location of the buyer before the trade of a water access right is approved is not transparent within the Katunga Groundwater Management Plan. The IGWC is therefore unable to provide assurance that section 12.24(a) of the Basin Plan has been met by reference to the Katunga Groundwater Management Plan.</w:t>
      </w:r>
    </w:p>
    <w:p w14:paraId="62D98396" w14:textId="77777777" w:rsidR="007643F0" w:rsidRDefault="00A0559B" w:rsidP="007643F0">
      <w:pPr>
        <w:ind w:left="720"/>
        <w:rPr>
          <w:color w:val="4C6968" w:themeColor="text1"/>
        </w:rPr>
      </w:pPr>
      <w:r w:rsidRPr="00FA0F2D">
        <w:rPr>
          <w:color w:val="4C6968" w:themeColor="text1"/>
        </w:rPr>
        <w:t>Groundwater trade between two locations that have low or no hydraulic connectivity can lead to increased leakage between aquifers and reduced groundwater levels in other</w:t>
      </w:r>
      <w:r w:rsidR="00CE6F1B" w:rsidRPr="00FA0F2D">
        <w:rPr>
          <w:color w:val="4C6968" w:themeColor="text1"/>
        </w:rPr>
        <w:t xml:space="preserve"> </w:t>
      </w:r>
      <w:r w:rsidRPr="00FA0F2D">
        <w:rPr>
          <w:color w:val="4C6968" w:themeColor="text1"/>
        </w:rPr>
        <w:t>production bores in the area. This may increase the cost of, or even prevent, groundwater</w:t>
      </w:r>
      <w:r w:rsidR="00CE6F1B" w:rsidRPr="00FA0F2D">
        <w:rPr>
          <w:color w:val="4C6968" w:themeColor="text1"/>
        </w:rPr>
        <w:t xml:space="preserve"> </w:t>
      </w:r>
      <w:r w:rsidRPr="00FA0F2D">
        <w:rPr>
          <w:color w:val="4C6968" w:themeColor="text1"/>
        </w:rPr>
        <w:t xml:space="preserve">access for other users and affect water quality.   </w:t>
      </w:r>
    </w:p>
    <w:p w14:paraId="7FDC0B09" w14:textId="14FDACC3" w:rsidR="00A0559B" w:rsidRPr="007643F0" w:rsidRDefault="00A0559B" w:rsidP="007643F0">
      <w:pPr>
        <w:pStyle w:val="ListNumber"/>
        <w:numPr>
          <w:ilvl w:val="0"/>
          <w:numId w:val="9"/>
        </w:numPr>
        <w:rPr>
          <w:color w:val="4C6968" w:themeColor="text1"/>
        </w:rPr>
      </w:pPr>
      <w:r w:rsidRPr="00FA0F2D">
        <w:t xml:space="preserve">DEECA are not entering manual water level measurements into the groundwater database within 30 days of collection. This does not meet DEECA’s requirements set out within the </w:t>
      </w:r>
      <w:r w:rsidRPr="007643F0">
        <w:rPr>
          <w:i/>
          <w:iCs/>
        </w:rPr>
        <w:t xml:space="preserve">Katunga Groundwater Management Plan Prescription 5.2(c). </w:t>
      </w:r>
    </w:p>
    <w:p w14:paraId="1B0AA754" w14:textId="77777777" w:rsidR="00A0559B" w:rsidRPr="00FA0F2D" w:rsidRDefault="00A0559B" w:rsidP="00FA0F2D">
      <w:pPr>
        <w:ind w:left="720"/>
        <w:rPr>
          <w:color w:val="4C6968" w:themeColor="text1"/>
        </w:rPr>
      </w:pPr>
      <w:r w:rsidRPr="00FA0F2D">
        <w:rPr>
          <w:color w:val="4C6968" w:themeColor="text1"/>
        </w:rPr>
        <w:t xml:space="preserve">The information around non-compliance was self-reported by DEECA. Delays in capturing or reporting water level measurements within the required timeframes can cause confusion around information and undermine public confidence. The IGWC does not know how long after the 30 days the information was entered into the Groundwater database. </w:t>
      </w:r>
    </w:p>
    <w:p w14:paraId="6736968E" w14:textId="77777777" w:rsidR="00A0559B" w:rsidRPr="00FA0F2D" w:rsidRDefault="00A0559B" w:rsidP="007643F0">
      <w:pPr>
        <w:pStyle w:val="ListNumber"/>
        <w:numPr>
          <w:ilvl w:val="0"/>
          <w:numId w:val="9"/>
        </w:numPr>
        <w:rPr>
          <w:i/>
          <w:iCs/>
        </w:rPr>
      </w:pPr>
      <w:r w:rsidRPr="00FA0F2D">
        <w:t>Information used by GMW to determine allocation announcements for the Katunga WSPA differs between the Katunga WSPA annual report and the Victorian WMIS. This may lead to requirements as set out in the Katunga Groundwater Management Plan Prescription 2(a</w:t>
      </w:r>
      <w:r w:rsidRPr="00FA0F2D">
        <w:rPr>
          <w:i/>
          <w:iCs/>
        </w:rPr>
        <w:t>)</w:t>
      </w:r>
      <w:r w:rsidRPr="00FA0F2D">
        <w:t xml:space="preserve"> not being met. </w:t>
      </w:r>
      <w:r w:rsidRPr="00FA0F2D">
        <w:rPr>
          <w:i/>
          <w:iCs/>
        </w:rPr>
        <w:t xml:space="preserve"> </w:t>
      </w:r>
    </w:p>
    <w:p w14:paraId="4930D3B1" w14:textId="618FBB1B" w:rsidR="00A0559B" w:rsidRPr="00FA0F2D" w:rsidRDefault="00A0559B" w:rsidP="00FA0F2D">
      <w:pPr>
        <w:ind w:left="720"/>
        <w:rPr>
          <w:color w:val="4C6968" w:themeColor="text1"/>
          <w:szCs w:val="20"/>
        </w:rPr>
      </w:pPr>
      <w:r w:rsidRPr="00FA0F2D">
        <w:rPr>
          <w:color w:val="4C6968" w:themeColor="text1"/>
        </w:rPr>
        <w:t xml:space="preserve">Discrepancies in public data have the potential to undermine how allocation announcements are being determined. </w:t>
      </w:r>
    </w:p>
    <w:p w14:paraId="71361945" w14:textId="77777777" w:rsidR="00A0559B" w:rsidRDefault="00A0559B" w:rsidP="00A0559B">
      <w:pPr>
        <w:jc w:val="both"/>
        <w:rPr>
          <w:b/>
          <w:bCs/>
        </w:rPr>
      </w:pPr>
    </w:p>
    <w:p w14:paraId="14A9B85C" w14:textId="77777777" w:rsidR="00FA0F2D" w:rsidRDefault="00FA0F2D">
      <w:pPr>
        <w:spacing w:after="0"/>
        <w:rPr>
          <w:b/>
          <w:color w:val="48555E" w:themeColor="text2"/>
          <w:sz w:val="32"/>
          <w:szCs w:val="20"/>
        </w:rPr>
      </w:pPr>
      <w:bookmarkStart w:id="27" w:name="_Toc108595341"/>
      <w:bookmarkStart w:id="28" w:name="_Toc146011123"/>
      <w:r>
        <w:br w:type="page"/>
      </w:r>
    </w:p>
    <w:p w14:paraId="43746274" w14:textId="32D79CDE" w:rsidR="00A0559B" w:rsidRDefault="00A0559B" w:rsidP="00FA0F2D">
      <w:pPr>
        <w:pStyle w:val="Heading1"/>
      </w:pPr>
      <w:bookmarkStart w:id="29" w:name="_Toc164679866"/>
      <w:r>
        <w:lastRenderedPageBreak/>
        <w:t>Recommendations</w:t>
      </w:r>
      <w:bookmarkEnd w:id="27"/>
      <w:bookmarkEnd w:id="28"/>
      <w:bookmarkEnd w:id="29"/>
    </w:p>
    <w:p w14:paraId="62F1D5AE" w14:textId="77777777" w:rsidR="00A0559B" w:rsidRPr="00FA0F2D" w:rsidRDefault="00A0559B" w:rsidP="00FA0F2D">
      <w:pPr>
        <w:pStyle w:val="Heading4"/>
        <w:rPr>
          <w:color w:val="4C6968" w:themeColor="text1"/>
          <w:sz w:val="24"/>
          <w:szCs w:val="24"/>
        </w:rPr>
      </w:pPr>
      <w:r w:rsidRPr="00FA0F2D">
        <w:rPr>
          <w:color w:val="4C6968" w:themeColor="text1"/>
          <w:sz w:val="24"/>
          <w:szCs w:val="24"/>
        </w:rPr>
        <w:t xml:space="preserve">Recommendation 1 </w:t>
      </w:r>
    </w:p>
    <w:p w14:paraId="729F505F" w14:textId="77777777" w:rsidR="00A0559B" w:rsidRPr="00FA0F2D" w:rsidRDefault="00A0559B" w:rsidP="00640D91">
      <w:pPr>
        <w:pStyle w:val="ListNumber"/>
        <w:numPr>
          <w:ilvl w:val="0"/>
          <w:numId w:val="10"/>
        </w:numPr>
      </w:pPr>
      <w:r w:rsidRPr="00FA0F2D">
        <w:t>The Katunga Groundwater Management Plan should be amended to demonstrate that there is sufficient hydraulic connectivity between the location of the seller and location of the buyer before the trade of a water access right is approved. This could include reference to, and publication of, the technical assessment currently being relied on by GMW for all groundwater resources managed under the plan.</w:t>
      </w:r>
    </w:p>
    <w:p w14:paraId="64DB3662" w14:textId="77777777" w:rsidR="00A0559B" w:rsidRDefault="00A0559B" w:rsidP="00640D91">
      <w:pPr>
        <w:pStyle w:val="ListNumber"/>
        <w:numPr>
          <w:ilvl w:val="0"/>
          <w:numId w:val="10"/>
        </w:numPr>
      </w:pPr>
      <w:r w:rsidRPr="00FA0F2D">
        <w:t>Victoria should identify changes made to the Katunga Groundwater Management Plan when they report to the MDBA on matters listed in Schedule 12 under section 13.14 of the Basin Plan. Matter 19 of this Schedule requires Basin States to report on whether there have been any amendments to state instruments that affect the operation of a water resource plan or are referenced in accredited text of a water resource plan.</w:t>
      </w:r>
    </w:p>
    <w:p w14:paraId="4024D58B" w14:textId="77777777" w:rsidR="00690697" w:rsidRPr="00FA0F2D" w:rsidRDefault="00690697" w:rsidP="00690697">
      <w:pPr>
        <w:pStyle w:val="ListNumber"/>
        <w:ind w:left="369" w:hanging="369"/>
      </w:pPr>
    </w:p>
    <w:p w14:paraId="48C240C4" w14:textId="30BF672C" w:rsidR="00A0559B" w:rsidRPr="00690697" w:rsidRDefault="00A0559B" w:rsidP="00690697">
      <w:pPr>
        <w:pStyle w:val="Heading4"/>
        <w:rPr>
          <w:color w:val="4C6968" w:themeColor="text1"/>
          <w:sz w:val="24"/>
          <w:szCs w:val="24"/>
        </w:rPr>
      </w:pPr>
      <w:r w:rsidRPr="00690697">
        <w:rPr>
          <w:color w:val="4C6968" w:themeColor="text1"/>
          <w:sz w:val="24"/>
          <w:szCs w:val="24"/>
        </w:rPr>
        <w:t xml:space="preserve">Recommendation 2 </w:t>
      </w:r>
    </w:p>
    <w:p w14:paraId="5F3B8002" w14:textId="77777777" w:rsidR="00A0559B" w:rsidRPr="00690697" w:rsidRDefault="00A0559B" w:rsidP="00640D91">
      <w:pPr>
        <w:pStyle w:val="ListNumber"/>
        <w:numPr>
          <w:ilvl w:val="0"/>
          <w:numId w:val="11"/>
        </w:numPr>
      </w:pPr>
      <w:r w:rsidRPr="00690697">
        <w:t>DEECA should ensure that data collected from the state observation bore network is entered into the groundwater database, within 30 days after it has been collected.</w:t>
      </w:r>
    </w:p>
    <w:p w14:paraId="08AAC0A5" w14:textId="77777777" w:rsidR="00A0559B" w:rsidRPr="00BD3AEB" w:rsidRDefault="00A0559B" w:rsidP="00A0559B">
      <w:pPr>
        <w:ind w:left="284" w:right="538"/>
        <w:rPr>
          <w:lang w:val="en-US"/>
        </w:rPr>
      </w:pPr>
    </w:p>
    <w:p w14:paraId="19AD2D58" w14:textId="77777777" w:rsidR="00A0559B" w:rsidRPr="00690697" w:rsidRDefault="00A0559B" w:rsidP="00690697">
      <w:pPr>
        <w:pStyle w:val="Heading4"/>
        <w:rPr>
          <w:color w:val="4C6968" w:themeColor="text1"/>
          <w:sz w:val="24"/>
          <w:szCs w:val="24"/>
        </w:rPr>
      </w:pPr>
      <w:r w:rsidRPr="00690697">
        <w:rPr>
          <w:color w:val="4C6968" w:themeColor="text1"/>
          <w:sz w:val="24"/>
          <w:szCs w:val="24"/>
        </w:rPr>
        <w:t xml:space="preserve">Recommendation 3 </w:t>
      </w:r>
    </w:p>
    <w:p w14:paraId="23B153AD" w14:textId="77777777" w:rsidR="00A0559B" w:rsidRPr="00690697" w:rsidRDefault="00A0559B" w:rsidP="00640D91">
      <w:pPr>
        <w:pStyle w:val="ListNumber"/>
        <w:numPr>
          <w:ilvl w:val="0"/>
          <w:numId w:val="12"/>
        </w:numPr>
      </w:pPr>
      <w:r w:rsidRPr="00690697">
        <w:t>Groundwater level monitoring processes should be reviewed to ensure that allocation announcements are based on readings that have been validated.</w:t>
      </w:r>
    </w:p>
    <w:p w14:paraId="6F179077" w14:textId="77777777" w:rsidR="005F3C99" w:rsidRPr="00DF3E05" w:rsidRDefault="005F3C99" w:rsidP="00517F31">
      <w:pPr>
        <w:rPr>
          <w:lang w:val="en-US"/>
        </w:rPr>
      </w:pPr>
    </w:p>
    <w:p w14:paraId="1D19F7E7" w14:textId="3FB91775" w:rsidR="00690697" w:rsidRDefault="00690697">
      <w:pPr>
        <w:spacing w:after="0"/>
        <w:rPr>
          <w:color w:val="4C6968" w:themeColor="text1"/>
        </w:rPr>
      </w:pPr>
      <w:r>
        <w:br w:type="page"/>
      </w:r>
    </w:p>
    <w:p w14:paraId="1A65B366" w14:textId="77777777" w:rsidR="00CE3D45" w:rsidRPr="00121180" w:rsidRDefault="00CE3D45" w:rsidP="00410A03">
      <w:pPr>
        <w:pStyle w:val="AppendicesHeading1"/>
      </w:pPr>
      <w:bookmarkStart w:id="30" w:name="_Toc146011124"/>
      <w:bookmarkStart w:id="31" w:name="_Toc164679867"/>
      <w:r w:rsidRPr="00121180">
        <w:lastRenderedPageBreak/>
        <w:t>Appendix A</w:t>
      </w:r>
      <w:bookmarkEnd w:id="30"/>
      <w:bookmarkEnd w:id="31"/>
      <w:r w:rsidRPr="00121180">
        <w:t xml:space="preserve"> </w:t>
      </w:r>
    </w:p>
    <w:p w14:paraId="790D3A8E" w14:textId="1EC62EE4" w:rsidR="00CE3D45" w:rsidRDefault="00CE3D45" w:rsidP="00410A03">
      <w:pPr>
        <w:pStyle w:val="AppendicesHeading2"/>
      </w:pPr>
      <w:bookmarkStart w:id="32" w:name="_Toc146011125"/>
      <w:bookmarkStart w:id="33" w:name="_Toc164679868"/>
      <w:r w:rsidRPr="004875ED">
        <w:t xml:space="preserve">Prescriptions in </w:t>
      </w:r>
      <w:r>
        <w:t xml:space="preserve">Katunga </w:t>
      </w:r>
      <w:r w:rsidRPr="004875ED">
        <w:t>Groundwater Management Plan</w:t>
      </w:r>
      <w:bookmarkEnd w:id="32"/>
      <w:bookmarkEnd w:id="33"/>
    </w:p>
    <w:p w14:paraId="3B80C78F" w14:textId="70881F45" w:rsidR="00410A03" w:rsidRPr="00640D91" w:rsidRDefault="00410A03" w:rsidP="00410A03">
      <w:pPr>
        <w:pStyle w:val="Heading4"/>
        <w:rPr>
          <w:rStyle w:val="Strong"/>
        </w:rPr>
      </w:pPr>
      <w:r w:rsidRPr="00640D91">
        <w:rPr>
          <w:rStyle w:val="Strong"/>
        </w:rPr>
        <w:t>PRESCRIPTION 1: Limit on groundwater licences</w:t>
      </w:r>
    </w:p>
    <w:p w14:paraId="6125BE81" w14:textId="1E6DC448" w:rsidR="00410A03" w:rsidRDefault="00BB40EE" w:rsidP="00410A03">
      <w:r>
        <w:t>GMW must not approve an application for a groundwater licence if the approval of the application would cause:</w:t>
      </w:r>
    </w:p>
    <w:p w14:paraId="1C34ED76" w14:textId="77813F0C" w:rsidR="00BB40EE" w:rsidRDefault="00BB40EE" w:rsidP="00640D91">
      <w:pPr>
        <w:pStyle w:val="ListNumber"/>
        <w:numPr>
          <w:ilvl w:val="0"/>
          <w:numId w:val="13"/>
        </w:numPr>
      </w:pPr>
      <w:r>
        <w:t>The total licenced volume within a 2km radius of the proposed extraction site exceeding 3,700 ML/year; or</w:t>
      </w:r>
    </w:p>
    <w:p w14:paraId="6066947A" w14:textId="15B40303" w:rsidR="00BB40EE" w:rsidRDefault="00BB40EE" w:rsidP="00640D91">
      <w:pPr>
        <w:pStyle w:val="ListNumber"/>
        <w:numPr>
          <w:ilvl w:val="0"/>
          <w:numId w:val="13"/>
        </w:numPr>
      </w:pPr>
      <w:r>
        <w:t xml:space="preserve">The following zone limits to be exceeded. </w:t>
      </w:r>
    </w:p>
    <w:tbl>
      <w:tblPr>
        <w:tblStyle w:val="TableGridLight"/>
        <w:tblW w:w="0" w:type="auto"/>
        <w:tblInd w:w="720" w:type="dxa"/>
        <w:tblLook w:val="04A0" w:firstRow="1" w:lastRow="0" w:firstColumn="1" w:lastColumn="0" w:noHBand="0" w:noVBand="1"/>
      </w:tblPr>
      <w:tblGrid>
        <w:gridCol w:w="4474"/>
        <w:gridCol w:w="4444"/>
      </w:tblGrid>
      <w:tr w:rsidR="00BB40EE" w14:paraId="0D82D62B" w14:textId="77777777" w:rsidTr="00BB40EE">
        <w:trPr>
          <w:cnfStyle w:val="100000000000" w:firstRow="1" w:lastRow="0" w:firstColumn="0" w:lastColumn="0" w:oddVBand="0" w:evenVBand="0" w:oddHBand="0" w:evenHBand="0" w:firstRowFirstColumn="0" w:firstRowLastColumn="0" w:lastRowFirstColumn="0" w:lastRowLastColumn="0"/>
        </w:trPr>
        <w:tc>
          <w:tcPr>
            <w:tcW w:w="4819" w:type="dxa"/>
          </w:tcPr>
          <w:p w14:paraId="5682E1EB" w14:textId="0EDB437E" w:rsidR="00BB40EE" w:rsidRDefault="00BB40EE" w:rsidP="00750AE0">
            <w:pPr>
              <w:pStyle w:val="TableHeader"/>
            </w:pPr>
            <w:r>
              <w:t>Management zone</w:t>
            </w:r>
          </w:p>
        </w:tc>
        <w:tc>
          <w:tcPr>
            <w:tcW w:w="4819" w:type="dxa"/>
          </w:tcPr>
          <w:p w14:paraId="7621E609" w14:textId="77817D41" w:rsidR="00BB40EE" w:rsidRDefault="00BB40EE" w:rsidP="00750AE0">
            <w:pPr>
              <w:pStyle w:val="TableHeader"/>
            </w:pPr>
            <w:r>
              <w:t>Zone limit (ML/year)</w:t>
            </w:r>
          </w:p>
        </w:tc>
      </w:tr>
      <w:tr w:rsidR="00BB40EE" w14:paraId="77BEB6FA" w14:textId="77777777" w:rsidTr="00BB40EE">
        <w:tc>
          <w:tcPr>
            <w:tcW w:w="4819" w:type="dxa"/>
          </w:tcPr>
          <w:p w14:paraId="424B22D3" w14:textId="4CAA5773" w:rsidR="00BB40EE" w:rsidRDefault="00BB40EE" w:rsidP="00750AE0">
            <w:pPr>
              <w:pStyle w:val="TableText"/>
            </w:pPr>
            <w:proofErr w:type="gramStart"/>
            <w:r>
              <w:t>North Western</w:t>
            </w:r>
            <w:proofErr w:type="gramEnd"/>
            <w:r>
              <w:t xml:space="preserve"> Dryland Zone (1061)</w:t>
            </w:r>
          </w:p>
        </w:tc>
        <w:tc>
          <w:tcPr>
            <w:tcW w:w="4819" w:type="dxa"/>
          </w:tcPr>
          <w:p w14:paraId="5783D63D" w14:textId="2AE4B7F5" w:rsidR="00BB40EE" w:rsidRDefault="00BB40EE" w:rsidP="00750AE0">
            <w:pPr>
              <w:pStyle w:val="TableText"/>
            </w:pPr>
            <w:r>
              <w:t>6,500</w:t>
            </w:r>
          </w:p>
        </w:tc>
      </w:tr>
      <w:tr w:rsidR="00BB40EE" w14:paraId="602B884E" w14:textId="77777777" w:rsidTr="00BB40EE">
        <w:tc>
          <w:tcPr>
            <w:tcW w:w="4819" w:type="dxa"/>
          </w:tcPr>
          <w:p w14:paraId="5F9EBEDE" w14:textId="6BF7DB07" w:rsidR="00BB40EE" w:rsidRDefault="00BB40EE" w:rsidP="00750AE0">
            <w:pPr>
              <w:pStyle w:val="TableText"/>
            </w:pPr>
            <w:r>
              <w:t>Numur</w:t>
            </w:r>
            <w:r w:rsidR="00396E8B">
              <w:t>kah-Nathalia Zone (1062)</w:t>
            </w:r>
          </w:p>
        </w:tc>
        <w:tc>
          <w:tcPr>
            <w:tcW w:w="4819" w:type="dxa"/>
          </w:tcPr>
          <w:p w14:paraId="680D4561" w14:textId="49F9C538" w:rsidR="00BB40EE" w:rsidRDefault="00396E8B" w:rsidP="00750AE0">
            <w:pPr>
              <w:pStyle w:val="TableText"/>
            </w:pPr>
            <w:r>
              <w:t>No limit</w:t>
            </w:r>
          </w:p>
        </w:tc>
      </w:tr>
      <w:tr w:rsidR="00396E8B" w14:paraId="798BBE88" w14:textId="77777777" w:rsidTr="00BB40EE">
        <w:tc>
          <w:tcPr>
            <w:tcW w:w="4819" w:type="dxa"/>
          </w:tcPr>
          <w:p w14:paraId="1524B76B" w14:textId="23AB76EB" w:rsidR="00396E8B" w:rsidRDefault="00396E8B" w:rsidP="00750AE0">
            <w:pPr>
              <w:pStyle w:val="TableText"/>
            </w:pPr>
            <w:r>
              <w:t>Cobram Zone (1063)</w:t>
            </w:r>
          </w:p>
        </w:tc>
        <w:tc>
          <w:tcPr>
            <w:tcW w:w="4819" w:type="dxa"/>
          </w:tcPr>
          <w:p w14:paraId="3C9D4C7A" w14:textId="49A66F3F" w:rsidR="00396E8B" w:rsidRDefault="00396E8B" w:rsidP="00750AE0">
            <w:pPr>
              <w:pStyle w:val="TableText"/>
            </w:pPr>
            <w:r>
              <w:t>25,000</w:t>
            </w:r>
          </w:p>
        </w:tc>
      </w:tr>
    </w:tbl>
    <w:p w14:paraId="108230B2" w14:textId="77777777" w:rsidR="00BB40EE" w:rsidRPr="00410A03" w:rsidRDefault="00BB40EE" w:rsidP="00BB40EE">
      <w:pPr>
        <w:pStyle w:val="ListParagraph"/>
      </w:pPr>
    </w:p>
    <w:p w14:paraId="0B8C5D8A" w14:textId="0653FF6D" w:rsidR="00CE3D45" w:rsidRDefault="00CE3D45" w:rsidP="00CE3D45">
      <w:pPr>
        <w:spacing w:after="0"/>
        <w:rPr>
          <w:lang w:val="en-US"/>
        </w:rPr>
      </w:pPr>
    </w:p>
    <w:p w14:paraId="274918E0" w14:textId="7A77596D" w:rsidR="00410A03" w:rsidRDefault="00110183" w:rsidP="00410A03">
      <w:pPr>
        <w:pStyle w:val="Heading4"/>
        <w:rPr>
          <w:b/>
          <w:bCs/>
          <w:lang w:val="en-US"/>
        </w:rPr>
      </w:pPr>
      <w:r w:rsidRPr="00750AE0">
        <w:rPr>
          <w:b/>
          <w:bCs/>
          <w:lang w:val="en-US"/>
        </w:rPr>
        <w:t xml:space="preserve">PRESCRIPTION 2: Restrictions on taking </w:t>
      </w:r>
      <w:proofErr w:type="gramStart"/>
      <w:r w:rsidRPr="00750AE0">
        <w:rPr>
          <w:b/>
          <w:bCs/>
          <w:lang w:val="en-US"/>
        </w:rPr>
        <w:t>groundwater</w:t>
      </w:r>
      <w:proofErr w:type="gramEnd"/>
      <w:r w:rsidRPr="00750AE0">
        <w:rPr>
          <w:b/>
          <w:bCs/>
          <w:lang w:val="en-US"/>
        </w:rPr>
        <w:t xml:space="preserve"> </w:t>
      </w:r>
    </w:p>
    <w:p w14:paraId="70A620CA" w14:textId="77777777" w:rsidR="007D2C19" w:rsidRPr="007D2C19" w:rsidRDefault="007D2C19" w:rsidP="007D2C19">
      <w:pPr>
        <w:rPr>
          <w:lang w:val="en-US"/>
        </w:rPr>
      </w:pPr>
      <w:r w:rsidRPr="007D2C19">
        <w:rPr>
          <w:lang w:val="en-US"/>
        </w:rPr>
        <w:t>By 15 September 2017, and by 1 July each year thereafter GMW will:</w:t>
      </w:r>
    </w:p>
    <w:p w14:paraId="4EC74BE4" w14:textId="77777777" w:rsidR="007D2C19" w:rsidRPr="007D2C19" w:rsidRDefault="007D2C19" w:rsidP="007D2C19">
      <w:pPr>
        <w:pStyle w:val="ListNumber"/>
        <w:numPr>
          <w:ilvl w:val="0"/>
          <w:numId w:val="14"/>
        </w:numPr>
        <w:rPr>
          <w:lang w:val="en-US"/>
        </w:rPr>
      </w:pPr>
      <w:r w:rsidRPr="007D2C19">
        <w:rPr>
          <w:lang w:val="en-US"/>
        </w:rPr>
        <w:t>determine the rolling average of the maximum annual groundwater recovery levels from the preceding five irrigation seasons for bores listed in Schedule 1 and announce a corresponding allocation for the subsequent irrigation season as detailed below:</w:t>
      </w:r>
      <w:r>
        <w:rPr>
          <w:lang w:val="en-US"/>
        </w:rPr>
        <w:br/>
      </w:r>
    </w:p>
    <w:tbl>
      <w:tblPr>
        <w:tblStyle w:val="TableGridLight"/>
        <w:tblW w:w="0" w:type="auto"/>
        <w:tblInd w:w="927" w:type="dxa"/>
        <w:tblLook w:val="04A0" w:firstRow="1" w:lastRow="0" w:firstColumn="1" w:lastColumn="0" w:noHBand="0" w:noVBand="1"/>
      </w:tblPr>
      <w:tblGrid>
        <w:gridCol w:w="4341"/>
        <w:gridCol w:w="4370"/>
      </w:tblGrid>
      <w:tr w:rsidR="007D2C19" w14:paraId="0F2EF05F" w14:textId="77777777" w:rsidTr="00C3252D">
        <w:trPr>
          <w:cnfStyle w:val="100000000000" w:firstRow="1" w:lastRow="0" w:firstColumn="0" w:lastColumn="0" w:oddVBand="0" w:evenVBand="0" w:oddHBand="0" w:evenHBand="0" w:firstRowFirstColumn="0" w:firstRowLastColumn="0" w:lastRowFirstColumn="0" w:lastRowLastColumn="0"/>
        </w:trPr>
        <w:tc>
          <w:tcPr>
            <w:tcW w:w="4341" w:type="dxa"/>
          </w:tcPr>
          <w:p w14:paraId="522EBB1E" w14:textId="2661F390" w:rsidR="007D2C19" w:rsidRPr="00C043B4" w:rsidRDefault="00C043B4" w:rsidP="00C3252D">
            <w:pPr>
              <w:pStyle w:val="TableHeader"/>
              <w:rPr>
                <w:lang w:val="en-US"/>
              </w:rPr>
            </w:pPr>
            <w:r w:rsidRPr="00C043B4">
              <w:rPr>
                <w:lang w:val="en-US"/>
              </w:rPr>
              <w:t>Trigger level depth below</w:t>
            </w:r>
            <w:r>
              <w:rPr>
                <w:lang w:val="en-US"/>
              </w:rPr>
              <w:t xml:space="preserve"> </w:t>
            </w:r>
            <w:r w:rsidRPr="00C043B4">
              <w:rPr>
                <w:lang w:val="en-US"/>
              </w:rPr>
              <w:t>natural surface</w:t>
            </w:r>
            <w:r>
              <w:rPr>
                <w:lang w:val="en-US"/>
              </w:rPr>
              <w:t xml:space="preserve"> </w:t>
            </w:r>
            <w:r w:rsidRPr="00C043B4">
              <w:rPr>
                <w:lang w:val="en-US"/>
              </w:rPr>
              <w:t>(m)</w:t>
            </w:r>
          </w:p>
        </w:tc>
        <w:tc>
          <w:tcPr>
            <w:tcW w:w="4370" w:type="dxa"/>
          </w:tcPr>
          <w:p w14:paraId="65CD4723" w14:textId="71C187F0" w:rsidR="007D2C19" w:rsidRDefault="002A30D1" w:rsidP="00C3252D">
            <w:pPr>
              <w:pStyle w:val="TableHeader"/>
              <w:rPr>
                <w:lang w:val="en-US"/>
              </w:rPr>
            </w:pPr>
            <w:r>
              <w:rPr>
                <w:lang w:val="en-US"/>
              </w:rPr>
              <w:t>Allocation</w:t>
            </w:r>
          </w:p>
        </w:tc>
      </w:tr>
      <w:tr w:rsidR="007D2C19" w14:paraId="2DE2300C" w14:textId="77777777" w:rsidTr="00C3252D">
        <w:tc>
          <w:tcPr>
            <w:tcW w:w="4341" w:type="dxa"/>
          </w:tcPr>
          <w:p w14:paraId="16C81A25" w14:textId="14D1447B" w:rsidR="007D2C19" w:rsidRDefault="00C043B4" w:rsidP="00C3252D">
            <w:pPr>
              <w:pStyle w:val="TableText"/>
              <w:rPr>
                <w:lang w:val="en-US"/>
              </w:rPr>
            </w:pPr>
            <w:r w:rsidRPr="00C043B4">
              <w:rPr>
                <w:lang w:val="en-US"/>
              </w:rPr>
              <w:t>21.0 and above</w:t>
            </w:r>
          </w:p>
        </w:tc>
        <w:tc>
          <w:tcPr>
            <w:tcW w:w="4370" w:type="dxa"/>
          </w:tcPr>
          <w:p w14:paraId="159FC8AC" w14:textId="74EF64DF" w:rsidR="007D2C19" w:rsidRDefault="002A30D1" w:rsidP="00C3252D">
            <w:pPr>
              <w:pStyle w:val="TableText"/>
              <w:rPr>
                <w:lang w:val="en-US"/>
              </w:rPr>
            </w:pPr>
            <w:r>
              <w:rPr>
                <w:lang w:val="en-US"/>
              </w:rPr>
              <w:t>100%</w:t>
            </w:r>
          </w:p>
        </w:tc>
      </w:tr>
      <w:tr w:rsidR="00C043B4" w14:paraId="6E747521" w14:textId="77777777" w:rsidTr="00C3252D">
        <w:tc>
          <w:tcPr>
            <w:tcW w:w="4341" w:type="dxa"/>
          </w:tcPr>
          <w:p w14:paraId="6BAE3806" w14:textId="0258DD2D" w:rsidR="00C043B4" w:rsidRPr="00C043B4" w:rsidRDefault="002A30D1" w:rsidP="00C3252D">
            <w:pPr>
              <w:pStyle w:val="TableText"/>
              <w:rPr>
                <w:lang w:val="en-US"/>
              </w:rPr>
            </w:pPr>
            <w:r w:rsidRPr="002A30D1">
              <w:rPr>
                <w:lang w:val="en-US"/>
              </w:rPr>
              <w:t>21.1 to 24.0</w:t>
            </w:r>
          </w:p>
        </w:tc>
        <w:tc>
          <w:tcPr>
            <w:tcW w:w="4370" w:type="dxa"/>
          </w:tcPr>
          <w:p w14:paraId="15A823DC" w14:textId="5A7EFD15" w:rsidR="00C043B4" w:rsidRDefault="002A30D1" w:rsidP="00C3252D">
            <w:pPr>
              <w:pStyle w:val="TableText"/>
              <w:rPr>
                <w:lang w:val="en-US"/>
              </w:rPr>
            </w:pPr>
            <w:r>
              <w:rPr>
                <w:lang w:val="en-US"/>
              </w:rPr>
              <w:t>70%</w:t>
            </w:r>
          </w:p>
        </w:tc>
      </w:tr>
      <w:tr w:rsidR="002A30D1" w14:paraId="337D7198" w14:textId="77777777" w:rsidTr="00C3252D">
        <w:tc>
          <w:tcPr>
            <w:tcW w:w="4341" w:type="dxa"/>
          </w:tcPr>
          <w:p w14:paraId="337A78C8" w14:textId="22C5396D" w:rsidR="002A30D1" w:rsidRPr="002A30D1" w:rsidRDefault="002A30D1" w:rsidP="00C3252D">
            <w:pPr>
              <w:pStyle w:val="TableText"/>
              <w:rPr>
                <w:lang w:val="en-US"/>
              </w:rPr>
            </w:pPr>
            <w:r w:rsidRPr="002A30D1">
              <w:rPr>
                <w:lang w:val="en-US"/>
              </w:rPr>
              <w:t>Below 24.1</w:t>
            </w:r>
          </w:p>
        </w:tc>
        <w:tc>
          <w:tcPr>
            <w:tcW w:w="4370" w:type="dxa"/>
          </w:tcPr>
          <w:p w14:paraId="7C787069" w14:textId="627876E6" w:rsidR="002A30D1" w:rsidRDefault="00C3252D" w:rsidP="00C3252D">
            <w:pPr>
              <w:pStyle w:val="TableText"/>
              <w:rPr>
                <w:lang w:val="en-US"/>
              </w:rPr>
            </w:pPr>
            <w:r w:rsidRPr="00C3252D">
              <w:rPr>
                <w:lang w:val="en-US"/>
              </w:rPr>
              <w:t>70% and review undertaken by GMW in consultation with Katunga Groundwater Reference Group</w:t>
            </w:r>
          </w:p>
        </w:tc>
      </w:tr>
    </w:tbl>
    <w:p w14:paraId="789F3047" w14:textId="1A2CA70C" w:rsidR="007D2C19" w:rsidRPr="007D2C19" w:rsidRDefault="00C3252D" w:rsidP="007D2C19">
      <w:pPr>
        <w:pStyle w:val="ListNumber"/>
        <w:numPr>
          <w:ilvl w:val="0"/>
          <w:numId w:val="14"/>
        </w:numPr>
        <w:rPr>
          <w:lang w:val="en-US"/>
        </w:rPr>
      </w:pPr>
      <w:r w:rsidRPr="00C3252D">
        <w:rPr>
          <w:lang w:val="en-US"/>
        </w:rPr>
        <w:t xml:space="preserve">announce allocations by listing them on its website, sending letters to all </w:t>
      </w:r>
      <w:proofErr w:type="spellStart"/>
      <w:r w:rsidRPr="00C3252D">
        <w:rPr>
          <w:lang w:val="en-US"/>
        </w:rPr>
        <w:t>licence</w:t>
      </w:r>
      <w:proofErr w:type="spellEnd"/>
      <w:r w:rsidRPr="00C3252D">
        <w:rPr>
          <w:lang w:val="en-US"/>
        </w:rPr>
        <w:t xml:space="preserve"> holders and placing public notices in local newspapers.</w:t>
      </w:r>
    </w:p>
    <w:p w14:paraId="22ED25AA" w14:textId="29D7B1B2" w:rsidR="00CE3D45" w:rsidRDefault="00CE3D45" w:rsidP="00CE3D45">
      <w:pPr>
        <w:spacing w:after="0"/>
        <w:rPr>
          <w:lang w:val="en-US"/>
        </w:rPr>
      </w:pPr>
    </w:p>
    <w:p w14:paraId="78B08540" w14:textId="77777777" w:rsidR="00110183" w:rsidRDefault="00110183" w:rsidP="00CE3D45">
      <w:pPr>
        <w:spacing w:after="0"/>
        <w:rPr>
          <w:lang w:val="en-US"/>
        </w:rPr>
      </w:pPr>
    </w:p>
    <w:p w14:paraId="1D021667" w14:textId="5772FEFA" w:rsidR="00110183" w:rsidRDefault="00E450AD" w:rsidP="00110183">
      <w:pPr>
        <w:pStyle w:val="Heading4"/>
        <w:rPr>
          <w:b/>
          <w:bCs/>
          <w:lang w:val="en-US"/>
        </w:rPr>
      </w:pPr>
      <w:r w:rsidRPr="00D36777">
        <w:rPr>
          <w:b/>
          <w:bCs/>
          <w:lang w:val="en-US"/>
        </w:rPr>
        <w:t xml:space="preserve">PRESCRIPTION 3: Transfer of a groundwater </w:t>
      </w:r>
      <w:proofErr w:type="spellStart"/>
      <w:r w:rsidRPr="00D36777">
        <w:rPr>
          <w:b/>
          <w:bCs/>
          <w:lang w:val="en-US"/>
        </w:rPr>
        <w:t>licence</w:t>
      </w:r>
      <w:proofErr w:type="spellEnd"/>
    </w:p>
    <w:p w14:paraId="34CCD71D" w14:textId="0569F75F" w:rsidR="00330A35" w:rsidRPr="00330A35" w:rsidRDefault="00330A35" w:rsidP="00330A35">
      <w:pPr>
        <w:rPr>
          <w:lang w:val="en-US"/>
        </w:rPr>
      </w:pPr>
      <w:r w:rsidRPr="00330A35">
        <w:rPr>
          <w:b/>
          <w:bCs/>
          <w:lang w:val="en-US"/>
        </w:rPr>
        <w:t>3.1.</w:t>
      </w:r>
      <w:r>
        <w:rPr>
          <w:lang w:val="en-US"/>
        </w:rPr>
        <w:t xml:space="preserve"> </w:t>
      </w:r>
      <w:r w:rsidRPr="00330A35">
        <w:rPr>
          <w:lang w:val="en-US"/>
        </w:rPr>
        <w:t xml:space="preserve"> GMW may approve a permanent transfer of a groundwater </w:t>
      </w:r>
      <w:proofErr w:type="spellStart"/>
      <w:r w:rsidRPr="00330A35">
        <w:rPr>
          <w:lang w:val="en-US"/>
        </w:rPr>
        <w:t>licence</w:t>
      </w:r>
      <w:proofErr w:type="spellEnd"/>
      <w:r w:rsidRPr="00330A35">
        <w:rPr>
          <w:lang w:val="en-US"/>
        </w:rPr>
        <w:t xml:space="preserve"> provided relevant matters have been considered and:</w:t>
      </w:r>
    </w:p>
    <w:p w14:paraId="31655099" w14:textId="7FBFD5F2" w:rsidR="00330A35" w:rsidRPr="00330A35" w:rsidRDefault="00330A35" w:rsidP="00330A35">
      <w:pPr>
        <w:pStyle w:val="ListNumber"/>
        <w:numPr>
          <w:ilvl w:val="0"/>
          <w:numId w:val="15"/>
        </w:numPr>
        <w:rPr>
          <w:lang w:val="en-US"/>
        </w:rPr>
      </w:pPr>
      <w:r w:rsidRPr="00330A35">
        <w:rPr>
          <w:lang w:val="en-US"/>
        </w:rPr>
        <w:lastRenderedPageBreak/>
        <w:t>zone limits in Prescription 1 will not be exceeded; and</w:t>
      </w:r>
    </w:p>
    <w:p w14:paraId="16D1C7FD" w14:textId="10E78994" w:rsidR="00330A35" w:rsidRPr="00330A35" w:rsidRDefault="00330A35" w:rsidP="00330A35">
      <w:pPr>
        <w:pStyle w:val="ListNumber"/>
        <w:numPr>
          <w:ilvl w:val="0"/>
          <w:numId w:val="15"/>
        </w:numPr>
        <w:rPr>
          <w:lang w:val="en-US"/>
        </w:rPr>
      </w:pPr>
      <w:r w:rsidRPr="00330A35">
        <w:rPr>
          <w:lang w:val="en-US"/>
        </w:rPr>
        <w:t>the total licensed volume within 2 km of an applicant's bore will be less than 3,700 ML/</w:t>
      </w:r>
      <w:proofErr w:type="gramStart"/>
      <w:r w:rsidRPr="00330A35">
        <w:rPr>
          <w:lang w:val="en-US"/>
        </w:rPr>
        <w:t>year;</w:t>
      </w:r>
      <w:proofErr w:type="gramEnd"/>
      <w:r w:rsidRPr="00330A35">
        <w:rPr>
          <w:lang w:val="en-US"/>
        </w:rPr>
        <w:t xml:space="preserve"> or</w:t>
      </w:r>
    </w:p>
    <w:p w14:paraId="08F1F68D" w14:textId="12C1BEBD" w:rsidR="00330A35" w:rsidRPr="00330A35" w:rsidRDefault="00330A35" w:rsidP="00330A35">
      <w:pPr>
        <w:pStyle w:val="ListNumber"/>
        <w:numPr>
          <w:ilvl w:val="0"/>
          <w:numId w:val="15"/>
        </w:numPr>
        <w:rPr>
          <w:lang w:val="en-US"/>
        </w:rPr>
      </w:pPr>
      <w:r w:rsidRPr="00330A35">
        <w:rPr>
          <w:lang w:val="en-US"/>
        </w:rPr>
        <w:t xml:space="preserve">where the total licensed volume within 2 km of an applicant's bore is equal to or greater than 3,700 ML/year, the permanent transfer is from other </w:t>
      </w:r>
      <w:proofErr w:type="spellStart"/>
      <w:r w:rsidRPr="00330A35">
        <w:rPr>
          <w:lang w:val="en-US"/>
        </w:rPr>
        <w:t>licence</w:t>
      </w:r>
      <w:proofErr w:type="spellEnd"/>
      <w:r w:rsidRPr="00330A35">
        <w:rPr>
          <w:lang w:val="en-US"/>
        </w:rPr>
        <w:t xml:space="preserve"> holders within a 2 km radius of the applicant's bore.</w:t>
      </w:r>
    </w:p>
    <w:p w14:paraId="458C3732" w14:textId="26D9C9AF" w:rsidR="00330A35" w:rsidRPr="00330A35" w:rsidRDefault="00330A35" w:rsidP="00330A35">
      <w:pPr>
        <w:rPr>
          <w:lang w:val="en-US"/>
        </w:rPr>
      </w:pPr>
      <w:r w:rsidRPr="0032604D">
        <w:rPr>
          <w:b/>
          <w:bCs/>
          <w:lang w:val="en-US"/>
        </w:rPr>
        <w:t>3.2</w:t>
      </w:r>
      <w:r w:rsidR="0032604D" w:rsidRPr="0032604D">
        <w:rPr>
          <w:b/>
          <w:bCs/>
          <w:lang w:val="en-US"/>
        </w:rPr>
        <w:t>.</w:t>
      </w:r>
      <w:r w:rsidRPr="00330A35">
        <w:rPr>
          <w:lang w:val="en-US"/>
        </w:rPr>
        <w:t xml:space="preserve"> GMW may approve a temporary transfer of a groundwater </w:t>
      </w:r>
      <w:proofErr w:type="spellStart"/>
      <w:r w:rsidRPr="00330A35">
        <w:rPr>
          <w:lang w:val="en-US"/>
        </w:rPr>
        <w:t>licence</w:t>
      </w:r>
      <w:proofErr w:type="spellEnd"/>
      <w:r w:rsidRPr="00330A35">
        <w:rPr>
          <w:lang w:val="en-US"/>
        </w:rPr>
        <w:t xml:space="preserve"> provided relevant matters have been considered and:</w:t>
      </w:r>
    </w:p>
    <w:p w14:paraId="2F2E46F1" w14:textId="2215ED25" w:rsidR="00330A35" w:rsidRPr="00330A35" w:rsidRDefault="00330A35" w:rsidP="0032604D">
      <w:pPr>
        <w:pStyle w:val="ListNumber"/>
        <w:numPr>
          <w:ilvl w:val="0"/>
          <w:numId w:val="16"/>
        </w:numPr>
        <w:rPr>
          <w:lang w:val="en-US"/>
        </w:rPr>
      </w:pPr>
      <w:r w:rsidRPr="00330A35">
        <w:rPr>
          <w:lang w:val="en-US"/>
        </w:rPr>
        <w:t>zone limits in Prescription 1 will not be exceeded; and</w:t>
      </w:r>
    </w:p>
    <w:p w14:paraId="1D6453DC" w14:textId="3A0BA673" w:rsidR="00330A35" w:rsidRPr="00330A35" w:rsidRDefault="00330A35" w:rsidP="0032604D">
      <w:pPr>
        <w:pStyle w:val="ListNumber"/>
        <w:numPr>
          <w:ilvl w:val="0"/>
          <w:numId w:val="16"/>
        </w:numPr>
        <w:rPr>
          <w:lang w:val="en-US"/>
        </w:rPr>
      </w:pPr>
      <w:r w:rsidRPr="00330A35">
        <w:rPr>
          <w:lang w:val="en-US"/>
        </w:rPr>
        <w:t>the total licensed volume within 2 km of an applicant's bore will be less than 3,700 ML/</w:t>
      </w:r>
      <w:proofErr w:type="gramStart"/>
      <w:r w:rsidRPr="00330A35">
        <w:rPr>
          <w:lang w:val="en-US"/>
        </w:rPr>
        <w:t>year;</w:t>
      </w:r>
      <w:proofErr w:type="gramEnd"/>
      <w:r w:rsidRPr="00330A35">
        <w:rPr>
          <w:lang w:val="en-US"/>
        </w:rPr>
        <w:t xml:space="preserve"> or</w:t>
      </w:r>
    </w:p>
    <w:p w14:paraId="49EB0984" w14:textId="1684CF9E" w:rsidR="003D6ECD" w:rsidRDefault="00330A35" w:rsidP="00E33D78">
      <w:pPr>
        <w:pStyle w:val="ListNumber"/>
        <w:numPr>
          <w:ilvl w:val="0"/>
          <w:numId w:val="16"/>
        </w:numPr>
        <w:rPr>
          <w:lang w:val="en-US"/>
        </w:rPr>
      </w:pPr>
      <w:r w:rsidRPr="003D6ECD">
        <w:rPr>
          <w:lang w:val="en-US"/>
        </w:rPr>
        <w:t xml:space="preserve">where the total licensed volume within 2 km of an applicant's bore is equal to or greater than 3,700 ML/year </w:t>
      </w:r>
      <w:r w:rsidR="003D6ECD">
        <w:rPr>
          <w:lang w:val="en-US"/>
        </w:rPr>
        <w:t>–</w:t>
      </w:r>
    </w:p>
    <w:p w14:paraId="42668CBE" w14:textId="77777777" w:rsidR="003D6ECD" w:rsidRDefault="00330A35" w:rsidP="00304476">
      <w:pPr>
        <w:pStyle w:val="ListNumber"/>
        <w:numPr>
          <w:ilvl w:val="1"/>
          <w:numId w:val="16"/>
        </w:numPr>
        <w:rPr>
          <w:lang w:val="en-US"/>
        </w:rPr>
      </w:pPr>
      <w:r w:rsidRPr="003D6ECD">
        <w:rPr>
          <w:lang w:val="en-US"/>
        </w:rPr>
        <w:t>the applicant's licensed volume in one water season will not exceed 125% of their permanent licensed volume prior to any temporary trade occurring; or</w:t>
      </w:r>
    </w:p>
    <w:p w14:paraId="22C11B9F" w14:textId="4E057501" w:rsidR="00D36777" w:rsidRPr="003D6ECD" w:rsidRDefault="00330A35" w:rsidP="00304476">
      <w:pPr>
        <w:pStyle w:val="ListNumber"/>
        <w:numPr>
          <w:ilvl w:val="1"/>
          <w:numId w:val="16"/>
        </w:numPr>
        <w:rPr>
          <w:lang w:val="en-US"/>
        </w:rPr>
      </w:pPr>
      <w:r w:rsidRPr="003D6ECD">
        <w:rPr>
          <w:lang w:val="en-US"/>
        </w:rPr>
        <w:t xml:space="preserve">the temporary transfer is from other </w:t>
      </w:r>
      <w:proofErr w:type="spellStart"/>
      <w:r w:rsidRPr="003D6ECD">
        <w:rPr>
          <w:lang w:val="en-US"/>
        </w:rPr>
        <w:t>licence</w:t>
      </w:r>
      <w:proofErr w:type="spellEnd"/>
      <w:r w:rsidRPr="003D6ECD">
        <w:rPr>
          <w:lang w:val="en-US"/>
        </w:rPr>
        <w:t xml:space="preserve"> holders within a 2 km radius of the applicant's </w:t>
      </w:r>
      <w:proofErr w:type="gramStart"/>
      <w:r w:rsidRPr="003D6ECD">
        <w:rPr>
          <w:lang w:val="en-US"/>
        </w:rPr>
        <w:t>bore</w:t>
      </w:r>
      <w:proofErr w:type="gramEnd"/>
    </w:p>
    <w:p w14:paraId="04142EF8" w14:textId="77777777" w:rsidR="00E450AD" w:rsidRDefault="00E450AD" w:rsidP="00CE3D45">
      <w:pPr>
        <w:spacing w:after="0"/>
        <w:rPr>
          <w:lang w:val="en-US"/>
        </w:rPr>
      </w:pPr>
    </w:p>
    <w:p w14:paraId="4E2421FD" w14:textId="1D5FCBE4" w:rsidR="00E450AD" w:rsidRDefault="00E450AD" w:rsidP="00E450AD">
      <w:pPr>
        <w:pStyle w:val="Heading4"/>
        <w:rPr>
          <w:b/>
          <w:bCs/>
          <w:lang w:val="en-US"/>
        </w:rPr>
      </w:pPr>
      <w:r w:rsidRPr="003D6ECD">
        <w:rPr>
          <w:b/>
          <w:bCs/>
          <w:lang w:val="en-US"/>
        </w:rPr>
        <w:t>PRESCRIPTION 5: Groundwater level monitoring</w:t>
      </w:r>
    </w:p>
    <w:p w14:paraId="3D05FC55" w14:textId="77777777" w:rsidR="00F13B6E" w:rsidRPr="00F13B6E" w:rsidRDefault="007E18D0" w:rsidP="00F13B6E">
      <w:pPr>
        <w:rPr>
          <w:lang w:val="en-US"/>
        </w:rPr>
      </w:pPr>
      <w:r w:rsidRPr="0088340F">
        <w:rPr>
          <w:b/>
          <w:bCs/>
          <w:lang w:val="en-US"/>
        </w:rPr>
        <w:t>5.1.</w:t>
      </w:r>
      <w:r>
        <w:rPr>
          <w:lang w:val="en-US"/>
        </w:rPr>
        <w:t xml:space="preserve"> </w:t>
      </w:r>
      <w:r w:rsidR="00F13B6E" w:rsidRPr="00F13B6E">
        <w:rPr>
          <w:lang w:val="en-US"/>
        </w:rPr>
        <w:t>GMW will:</w:t>
      </w:r>
    </w:p>
    <w:p w14:paraId="54689CE4" w14:textId="77777777" w:rsidR="00F13B6E" w:rsidRDefault="00F13B6E" w:rsidP="00404419">
      <w:pPr>
        <w:pStyle w:val="ListNumber2"/>
        <w:numPr>
          <w:ilvl w:val="1"/>
          <w:numId w:val="5"/>
        </w:numPr>
        <w:rPr>
          <w:lang w:val="en-US"/>
        </w:rPr>
      </w:pPr>
      <w:r w:rsidRPr="00F13B6E">
        <w:rPr>
          <w:lang w:val="en-US"/>
        </w:rPr>
        <w:t xml:space="preserve">obtain groundwater levels from bores used for allocation assessments (listed in Schedule 1) </w:t>
      </w:r>
      <w:proofErr w:type="gramStart"/>
      <w:r w:rsidRPr="00F13B6E">
        <w:rPr>
          <w:lang w:val="en-US"/>
        </w:rPr>
        <w:t>on a monthly basis</w:t>
      </w:r>
      <w:proofErr w:type="gramEnd"/>
      <w:r w:rsidRPr="00F13B6E">
        <w:rPr>
          <w:lang w:val="en-US"/>
        </w:rPr>
        <w:t>. If a bore used for allocation assessments becomes defective an alternative bore may be monitored and the defective bore should be decommissioned. The alternative bore will be selected by consensus between DELWP and GMW.</w:t>
      </w:r>
    </w:p>
    <w:p w14:paraId="5874021A" w14:textId="77777777" w:rsidR="0088340F" w:rsidRDefault="00F13B6E" w:rsidP="0088340F">
      <w:pPr>
        <w:pStyle w:val="ListNumber2"/>
        <w:numPr>
          <w:ilvl w:val="1"/>
          <w:numId w:val="5"/>
        </w:numPr>
        <w:rPr>
          <w:lang w:val="en-US"/>
        </w:rPr>
      </w:pPr>
      <w:r w:rsidRPr="00F13B6E">
        <w:rPr>
          <w:lang w:val="en-US"/>
        </w:rPr>
        <w:t>undertake water level monitoring at appropriate locations throughout the Katunga WSPA to:</w:t>
      </w:r>
    </w:p>
    <w:p w14:paraId="5D831169" w14:textId="77777777" w:rsidR="0088340F" w:rsidRPr="0088340F" w:rsidRDefault="0088340F" w:rsidP="0088340F">
      <w:pPr>
        <w:pStyle w:val="ListNumber2"/>
        <w:numPr>
          <w:ilvl w:val="2"/>
          <w:numId w:val="5"/>
        </w:numPr>
        <w:rPr>
          <w:lang w:val="en-US"/>
        </w:rPr>
      </w:pPr>
      <w:r w:rsidRPr="0088340F">
        <w:rPr>
          <w:shd w:val="clear" w:color="auto" w:fill="FFFFFF"/>
        </w:rPr>
        <w:t xml:space="preserve">assess annual and long-term impact on water levels from groundwater </w:t>
      </w:r>
      <w:proofErr w:type="gramStart"/>
      <w:r w:rsidRPr="0088340F">
        <w:rPr>
          <w:shd w:val="clear" w:color="auto" w:fill="FFFFFF"/>
        </w:rPr>
        <w:t>pumping;</w:t>
      </w:r>
      <w:proofErr w:type="gramEnd"/>
    </w:p>
    <w:p w14:paraId="65329777" w14:textId="77777777" w:rsidR="0088340F" w:rsidRPr="0088340F" w:rsidRDefault="0088340F" w:rsidP="0088340F">
      <w:pPr>
        <w:pStyle w:val="ListNumber2"/>
        <w:numPr>
          <w:ilvl w:val="2"/>
          <w:numId w:val="5"/>
        </w:numPr>
        <w:rPr>
          <w:lang w:val="en-US"/>
        </w:rPr>
      </w:pPr>
      <w:r w:rsidRPr="0088340F">
        <w:rPr>
          <w:shd w:val="clear" w:color="auto" w:fill="FFFFFF"/>
        </w:rPr>
        <w:t>monitor regional and local seasonal drawdown; and</w:t>
      </w:r>
    </w:p>
    <w:p w14:paraId="32E05BD0" w14:textId="77777777" w:rsidR="0088340F" w:rsidRDefault="0088340F" w:rsidP="0088340F">
      <w:pPr>
        <w:pStyle w:val="ListNumber2"/>
        <w:numPr>
          <w:ilvl w:val="2"/>
          <w:numId w:val="5"/>
        </w:numPr>
        <w:rPr>
          <w:lang w:val="en-US"/>
        </w:rPr>
      </w:pPr>
      <w:r w:rsidRPr="0088340F">
        <w:rPr>
          <w:shd w:val="clear" w:color="auto" w:fill="FFFFFF"/>
        </w:rPr>
        <w:t>monitor the impacts of groundwater pumping generally across the Katunga WSPA and in areas of high intensity groundwater pumping.</w:t>
      </w:r>
    </w:p>
    <w:p w14:paraId="1B3C57D3" w14:textId="77777777" w:rsidR="0088340F" w:rsidRDefault="0088340F" w:rsidP="0088340F">
      <w:pPr>
        <w:rPr>
          <w:shd w:val="clear" w:color="auto" w:fill="FFFFFF"/>
        </w:rPr>
      </w:pPr>
      <w:r w:rsidRPr="0088340F">
        <w:rPr>
          <w:b/>
          <w:bCs/>
          <w:shd w:val="clear" w:color="auto" w:fill="FFFFFF"/>
        </w:rPr>
        <w:t>5.2.</w:t>
      </w:r>
      <w:r w:rsidRPr="0088340F">
        <w:rPr>
          <w:shd w:val="clear" w:color="auto" w:fill="FFFFFF"/>
        </w:rPr>
        <w:t xml:space="preserve"> DELWP will manage the State observation bore network so that:</w:t>
      </w:r>
    </w:p>
    <w:p w14:paraId="4ACBDE9B" w14:textId="77777777" w:rsidR="0088340F" w:rsidRPr="0088340F" w:rsidRDefault="0088340F" w:rsidP="0088340F">
      <w:pPr>
        <w:pStyle w:val="ListNumber"/>
        <w:numPr>
          <w:ilvl w:val="0"/>
          <w:numId w:val="17"/>
        </w:numPr>
        <w:rPr>
          <w:lang w:val="en-US"/>
        </w:rPr>
      </w:pPr>
      <w:r w:rsidRPr="0088340F">
        <w:rPr>
          <w:shd w:val="clear" w:color="auto" w:fill="FFFFFF"/>
        </w:rPr>
        <w:t xml:space="preserve">continuous regional baseline monitoring is maintained to provide sufficient information to identify changes in groundwater resource availability and </w:t>
      </w:r>
      <w:proofErr w:type="gramStart"/>
      <w:r w:rsidRPr="0088340F">
        <w:rPr>
          <w:shd w:val="clear" w:color="auto" w:fill="FFFFFF"/>
        </w:rPr>
        <w:t>condition;</w:t>
      </w:r>
      <w:proofErr w:type="gramEnd"/>
    </w:p>
    <w:p w14:paraId="519509EE" w14:textId="77777777" w:rsidR="0083443D" w:rsidRPr="0083443D" w:rsidRDefault="0088340F" w:rsidP="0088340F">
      <w:pPr>
        <w:pStyle w:val="ListNumber"/>
        <w:numPr>
          <w:ilvl w:val="0"/>
          <w:numId w:val="17"/>
        </w:numPr>
        <w:rPr>
          <w:lang w:val="en-US"/>
        </w:rPr>
      </w:pPr>
      <w:r w:rsidRPr="0088340F">
        <w:rPr>
          <w:shd w:val="clear" w:color="auto" w:fill="FFFFFF"/>
        </w:rPr>
        <w:t>State observation bores are properly maintained; and</w:t>
      </w:r>
    </w:p>
    <w:p w14:paraId="4618A7F4" w14:textId="19B1923D" w:rsidR="00DB7D20" w:rsidRPr="0088340F" w:rsidRDefault="0088340F" w:rsidP="0088340F">
      <w:pPr>
        <w:pStyle w:val="ListNumber"/>
        <w:numPr>
          <w:ilvl w:val="0"/>
          <w:numId w:val="17"/>
        </w:numPr>
        <w:rPr>
          <w:lang w:val="en-US"/>
        </w:rPr>
      </w:pPr>
      <w:r w:rsidRPr="0088340F">
        <w:rPr>
          <w:shd w:val="clear" w:color="auto" w:fill="FFFFFF"/>
        </w:rPr>
        <w:t>data collected from the bores is entered into the groundwater database, within 30 days after it has been collected.</w:t>
      </w:r>
    </w:p>
    <w:p w14:paraId="42BCE093" w14:textId="3D26D84F" w:rsidR="00CE3D45" w:rsidRDefault="00CE3D45" w:rsidP="0088340F">
      <w:pPr>
        <w:rPr>
          <w:lang w:val="en-US"/>
        </w:rPr>
      </w:pPr>
    </w:p>
    <w:p w14:paraId="2EEEE216" w14:textId="0309721D" w:rsidR="00E450AD" w:rsidRDefault="00E450AD" w:rsidP="00E450AD">
      <w:pPr>
        <w:pStyle w:val="Heading4"/>
        <w:rPr>
          <w:b/>
          <w:bCs/>
          <w:lang w:val="en-US"/>
        </w:rPr>
      </w:pPr>
      <w:r w:rsidRPr="00D0149F">
        <w:rPr>
          <w:b/>
          <w:bCs/>
          <w:lang w:val="en-US"/>
        </w:rPr>
        <w:t>PRESCRIPTION 6: Groundwater salinity monitoring</w:t>
      </w:r>
    </w:p>
    <w:p w14:paraId="401897C6" w14:textId="77777777" w:rsidR="00D0149F" w:rsidRDefault="00D0149F" w:rsidP="00D0149F">
      <w:pPr>
        <w:rPr>
          <w:shd w:val="clear" w:color="auto" w:fill="FFFFFF"/>
        </w:rPr>
      </w:pPr>
      <w:r>
        <w:rPr>
          <w:shd w:val="clear" w:color="auto" w:fill="FFFFFF"/>
        </w:rPr>
        <w:t>GMW must:</w:t>
      </w:r>
    </w:p>
    <w:p w14:paraId="57603723" w14:textId="77777777" w:rsidR="00D0149F" w:rsidRDefault="00D0149F" w:rsidP="00D0149F">
      <w:pPr>
        <w:pStyle w:val="ListNumber"/>
        <w:numPr>
          <w:ilvl w:val="0"/>
          <w:numId w:val="18"/>
        </w:numPr>
        <w:rPr>
          <w:shd w:val="clear" w:color="auto" w:fill="FFFFFF"/>
        </w:rPr>
      </w:pPr>
      <w:r>
        <w:t>s</w:t>
      </w:r>
      <w:r>
        <w:rPr>
          <w:shd w:val="clear" w:color="auto" w:fill="FFFFFF"/>
        </w:rPr>
        <w:t xml:space="preserve">ample bores specified in Schedule 1 and have the samples analysed at an accredited laboratory for salinity once a </w:t>
      </w:r>
      <w:proofErr w:type="gramStart"/>
      <w:r>
        <w:rPr>
          <w:shd w:val="clear" w:color="auto" w:fill="FFFFFF"/>
        </w:rPr>
        <w:t>year;</w:t>
      </w:r>
      <w:proofErr w:type="gramEnd"/>
    </w:p>
    <w:p w14:paraId="1A33AC6C" w14:textId="77777777" w:rsidR="00D0149F" w:rsidRDefault="00D0149F" w:rsidP="00D0149F">
      <w:pPr>
        <w:pStyle w:val="ListNumber"/>
        <w:numPr>
          <w:ilvl w:val="0"/>
          <w:numId w:val="18"/>
        </w:numPr>
        <w:rPr>
          <w:shd w:val="clear" w:color="auto" w:fill="FFFFFF"/>
        </w:rPr>
      </w:pPr>
      <w:r>
        <w:rPr>
          <w:shd w:val="clear" w:color="auto" w:fill="FFFFFF"/>
        </w:rPr>
        <w:lastRenderedPageBreak/>
        <w:t>enter salinity measured in bores referred to in Schedule 1 to the State groundwater database; and</w:t>
      </w:r>
    </w:p>
    <w:p w14:paraId="74273720" w14:textId="4B6A756A" w:rsidR="00D0149F" w:rsidRPr="00D0149F" w:rsidRDefault="00D0149F" w:rsidP="00D0149F">
      <w:pPr>
        <w:pStyle w:val="ListNumber"/>
        <w:numPr>
          <w:ilvl w:val="0"/>
          <w:numId w:val="18"/>
        </w:numPr>
        <w:rPr>
          <w:shd w:val="clear" w:color="auto" w:fill="FFFFFF"/>
        </w:rPr>
      </w:pPr>
      <w:r>
        <w:rPr>
          <w:shd w:val="clear" w:color="auto" w:fill="FFFFFF"/>
        </w:rPr>
        <w:t>provide a sample bottle to any groundwater user in the Katunga WSPA who requests one, test the salinity level of returned samples and provide the results to the groundwater user.</w:t>
      </w:r>
    </w:p>
    <w:p w14:paraId="1C243594" w14:textId="4E27369A" w:rsidR="00CE3D45" w:rsidRDefault="00CE3D45" w:rsidP="00CE3D45">
      <w:pPr>
        <w:spacing w:after="0"/>
        <w:rPr>
          <w:lang w:val="en-US"/>
        </w:rPr>
      </w:pPr>
    </w:p>
    <w:p w14:paraId="60E32B0A" w14:textId="75AB1077" w:rsidR="00E450AD" w:rsidRDefault="00E450AD" w:rsidP="00E450AD">
      <w:pPr>
        <w:pStyle w:val="Heading4"/>
        <w:rPr>
          <w:b/>
          <w:bCs/>
          <w:lang w:val="en-US"/>
        </w:rPr>
      </w:pPr>
      <w:r w:rsidRPr="00D0149F">
        <w:rPr>
          <w:b/>
          <w:bCs/>
          <w:lang w:val="en-US"/>
        </w:rPr>
        <w:t xml:space="preserve">PRESCRIPTION 7: Annual reporting </w:t>
      </w:r>
    </w:p>
    <w:p w14:paraId="08F51812" w14:textId="3CBAB15F" w:rsidR="005E5356" w:rsidRPr="005E5356" w:rsidRDefault="003504B1" w:rsidP="003504B1">
      <w:pPr>
        <w:rPr>
          <w:lang w:val="en-US"/>
        </w:rPr>
      </w:pPr>
      <w:r>
        <w:rPr>
          <w:shd w:val="clear" w:color="auto" w:fill="FFFFFF"/>
        </w:rPr>
        <w:t>By 30 September each year GMW will prepare an annual report on the enforcement and administration of the Plan. The report will be provided to the Minister and the Goulburn Broken Catchment Management Authority and made publicly available on GMW's website.</w:t>
      </w:r>
    </w:p>
    <w:p w14:paraId="3428217E" w14:textId="3D24F829" w:rsidR="00CE3D45" w:rsidRDefault="00CE3D45" w:rsidP="00CE3D45">
      <w:pPr>
        <w:spacing w:after="0"/>
        <w:rPr>
          <w:lang w:val="en-US"/>
        </w:rPr>
      </w:pPr>
      <w:r>
        <w:rPr>
          <w:lang w:val="en-US"/>
        </w:rPr>
        <w:br w:type="page"/>
      </w:r>
    </w:p>
    <w:p w14:paraId="0299B77E" w14:textId="77777777" w:rsidR="00CE3D45" w:rsidRPr="00121180" w:rsidRDefault="00CE3D45" w:rsidP="00E753C8">
      <w:pPr>
        <w:pStyle w:val="AppendicesHeading1"/>
      </w:pPr>
      <w:bookmarkStart w:id="34" w:name="_Toc146011126"/>
      <w:bookmarkStart w:id="35" w:name="_Toc164679869"/>
      <w:r w:rsidRPr="00121180">
        <w:lastRenderedPageBreak/>
        <w:t>Appendix B</w:t>
      </w:r>
      <w:bookmarkEnd w:id="34"/>
      <w:bookmarkEnd w:id="35"/>
      <w:r w:rsidRPr="00121180">
        <w:t xml:space="preserve"> </w:t>
      </w:r>
    </w:p>
    <w:p w14:paraId="5E2112A5" w14:textId="77777777" w:rsidR="00CE3D45" w:rsidRPr="00121180" w:rsidRDefault="00CE3D45" w:rsidP="00E753C8">
      <w:pPr>
        <w:pStyle w:val="AppendicesHeading2"/>
      </w:pPr>
      <w:bookmarkStart w:id="36" w:name="_Toc146011127"/>
      <w:bookmarkStart w:id="37" w:name="_Toc164679870"/>
      <w:r>
        <w:t>Monitoring bores – Allocation assessment and water quality</w:t>
      </w:r>
      <w:bookmarkEnd w:id="36"/>
      <w:bookmarkEnd w:id="37"/>
    </w:p>
    <w:tbl>
      <w:tblPr>
        <w:tblStyle w:val="TableGridLight"/>
        <w:tblW w:w="0" w:type="auto"/>
        <w:tblLook w:val="04A0" w:firstRow="1" w:lastRow="0" w:firstColumn="1" w:lastColumn="0" w:noHBand="0" w:noVBand="1"/>
        <w:tblCaption w:val="Monitoring bores – Allocation assessment and water quality"/>
        <w:tblDescription w:val="This table provides data of monitoring bores - allocation assessment and water quality. Data provided includes the management zone, location, bore ID and monitoring purpose (allocation assessment and/or groundwater quality)."/>
      </w:tblPr>
      <w:tblGrid>
        <w:gridCol w:w="1690"/>
        <w:gridCol w:w="3185"/>
        <w:gridCol w:w="1534"/>
        <w:gridCol w:w="1536"/>
        <w:gridCol w:w="1693"/>
      </w:tblGrid>
      <w:tr w:rsidR="0056323E" w14:paraId="16B38B83" w14:textId="77777777" w:rsidTr="00BB69F3">
        <w:trPr>
          <w:cnfStyle w:val="100000000000" w:firstRow="1" w:lastRow="0" w:firstColumn="0" w:lastColumn="0" w:oddVBand="0" w:evenVBand="0" w:oddHBand="0" w:evenHBand="0" w:firstRowFirstColumn="0" w:firstRowLastColumn="0" w:lastRowFirstColumn="0" w:lastRowLastColumn="0"/>
          <w:cantSplit/>
          <w:trHeight w:val="1425"/>
          <w:tblHeader/>
        </w:trPr>
        <w:tc>
          <w:tcPr>
            <w:tcW w:w="1696" w:type="dxa"/>
            <w:vAlign w:val="center"/>
          </w:tcPr>
          <w:p w14:paraId="35D534C9" w14:textId="4ADDF87E" w:rsidR="000C7159" w:rsidRPr="000C7159" w:rsidRDefault="0056323E" w:rsidP="00D3756D">
            <w:pPr>
              <w:pStyle w:val="TableHeader"/>
            </w:pPr>
            <w:r w:rsidRPr="000C7159">
              <w:t>Management Zone</w:t>
            </w:r>
          </w:p>
        </w:tc>
        <w:tc>
          <w:tcPr>
            <w:tcW w:w="3614" w:type="dxa"/>
            <w:vAlign w:val="center"/>
          </w:tcPr>
          <w:p w14:paraId="4F56E2A1" w14:textId="180D78AD" w:rsidR="000C7159" w:rsidRPr="000C7159" w:rsidRDefault="0056323E" w:rsidP="00D3756D">
            <w:pPr>
              <w:pStyle w:val="TableHeader"/>
            </w:pPr>
            <w:r w:rsidRPr="000C7159">
              <w:t>Location</w:t>
            </w:r>
          </w:p>
        </w:tc>
        <w:tc>
          <w:tcPr>
            <w:tcW w:w="1555" w:type="dxa"/>
            <w:vAlign w:val="center"/>
          </w:tcPr>
          <w:p w14:paraId="53410BA3" w14:textId="6785EE22" w:rsidR="000C7159" w:rsidRPr="000C7159" w:rsidRDefault="0056323E" w:rsidP="00D3756D">
            <w:pPr>
              <w:pStyle w:val="TableHeader"/>
            </w:pPr>
            <w:r w:rsidRPr="000C7159">
              <w:t>Bore ID</w:t>
            </w:r>
          </w:p>
        </w:tc>
        <w:tc>
          <w:tcPr>
            <w:tcW w:w="1381" w:type="dxa"/>
            <w:vAlign w:val="center"/>
          </w:tcPr>
          <w:p w14:paraId="358164AE" w14:textId="049F95DC" w:rsidR="000C7159" w:rsidRPr="000C7159" w:rsidRDefault="0056323E" w:rsidP="00D3756D">
            <w:pPr>
              <w:pStyle w:val="TableHeader"/>
            </w:pPr>
            <w:r w:rsidRPr="000C7159">
              <w:t>Monitoring purpose: Allocation assessment</w:t>
            </w:r>
          </w:p>
        </w:tc>
        <w:tc>
          <w:tcPr>
            <w:tcW w:w="1382" w:type="dxa"/>
            <w:vAlign w:val="center"/>
          </w:tcPr>
          <w:p w14:paraId="01683B32" w14:textId="1FE1FA5D" w:rsidR="000C7159" w:rsidRPr="000C7159" w:rsidRDefault="0056323E" w:rsidP="00D3756D">
            <w:pPr>
              <w:pStyle w:val="TableHeader"/>
            </w:pPr>
            <w:r w:rsidRPr="000C7159">
              <w:t>Monitoring purpose: Groundwater quality</w:t>
            </w:r>
          </w:p>
        </w:tc>
      </w:tr>
      <w:tr w:rsidR="00CE3D45" w14:paraId="130A0265" w14:textId="77777777" w:rsidTr="000C19BE">
        <w:tc>
          <w:tcPr>
            <w:tcW w:w="1696" w:type="dxa"/>
            <w:vMerge w:val="restart"/>
            <w:vAlign w:val="center"/>
          </w:tcPr>
          <w:p w14:paraId="738739EF" w14:textId="77777777" w:rsidR="00CE3D45" w:rsidRPr="00963565" w:rsidRDefault="00CE3D45" w:rsidP="000C19BE">
            <w:pPr>
              <w:pStyle w:val="TableText"/>
            </w:pPr>
            <w:proofErr w:type="gramStart"/>
            <w:r w:rsidRPr="00963565">
              <w:t>North Western</w:t>
            </w:r>
            <w:proofErr w:type="gramEnd"/>
            <w:r w:rsidRPr="00963565">
              <w:t xml:space="preserve"> Dryland Zone - 1061</w:t>
            </w:r>
          </w:p>
        </w:tc>
        <w:tc>
          <w:tcPr>
            <w:tcW w:w="3614" w:type="dxa"/>
            <w:vMerge w:val="restart"/>
            <w:vAlign w:val="center"/>
          </w:tcPr>
          <w:p w14:paraId="4AF11939" w14:textId="77777777" w:rsidR="00CE3D45" w:rsidRPr="00963565" w:rsidRDefault="00CE3D45" w:rsidP="000C19BE">
            <w:pPr>
              <w:pStyle w:val="TableText"/>
            </w:pPr>
            <w:r>
              <w:t>River Road, Barmah National Park</w:t>
            </w:r>
          </w:p>
        </w:tc>
        <w:tc>
          <w:tcPr>
            <w:tcW w:w="1555" w:type="dxa"/>
          </w:tcPr>
          <w:p w14:paraId="1BFF675A" w14:textId="74E932F6" w:rsidR="00CE3D45" w:rsidRPr="00963565" w:rsidRDefault="00CE3D45" w:rsidP="000C19BE">
            <w:pPr>
              <w:pStyle w:val="TableText"/>
            </w:pPr>
            <w:r>
              <w:t>WRK953007</w:t>
            </w:r>
          </w:p>
        </w:tc>
        <w:tc>
          <w:tcPr>
            <w:tcW w:w="1385" w:type="dxa"/>
          </w:tcPr>
          <w:p w14:paraId="302CBAB8" w14:textId="0C1D743C" w:rsidR="00CE3D45" w:rsidRPr="00963565" w:rsidRDefault="00D3756D" w:rsidP="000C19BE">
            <w:pPr>
              <w:pStyle w:val="TableText"/>
            </w:pPr>
            <w:r>
              <w:t>N</w:t>
            </w:r>
            <w:r w:rsidR="004F0479">
              <w:t>il</w:t>
            </w:r>
          </w:p>
        </w:tc>
        <w:tc>
          <w:tcPr>
            <w:tcW w:w="1378" w:type="dxa"/>
          </w:tcPr>
          <w:p w14:paraId="3F03E236" w14:textId="29C45F4B" w:rsidR="00CE3D45" w:rsidRPr="001C6B45" w:rsidRDefault="00D3756D" w:rsidP="000C19BE">
            <w:pPr>
              <w:pStyle w:val="TableText"/>
            </w:pPr>
            <w:r>
              <w:t>Yes</w:t>
            </w:r>
          </w:p>
        </w:tc>
      </w:tr>
      <w:tr w:rsidR="00CE3D45" w14:paraId="632E1572" w14:textId="77777777" w:rsidTr="000C19BE">
        <w:tc>
          <w:tcPr>
            <w:tcW w:w="1696" w:type="dxa"/>
            <w:vMerge/>
            <w:vAlign w:val="center"/>
          </w:tcPr>
          <w:p w14:paraId="020A88D4" w14:textId="77777777" w:rsidR="00CE3D45" w:rsidRPr="00963565" w:rsidRDefault="00CE3D45" w:rsidP="000C19BE">
            <w:pPr>
              <w:pStyle w:val="TableText"/>
            </w:pPr>
          </w:p>
        </w:tc>
        <w:tc>
          <w:tcPr>
            <w:tcW w:w="3614" w:type="dxa"/>
            <w:vMerge/>
            <w:vAlign w:val="center"/>
          </w:tcPr>
          <w:p w14:paraId="692FDFF7" w14:textId="77777777" w:rsidR="00CE3D45" w:rsidRPr="00963565" w:rsidRDefault="00CE3D45" w:rsidP="000C19BE">
            <w:pPr>
              <w:pStyle w:val="TableText"/>
            </w:pPr>
          </w:p>
        </w:tc>
        <w:tc>
          <w:tcPr>
            <w:tcW w:w="1555" w:type="dxa"/>
          </w:tcPr>
          <w:p w14:paraId="353E0793" w14:textId="3566AACD" w:rsidR="00CE3D45" w:rsidRPr="00963565" w:rsidRDefault="00CE3D45" w:rsidP="000C19BE">
            <w:pPr>
              <w:pStyle w:val="TableText"/>
            </w:pPr>
            <w:r>
              <w:t>WRK953008</w:t>
            </w:r>
          </w:p>
        </w:tc>
        <w:tc>
          <w:tcPr>
            <w:tcW w:w="1385" w:type="dxa"/>
          </w:tcPr>
          <w:p w14:paraId="27B55504" w14:textId="62A4BCEF" w:rsidR="00CE3D45" w:rsidRPr="00963565" w:rsidRDefault="004F0479" w:rsidP="000C19BE">
            <w:pPr>
              <w:pStyle w:val="TableText"/>
            </w:pPr>
            <w:r>
              <w:t>Nil</w:t>
            </w:r>
          </w:p>
        </w:tc>
        <w:tc>
          <w:tcPr>
            <w:tcW w:w="1378" w:type="dxa"/>
          </w:tcPr>
          <w:p w14:paraId="728B4049" w14:textId="0B212E15" w:rsidR="00CE3D45" w:rsidRPr="00963565" w:rsidRDefault="00D3756D" w:rsidP="000C19BE">
            <w:pPr>
              <w:pStyle w:val="TableText"/>
            </w:pPr>
            <w:r>
              <w:t>Yes</w:t>
            </w:r>
          </w:p>
        </w:tc>
      </w:tr>
      <w:tr w:rsidR="00CE3D45" w14:paraId="0962FB49" w14:textId="77777777" w:rsidTr="000C19BE">
        <w:tc>
          <w:tcPr>
            <w:tcW w:w="1696" w:type="dxa"/>
            <w:vMerge w:val="restart"/>
            <w:vAlign w:val="center"/>
          </w:tcPr>
          <w:p w14:paraId="236E556D" w14:textId="32BA389E" w:rsidR="00CE3D45" w:rsidRPr="00963565" w:rsidRDefault="00CE3D45" w:rsidP="000C19BE">
            <w:pPr>
              <w:pStyle w:val="TableText"/>
            </w:pPr>
            <w:r>
              <w:t>Numurkah – Nathalia Zone 1062</w:t>
            </w:r>
          </w:p>
        </w:tc>
        <w:tc>
          <w:tcPr>
            <w:tcW w:w="3614" w:type="dxa"/>
            <w:vAlign w:val="center"/>
          </w:tcPr>
          <w:p w14:paraId="5AD00F29" w14:textId="77777777" w:rsidR="00CE3D45" w:rsidRPr="00963565" w:rsidRDefault="00CE3D45" w:rsidP="000C19BE">
            <w:pPr>
              <w:pStyle w:val="TableText"/>
            </w:pPr>
            <w:proofErr w:type="spellStart"/>
            <w:r>
              <w:t>Allerts</w:t>
            </w:r>
            <w:proofErr w:type="spellEnd"/>
            <w:r>
              <w:t xml:space="preserve"> Road, Katunga</w:t>
            </w:r>
          </w:p>
        </w:tc>
        <w:tc>
          <w:tcPr>
            <w:tcW w:w="1555" w:type="dxa"/>
          </w:tcPr>
          <w:p w14:paraId="60371CAB" w14:textId="05956452" w:rsidR="00CE3D45" w:rsidRPr="00963565" w:rsidRDefault="00CE3D45" w:rsidP="000C19BE">
            <w:pPr>
              <w:pStyle w:val="TableText"/>
            </w:pPr>
            <w:r>
              <w:t>69710</w:t>
            </w:r>
          </w:p>
        </w:tc>
        <w:tc>
          <w:tcPr>
            <w:tcW w:w="1385" w:type="dxa"/>
          </w:tcPr>
          <w:p w14:paraId="3D53BA57" w14:textId="39C8E0BB" w:rsidR="00CE3D45" w:rsidRPr="00963565" w:rsidRDefault="00D3756D" w:rsidP="000C19BE">
            <w:pPr>
              <w:pStyle w:val="TableText"/>
            </w:pPr>
            <w:r>
              <w:t>Yes</w:t>
            </w:r>
          </w:p>
        </w:tc>
        <w:tc>
          <w:tcPr>
            <w:tcW w:w="1378" w:type="dxa"/>
          </w:tcPr>
          <w:p w14:paraId="50207CDD" w14:textId="0F301B86" w:rsidR="00CE3D45" w:rsidRPr="00963565" w:rsidRDefault="004F0479" w:rsidP="000C19BE">
            <w:pPr>
              <w:pStyle w:val="TableText"/>
            </w:pPr>
            <w:r>
              <w:t>Nil</w:t>
            </w:r>
          </w:p>
        </w:tc>
      </w:tr>
      <w:tr w:rsidR="00CE3D45" w14:paraId="441BAF1B" w14:textId="77777777" w:rsidTr="000C19BE">
        <w:tc>
          <w:tcPr>
            <w:tcW w:w="1696" w:type="dxa"/>
            <w:vMerge/>
            <w:vAlign w:val="center"/>
          </w:tcPr>
          <w:p w14:paraId="354EE08F" w14:textId="77777777" w:rsidR="00CE3D45" w:rsidRPr="00963565" w:rsidRDefault="00CE3D45" w:rsidP="000C19BE">
            <w:pPr>
              <w:pStyle w:val="TableText"/>
            </w:pPr>
          </w:p>
        </w:tc>
        <w:tc>
          <w:tcPr>
            <w:tcW w:w="3614" w:type="dxa"/>
            <w:vAlign w:val="center"/>
          </w:tcPr>
          <w:p w14:paraId="2E099AE7" w14:textId="77777777" w:rsidR="00CE3D45" w:rsidRPr="00963565" w:rsidRDefault="00CE3D45" w:rsidP="000C19BE">
            <w:pPr>
              <w:pStyle w:val="TableText"/>
            </w:pPr>
            <w:r>
              <w:t>Boards Road, Strathmerton</w:t>
            </w:r>
          </w:p>
        </w:tc>
        <w:tc>
          <w:tcPr>
            <w:tcW w:w="1555" w:type="dxa"/>
          </w:tcPr>
          <w:p w14:paraId="26B04748" w14:textId="6F590962" w:rsidR="00CE3D45" w:rsidRPr="00963565" w:rsidRDefault="00CE3D45" w:rsidP="000C19BE">
            <w:pPr>
              <w:pStyle w:val="TableText"/>
            </w:pPr>
            <w:r>
              <w:t>92446</w:t>
            </w:r>
          </w:p>
        </w:tc>
        <w:tc>
          <w:tcPr>
            <w:tcW w:w="1385" w:type="dxa"/>
          </w:tcPr>
          <w:p w14:paraId="53AB6FAB" w14:textId="58F6D8C7" w:rsidR="00CE3D45" w:rsidRPr="00963565" w:rsidRDefault="004F0479" w:rsidP="000C19BE">
            <w:pPr>
              <w:pStyle w:val="TableText"/>
            </w:pPr>
            <w:r>
              <w:t>Yes</w:t>
            </w:r>
          </w:p>
        </w:tc>
        <w:tc>
          <w:tcPr>
            <w:tcW w:w="1378" w:type="dxa"/>
          </w:tcPr>
          <w:p w14:paraId="72E7DD24" w14:textId="688814E6" w:rsidR="00CE3D45" w:rsidRPr="00963565" w:rsidRDefault="004F0479" w:rsidP="000C19BE">
            <w:pPr>
              <w:pStyle w:val="TableText"/>
            </w:pPr>
            <w:r>
              <w:t>Nil</w:t>
            </w:r>
          </w:p>
        </w:tc>
      </w:tr>
      <w:tr w:rsidR="00CE3D45" w14:paraId="0B195F17" w14:textId="77777777" w:rsidTr="000C19BE">
        <w:trPr>
          <w:trHeight w:val="470"/>
        </w:trPr>
        <w:tc>
          <w:tcPr>
            <w:tcW w:w="1696" w:type="dxa"/>
            <w:vMerge/>
            <w:vAlign w:val="center"/>
          </w:tcPr>
          <w:p w14:paraId="7519708D" w14:textId="77777777" w:rsidR="00CE3D45" w:rsidRPr="00963565" w:rsidRDefault="00CE3D45" w:rsidP="000C19BE">
            <w:pPr>
              <w:pStyle w:val="TableText"/>
            </w:pPr>
          </w:p>
        </w:tc>
        <w:tc>
          <w:tcPr>
            <w:tcW w:w="3614" w:type="dxa"/>
            <w:vAlign w:val="center"/>
          </w:tcPr>
          <w:p w14:paraId="6BFFD7F1" w14:textId="77777777" w:rsidR="00CE3D45" w:rsidRPr="00963565" w:rsidRDefault="00CE3D45" w:rsidP="000C19BE">
            <w:pPr>
              <w:pStyle w:val="TableText"/>
            </w:pPr>
            <w:r>
              <w:t>Goulburn Valley Highway, Katunga</w:t>
            </w:r>
          </w:p>
        </w:tc>
        <w:tc>
          <w:tcPr>
            <w:tcW w:w="1555" w:type="dxa"/>
          </w:tcPr>
          <w:p w14:paraId="510C292B" w14:textId="77777777" w:rsidR="00CE3D45" w:rsidRPr="00963565" w:rsidRDefault="00CE3D45" w:rsidP="000C19BE">
            <w:pPr>
              <w:pStyle w:val="TableText"/>
            </w:pPr>
            <w:r>
              <w:t>48282</w:t>
            </w:r>
          </w:p>
        </w:tc>
        <w:tc>
          <w:tcPr>
            <w:tcW w:w="1385" w:type="dxa"/>
          </w:tcPr>
          <w:p w14:paraId="5A9430C2" w14:textId="36D64275" w:rsidR="00CE3D45" w:rsidRPr="00963565" w:rsidRDefault="004F0479" w:rsidP="000C19BE">
            <w:pPr>
              <w:pStyle w:val="TableText"/>
            </w:pPr>
            <w:r>
              <w:t>Yes</w:t>
            </w:r>
          </w:p>
        </w:tc>
        <w:tc>
          <w:tcPr>
            <w:tcW w:w="1378" w:type="dxa"/>
          </w:tcPr>
          <w:p w14:paraId="021F7007" w14:textId="54C041BE" w:rsidR="00CE3D45" w:rsidRPr="00963565" w:rsidRDefault="004F0479" w:rsidP="000C19BE">
            <w:pPr>
              <w:pStyle w:val="TableText"/>
            </w:pPr>
            <w:r>
              <w:t>Nil</w:t>
            </w:r>
          </w:p>
        </w:tc>
      </w:tr>
      <w:tr w:rsidR="00CE3D45" w14:paraId="39A20F92" w14:textId="77777777" w:rsidTr="000C19BE">
        <w:tc>
          <w:tcPr>
            <w:tcW w:w="1696" w:type="dxa"/>
            <w:vMerge/>
            <w:vAlign w:val="center"/>
          </w:tcPr>
          <w:p w14:paraId="67619EB7" w14:textId="77777777" w:rsidR="00CE3D45" w:rsidRPr="00963565" w:rsidRDefault="00CE3D45" w:rsidP="000C19BE">
            <w:pPr>
              <w:pStyle w:val="TableText"/>
            </w:pPr>
          </w:p>
        </w:tc>
        <w:tc>
          <w:tcPr>
            <w:tcW w:w="3614" w:type="dxa"/>
            <w:vMerge w:val="restart"/>
            <w:vAlign w:val="center"/>
          </w:tcPr>
          <w:p w14:paraId="1762A229" w14:textId="77777777" w:rsidR="00CE3D45" w:rsidRPr="00963565" w:rsidRDefault="00CE3D45" w:rsidP="000C19BE">
            <w:pPr>
              <w:pStyle w:val="TableText"/>
            </w:pPr>
            <w:r>
              <w:t>Goulburn Valley Highway, Numurkah</w:t>
            </w:r>
          </w:p>
        </w:tc>
        <w:tc>
          <w:tcPr>
            <w:tcW w:w="1555" w:type="dxa"/>
          </w:tcPr>
          <w:p w14:paraId="4B0B814B" w14:textId="346AA5F9" w:rsidR="00CE3D45" w:rsidRPr="00963565" w:rsidRDefault="00CE3D45" w:rsidP="000C19BE">
            <w:pPr>
              <w:pStyle w:val="TableText"/>
            </w:pPr>
            <w:r>
              <w:t>48281</w:t>
            </w:r>
          </w:p>
        </w:tc>
        <w:tc>
          <w:tcPr>
            <w:tcW w:w="1385" w:type="dxa"/>
          </w:tcPr>
          <w:p w14:paraId="136BF31D" w14:textId="6EA6FB8C" w:rsidR="00CE3D45" w:rsidRPr="00963565" w:rsidRDefault="004F0479" w:rsidP="000C19BE">
            <w:pPr>
              <w:pStyle w:val="TableText"/>
            </w:pPr>
            <w:r>
              <w:t>Nil</w:t>
            </w:r>
          </w:p>
        </w:tc>
        <w:tc>
          <w:tcPr>
            <w:tcW w:w="1378" w:type="dxa"/>
          </w:tcPr>
          <w:p w14:paraId="2F5A6359" w14:textId="29D01E9F" w:rsidR="00CE3D45" w:rsidRPr="00963565" w:rsidRDefault="004F0479" w:rsidP="000C19BE">
            <w:pPr>
              <w:pStyle w:val="TableText"/>
            </w:pPr>
            <w:r>
              <w:t>Yes</w:t>
            </w:r>
          </w:p>
        </w:tc>
      </w:tr>
      <w:tr w:rsidR="00CE3D45" w14:paraId="640A313D" w14:textId="77777777" w:rsidTr="000C19BE">
        <w:tc>
          <w:tcPr>
            <w:tcW w:w="1696" w:type="dxa"/>
            <w:vMerge/>
            <w:vAlign w:val="center"/>
          </w:tcPr>
          <w:p w14:paraId="193C1D66" w14:textId="77777777" w:rsidR="00CE3D45" w:rsidRPr="00963565" w:rsidRDefault="00CE3D45" w:rsidP="000C19BE">
            <w:pPr>
              <w:pStyle w:val="TableText"/>
            </w:pPr>
          </w:p>
        </w:tc>
        <w:tc>
          <w:tcPr>
            <w:tcW w:w="3614" w:type="dxa"/>
            <w:vMerge/>
            <w:vAlign w:val="center"/>
          </w:tcPr>
          <w:p w14:paraId="32407EDD" w14:textId="77777777" w:rsidR="00CE3D45" w:rsidRPr="00963565" w:rsidRDefault="00CE3D45" w:rsidP="000C19BE">
            <w:pPr>
              <w:pStyle w:val="TableText"/>
            </w:pPr>
          </w:p>
        </w:tc>
        <w:tc>
          <w:tcPr>
            <w:tcW w:w="1555" w:type="dxa"/>
          </w:tcPr>
          <w:p w14:paraId="5F0FFC62" w14:textId="381FD1F0" w:rsidR="00CE3D45" w:rsidRPr="00963565" w:rsidRDefault="00CE3D45" w:rsidP="000C19BE">
            <w:pPr>
              <w:pStyle w:val="TableText"/>
            </w:pPr>
            <w:r>
              <w:t>48288</w:t>
            </w:r>
          </w:p>
        </w:tc>
        <w:tc>
          <w:tcPr>
            <w:tcW w:w="1385" w:type="dxa"/>
          </w:tcPr>
          <w:p w14:paraId="03523537" w14:textId="3033763B" w:rsidR="00CE3D45" w:rsidRPr="00963565" w:rsidRDefault="004F0479" w:rsidP="000C19BE">
            <w:pPr>
              <w:pStyle w:val="TableText"/>
            </w:pPr>
            <w:r>
              <w:t>Nil</w:t>
            </w:r>
          </w:p>
        </w:tc>
        <w:tc>
          <w:tcPr>
            <w:tcW w:w="1378" w:type="dxa"/>
          </w:tcPr>
          <w:p w14:paraId="03D02AE4" w14:textId="44C8FCC7" w:rsidR="00CE3D45" w:rsidRPr="00963565" w:rsidRDefault="004F0479" w:rsidP="000C19BE">
            <w:pPr>
              <w:pStyle w:val="TableText"/>
            </w:pPr>
            <w:r>
              <w:t>Yes</w:t>
            </w:r>
          </w:p>
        </w:tc>
      </w:tr>
      <w:tr w:rsidR="00CE3D45" w14:paraId="3FDAEB52" w14:textId="77777777" w:rsidTr="000C19BE">
        <w:tc>
          <w:tcPr>
            <w:tcW w:w="1696" w:type="dxa"/>
            <w:vMerge/>
            <w:vAlign w:val="center"/>
          </w:tcPr>
          <w:p w14:paraId="760FDBC5" w14:textId="77777777" w:rsidR="00CE3D45" w:rsidRPr="00963565" w:rsidRDefault="00CE3D45" w:rsidP="000C19BE">
            <w:pPr>
              <w:pStyle w:val="TableText"/>
            </w:pPr>
          </w:p>
        </w:tc>
        <w:tc>
          <w:tcPr>
            <w:tcW w:w="3614" w:type="dxa"/>
            <w:vMerge w:val="restart"/>
            <w:vAlign w:val="center"/>
          </w:tcPr>
          <w:p w14:paraId="15ECB659" w14:textId="77777777" w:rsidR="00CE3D45" w:rsidRPr="00963565" w:rsidRDefault="00CE3D45" w:rsidP="000C19BE">
            <w:pPr>
              <w:pStyle w:val="TableText"/>
            </w:pPr>
            <w:r>
              <w:t>James Bridge Road, Picola</w:t>
            </w:r>
          </w:p>
        </w:tc>
        <w:tc>
          <w:tcPr>
            <w:tcW w:w="1555" w:type="dxa"/>
          </w:tcPr>
          <w:p w14:paraId="151E9724" w14:textId="11B8F13A" w:rsidR="00CE3D45" w:rsidRPr="00963565" w:rsidRDefault="00CE3D45" w:rsidP="000C19BE">
            <w:pPr>
              <w:pStyle w:val="TableText"/>
            </w:pPr>
            <w:r>
              <w:t>84016</w:t>
            </w:r>
          </w:p>
        </w:tc>
        <w:tc>
          <w:tcPr>
            <w:tcW w:w="1385" w:type="dxa"/>
          </w:tcPr>
          <w:p w14:paraId="5198F653" w14:textId="6D963F3F" w:rsidR="00CE3D45" w:rsidRPr="00963565" w:rsidRDefault="004F0479" w:rsidP="000C19BE">
            <w:pPr>
              <w:pStyle w:val="TableText"/>
            </w:pPr>
            <w:r>
              <w:t>Nil</w:t>
            </w:r>
          </w:p>
        </w:tc>
        <w:tc>
          <w:tcPr>
            <w:tcW w:w="1378" w:type="dxa"/>
          </w:tcPr>
          <w:p w14:paraId="742EBB78" w14:textId="31C42667" w:rsidR="00CE3D45" w:rsidRPr="00963565" w:rsidRDefault="004F0479" w:rsidP="000C19BE">
            <w:pPr>
              <w:pStyle w:val="TableText"/>
            </w:pPr>
            <w:r>
              <w:t>Yes</w:t>
            </w:r>
          </w:p>
        </w:tc>
      </w:tr>
      <w:tr w:rsidR="00CE3D45" w14:paraId="3AF47EC8" w14:textId="77777777" w:rsidTr="000C19BE">
        <w:tc>
          <w:tcPr>
            <w:tcW w:w="1696" w:type="dxa"/>
            <w:vMerge/>
            <w:vAlign w:val="center"/>
          </w:tcPr>
          <w:p w14:paraId="4C828506" w14:textId="77777777" w:rsidR="00CE3D45" w:rsidRPr="00963565" w:rsidRDefault="00CE3D45" w:rsidP="000C19BE">
            <w:pPr>
              <w:pStyle w:val="TableText"/>
            </w:pPr>
          </w:p>
        </w:tc>
        <w:tc>
          <w:tcPr>
            <w:tcW w:w="3614" w:type="dxa"/>
            <w:vMerge/>
            <w:vAlign w:val="center"/>
          </w:tcPr>
          <w:p w14:paraId="46362806" w14:textId="77777777" w:rsidR="00CE3D45" w:rsidRPr="00963565" w:rsidRDefault="00CE3D45" w:rsidP="000C19BE">
            <w:pPr>
              <w:pStyle w:val="TableText"/>
            </w:pPr>
          </w:p>
        </w:tc>
        <w:tc>
          <w:tcPr>
            <w:tcW w:w="1555" w:type="dxa"/>
          </w:tcPr>
          <w:p w14:paraId="6B04973B" w14:textId="24D02034" w:rsidR="00CE3D45" w:rsidRPr="00963565" w:rsidRDefault="00CE3D45" w:rsidP="000C19BE">
            <w:pPr>
              <w:pStyle w:val="TableText"/>
            </w:pPr>
            <w:r>
              <w:t>84021</w:t>
            </w:r>
          </w:p>
        </w:tc>
        <w:tc>
          <w:tcPr>
            <w:tcW w:w="1385" w:type="dxa"/>
          </w:tcPr>
          <w:p w14:paraId="2A2AA6F3" w14:textId="47131EB0" w:rsidR="00CE3D45" w:rsidRPr="00963565" w:rsidRDefault="004F0479" w:rsidP="000C19BE">
            <w:pPr>
              <w:pStyle w:val="TableText"/>
            </w:pPr>
            <w:r>
              <w:t>Nil</w:t>
            </w:r>
          </w:p>
        </w:tc>
        <w:tc>
          <w:tcPr>
            <w:tcW w:w="1378" w:type="dxa"/>
          </w:tcPr>
          <w:p w14:paraId="41537D23" w14:textId="32B5EE84" w:rsidR="00CE3D45" w:rsidRPr="00963565" w:rsidRDefault="004F0479" w:rsidP="000C19BE">
            <w:pPr>
              <w:pStyle w:val="TableText"/>
            </w:pPr>
            <w:r>
              <w:t xml:space="preserve">Yes </w:t>
            </w:r>
          </w:p>
        </w:tc>
      </w:tr>
      <w:tr w:rsidR="00CE3D45" w14:paraId="2C45558E" w14:textId="77777777" w:rsidTr="000C19BE">
        <w:tc>
          <w:tcPr>
            <w:tcW w:w="1696" w:type="dxa"/>
            <w:vMerge/>
            <w:vAlign w:val="center"/>
          </w:tcPr>
          <w:p w14:paraId="50B09B0B" w14:textId="77777777" w:rsidR="00CE3D45" w:rsidRPr="00963565" w:rsidRDefault="00CE3D45" w:rsidP="000C19BE">
            <w:pPr>
              <w:pStyle w:val="TableText"/>
            </w:pPr>
          </w:p>
        </w:tc>
        <w:tc>
          <w:tcPr>
            <w:tcW w:w="3614" w:type="dxa"/>
            <w:vAlign w:val="center"/>
          </w:tcPr>
          <w:p w14:paraId="2238CD6A" w14:textId="77777777" w:rsidR="00CE3D45" w:rsidRPr="00963565" w:rsidRDefault="00CE3D45" w:rsidP="000C19BE">
            <w:pPr>
              <w:pStyle w:val="TableText"/>
            </w:pPr>
            <w:r>
              <w:t xml:space="preserve">Larissa Road, </w:t>
            </w:r>
            <w:proofErr w:type="spellStart"/>
            <w:r>
              <w:t>Naring</w:t>
            </w:r>
            <w:proofErr w:type="spellEnd"/>
          </w:p>
        </w:tc>
        <w:tc>
          <w:tcPr>
            <w:tcW w:w="1555" w:type="dxa"/>
          </w:tcPr>
          <w:p w14:paraId="759314F9" w14:textId="7D26A68B" w:rsidR="00CE3D45" w:rsidRPr="00963565" w:rsidRDefault="00CE3D45" w:rsidP="000C19BE">
            <w:pPr>
              <w:pStyle w:val="TableText"/>
            </w:pPr>
            <w:r>
              <w:t>83964</w:t>
            </w:r>
          </w:p>
        </w:tc>
        <w:tc>
          <w:tcPr>
            <w:tcW w:w="1385" w:type="dxa"/>
          </w:tcPr>
          <w:p w14:paraId="26988214" w14:textId="34F7A555" w:rsidR="00CE3D45" w:rsidRPr="00963565" w:rsidRDefault="004F0479" w:rsidP="000C19BE">
            <w:pPr>
              <w:pStyle w:val="TableText"/>
            </w:pPr>
            <w:r>
              <w:t>Yes</w:t>
            </w:r>
          </w:p>
        </w:tc>
        <w:tc>
          <w:tcPr>
            <w:tcW w:w="1378" w:type="dxa"/>
          </w:tcPr>
          <w:p w14:paraId="43C30937" w14:textId="6FF5E8BE" w:rsidR="00CE3D45" w:rsidRPr="00963565" w:rsidRDefault="004F0479" w:rsidP="000C19BE">
            <w:pPr>
              <w:pStyle w:val="TableText"/>
            </w:pPr>
            <w:r>
              <w:t>Nil</w:t>
            </w:r>
          </w:p>
        </w:tc>
      </w:tr>
      <w:tr w:rsidR="00CE3D45" w14:paraId="59E1E6DF" w14:textId="77777777" w:rsidTr="000C19BE">
        <w:tc>
          <w:tcPr>
            <w:tcW w:w="1696" w:type="dxa"/>
            <w:vMerge/>
            <w:vAlign w:val="center"/>
          </w:tcPr>
          <w:p w14:paraId="7AEFE281" w14:textId="77777777" w:rsidR="00CE3D45" w:rsidRPr="00963565" w:rsidRDefault="00CE3D45" w:rsidP="000C19BE">
            <w:pPr>
              <w:pStyle w:val="TableText"/>
            </w:pPr>
          </w:p>
        </w:tc>
        <w:tc>
          <w:tcPr>
            <w:tcW w:w="3614" w:type="dxa"/>
            <w:vAlign w:val="center"/>
          </w:tcPr>
          <w:p w14:paraId="5FD1585C" w14:textId="77777777" w:rsidR="00CE3D45" w:rsidRPr="00963565" w:rsidRDefault="00CE3D45" w:rsidP="000C19BE">
            <w:pPr>
              <w:pStyle w:val="TableText"/>
            </w:pPr>
            <w:proofErr w:type="spellStart"/>
            <w:r>
              <w:t>Waaia-Bearii</w:t>
            </w:r>
            <w:proofErr w:type="spellEnd"/>
            <w:r>
              <w:t xml:space="preserve"> Road, </w:t>
            </w:r>
            <w:proofErr w:type="spellStart"/>
            <w:r>
              <w:t>Waaia</w:t>
            </w:r>
            <w:proofErr w:type="spellEnd"/>
          </w:p>
        </w:tc>
        <w:tc>
          <w:tcPr>
            <w:tcW w:w="1555" w:type="dxa"/>
          </w:tcPr>
          <w:p w14:paraId="5D9BF959" w14:textId="27D4708A" w:rsidR="00CE3D45" w:rsidRPr="00963565" w:rsidRDefault="00CE3D45" w:rsidP="000C19BE">
            <w:pPr>
              <w:pStyle w:val="TableText"/>
            </w:pPr>
            <w:r>
              <w:t>97613</w:t>
            </w:r>
          </w:p>
        </w:tc>
        <w:tc>
          <w:tcPr>
            <w:tcW w:w="1385" w:type="dxa"/>
          </w:tcPr>
          <w:p w14:paraId="43B9C1A5" w14:textId="01438CC5" w:rsidR="00CE3D45" w:rsidRPr="00963565" w:rsidRDefault="004F0479" w:rsidP="000C19BE">
            <w:pPr>
              <w:pStyle w:val="TableText"/>
            </w:pPr>
            <w:r>
              <w:t>Ye</w:t>
            </w:r>
            <w:r w:rsidR="000C19BE">
              <w:t>s</w:t>
            </w:r>
          </w:p>
        </w:tc>
        <w:tc>
          <w:tcPr>
            <w:tcW w:w="1378" w:type="dxa"/>
          </w:tcPr>
          <w:p w14:paraId="4846A983" w14:textId="251B9FFD" w:rsidR="00CE3D45" w:rsidRPr="00963565" w:rsidRDefault="000C19BE" w:rsidP="000C19BE">
            <w:pPr>
              <w:pStyle w:val="TableText"/>
            </w:pPr>
            <w:r>
              <w:t>Nil</w:t>
            </w:r>
          </w:p>
        </w:tc>
      </w:tr>
      <w:tr w:rsidR="00CE3D45" w14:paraId="2FBAEB59" w14:textId="77777777" w:rsidTr="000C19BE">
        <w:tc>
          <w:tcPr>
            <w:tcW w:w="1696" w:type="dxa"/>
            <w:vMerge w:val="restart"/>
            <w:vAlign w:val="center"/>
          </w:tcPr>
          <w:p w14:paraId="4D397F30" w14:textId="77777777" w:rsidR="00CE3D45" w:rsidRPr="00963565" w:rsidRDefault="00CE3D45" w:rsidP="000C19BE">
            <w:pPr>
              <w:pStyle w:val="TableText"/>
            </w:pPr>
            <w:r>
              <w:t>Cobram Zone - 1063</w:t>
            </w:r>
          </w:p>
        </w:tc>
        <w:tc>
          <w:tcPr>
            <w:tcW w:w="3614" w:type="dxa"/>
            <w:vAlign w:val="center"/>
          </w:tcPr>
          <w:p w14:paraId="31D1243D" w14:textId="77777777" w:rsidR="00CE3D45" w:rsidRPr="00963565" w:rsidRDefault="00CE3D45" w:rsidP="000C19BE">
            <w:pPr>
              <w:pStyle w:val="TableText"/>
            </w:pPr>
            <w:r>
              <w:t>Grinter Road, Cobram East</w:t>
            </w:r>
          </w:p>
        </w:tc>
        <w:tc>
          <w:tcPr>
            <w:tcW w:w="1555" w:type="dxa"/>
          </w:tcPr>
          <w:p w14:paraId="1359E046" w14:textId="43368E97" w:rsidR="00CE3D45" w:rsidRPr="00963565" w:rsidRDefault="00CE3D45" w:rsidP="000C19BE">
            <w:pPr>
              <w:pStyle w:val="TableText"/>
            </w:pPr>
            <w:r>
              <w:t>51001</w:t>
            </w:r>
          </w:p>
        </w:tc>
        <w:tc>
          <w:tcPr>
            <w:tcW w:w="1385" w:type="dxa"/>
          </w:tcPr>
          <w:p w14:paraId="79FD9FD0" w14:textId="0BB74088" w:rsidR="00CE3D45" w:rsidRPr="00963565" w:rsidRDefault="000C19BE" w:rsidP="000C19BE">
            <w:pPr>
              <w:pStyle w:val="TableText"/>
            </w:pPr>
            <w:r>
              <w:t>Yes</w:t>
            </w:r>
          </w:p>
        </w:tc>
        <w:tc>
          <w:tcPr>
            <w:tcW w:w="1378" w:type="dxa"/>
          </w:tcPr>
          <w:p w14:paraId="11E8EC38" w14:textId="184BA8C3" w:rsidR="00CE3D45" w:rsidRPr="00963565" w:rsidRDefault="000C19BE" w:rsidP="000C19BE">
            <w:pPr>
              <w:pStyle w:val="TableText"/>
            </w:pPr>
            <w:r>
              <w:t>Nil</w:t>
            </w:r>
          </w:p>
        </w:tc>
      </w:tr>
      <w:tr w:rsidR="00CE3D45" w14:paraId="0937082B" w14:textId="77777777" w:rsidTr="000C19BE">
        <w:tc>
          <w:tcPr>
            <w:tcW w:w="1696" w:type="dxa"/>
            <w:vMerge/>
            <w:vAlign w:val="center"/>
          </w:tcPr>
          <w:p w14:paraId="30E3885B" w14:textId="77777777" w:rsidR="00CE3D45" w:rsidRPr="00963565" w:rsidRDefault="00CE3D45" w:rsidP="000C19BE">
            <w:pPr>
              <w:pStyle w:val="TableText"/>
            </w:pPr>
          </w:p>
        </w:tc>
        <w:tc>
          <w:tcPr>
            <w:tcW w:w="3614" w:type="dxa"/>
            <w:vMerge w:val="restart"/>
            <w:vAlign w:val="center"/>
          </w:tcPr>
          <w:p w14:paraId="33FFCE5F" w14:textId="7DB46C98" w:rsidR="00CE3D45" w:rsidRPr="00963565" w:rsidRDefault="00CE3D45" w:rsidP="000C19BE">
            <w:pPr>
              <w:pStyle w:val="TableText"/>
            </w:pPr>
            <w:r>
              <w:t>Langan Road, Katamatite</w:t>
            </w:r>
          </w:p>
        </w:tc>
        <w:tc>
          <w:tcPr>
            <w:tcW w:w="1555" w:type="dxa"/>
          </w:tcPr>
          <w:p w14:paraId="590A570A" w14:textId="2A50A8B0" w:rsidR="00CE3D45" w:rsidRPr="00963565" w:rsidRDefault="00CE3D45" w:rsidP="000C19BE">
            <w:pPr>
              <w:pStyle w:val="TableText"/>
            </w:pPr>
            <w:r>
              <w:t>69545</w:t>
            </w:r>
          </w:p>
        </w:tc>
        <w:tc>
          <w:tcPr>
            <w:tcW w:w="1385" w:type="dxa"/>
          </w:tcPr>
          <w:p w14:paraId="7CBA0840" w14:textId="330D93E3" w:rsidR="00CE3D45" w:rsidRPr="00963565" w:rsidRDefault="000C19BE" w:rsidP="000C19BE">
            <w:pPr>
              <w:pStyle w:val="TableText"/>
            </w:pPr>
            <w:r>
              <w:t xml:space="preserve">Yes </w:t>
            </w:r>
          </w:p>
        </w:tc>
        <w:tc>
          <w:tcPr>
            <w:tcW w:w="1378" w:type="dxa"/>
          </w:tcPr>
          <w:p w14:paraId="07DB757E" w14:textId="1F13EFFF" w:rsidR="00CE3D45" w:rsidRPr="00963565" w:rsidRDefault="000C19BE" w:rsidP="000C19BE">
            <w:pPr>
              <w:pStyle w:val="TableText"/>
            </w:pPr>
            <w:r>
              <w:t>Yes</w:t>
            </w:r>
          </w:p>
        </w:tc>
      </w:tr>
      <w:tr w:rsidR="00CE3D45" w14:paraId="4A162D01" w14:textId="77777777" w:rsidTr="000C7159">
        <w:tc>
          <w:tcPr>
            <w:tcW w:w="1696" w:type="dxa"/>
            <w:vMerge/>
          </w:tcPr>
          <w:p w14:paraId="1F40FF3D" w14:textId="77777777" w:rsidR="00CE3D45" w:rsidRPr="00963565" w:rsidRDefault="00CE3D45" w:rsidP="000C19BE">
            <w:pPr>
              <w:pStyle w:val="TableText"/>
            </w:pPr>
          </w:p>
        </w:tc>
        <w:tc>
          <w:tcPr>
            <w:tcW w:w="3614" w:type="dxa"/>
            <w:vMerge/>
          </w:tcPr>
          <w:p w14:paraId="1B8C81AF" w14:textId="77777777" w:rsidR="00CE3D45" w:rsidRPr="00963565" w:rsidRDefault="00CE3D45" w:rsidP="000C19BE">
            <w:pPr>
              <w:pStyle w:val="TableText"/>
            </w:pPr>
          </w:p>
        </w:tc>
        <w:tc>
          <w:tcPr>
            <w:tcW w:w="1555" w:type="dxa"/>
          </w:tcPr>
          <w:p w14:paraId="5A230F93" w14:textId="3B7A5E74" w:rsidR="00CE3D45" w:rsidRPr="00963565" w:rsidRDefault="00CE3D45" w:rsidP="000C19BE">
            <w:pPr>
              <w:pStyle w:val="TableText"/>
            </w:pPr>
            <w:r>
              <w:t>69547</w:t>
            </w:r>
          </w:p>
        </w:tc>
        <w:tc>
          <w:tcPr>
            <w:tcW w:w="1385" w:type="dxa"/>
          </w:tcPr>
          <w:p w14:paraId="0E196BEC" w14:textId="5BF0888A" w:rsidR="00CE3D45" w:rsidRPr="00963565" w:rsidRDefault="000C19BE" w:rsidP="000C19BE">
            <w:pPr>
              <w:pStyle w:val="TableText"/>
            </w:pPr>
            <w:r>
              <w:t>Nil</w:t>
            </w:r>
          </w:p>
        </w:tc>
        <w:tc>
          <w:tcPr>
            <w:tcW w:w="1378" w:type="dxa"/>
          </w:tcPr>
          <w:p w14:paraId="004DF755" w14:textId="28C2FAD2" w:rsidR="00CE3D45" w:rsidRPr="00963565" w:rsidRDefault="000C19BE" w:rsidP="000C19BE">
            <w:pPr>
              <w:pStyle w:val="TableText"/>
            </w:pPr>
            <w:r>
              <w:t>Yes</w:t>
            </w:r>
          </w:p>
        </w:tc>
      </w:tr>
      <w:tr w:rsidR="00CE3D45" w14:paraId="4C4C3B5D" w14:textId="77777777" w:rsidTr="000C7159">
        <w:tc>
          <w:tcPr>
            <w:tcW w:w="1696" w:type="dxa"/>
            <w:vMerge/>
          </w:tcPr>
          <w:p w14:paraId="4FC950E3" w14:textId="77777777" w:rsidR="00CE3D45" w:rsidRPr="00963565" w:rsidRDefault="00CE3D45" w:rsidP="000C19BE">
            <w:pPr>
              <w:pStyle w:val="TableText"/>
            </w:pPr>
          </w:p>
        </w:tc>
        <w:tc>
          <w:tcPr>
            <w:tcW w:w="3614" w:type="dxa"/>
            <w:vMerge/>
          </w:tcPr>
          <w:p w14:paraId="7930EE4D" w14:textId="77777777" w:rsidR="00CE3D45" w:rsidRPr="00963565" w:rsidRDefault="00CE3D45" w:rsidP="000C19BE">
            <w:pPr>
              <w:pStyle w:val="TableText"/>
            </w:pPr>
          </w:p>
        </w:tc>
        <w:tc>
          <w:tcPr>
            <w:tcW w:w="1555" w:type="dxa"/>
          </w:tcPr>
          <w:p w14:paraId="6F613E43" w14:textId="52C7AA80" w:rsidR="00CE3D45" w:rsidRPr="00963565" w:rsidRDefault="00CE3D45" w:rsidP="000C19BE">
            <w:pPr>
              <w:pStyle w:val="TableText"/>
            </w:pPr>
            <w:r>
              <w:t>69548</w:t>
            </w:r>
          </w:p>
        </w:tc>
        <w:tc>
          <w:tcPr>
            <w:tcW w:w="1385" w:type="dxa"/>
          </w:tcPr>
          <w:p w14:paraId="009E92DE" w14:textId="5B1D13B8" w:rsidR="00CE3D45" w:rsidRPr="00963565" w:rsidRDefault="000C19BE" w:rsidP="000C19BE">
            <w:pPr>
              <w:pStyle w:val="TableText"/>
            </w:pPr>
            <w:r>
              <w:t>Nil</w:t>
            </w:r>
          </w:p>
        </w:tc>
        <w:tc>
          <w:tcPr>
            <w:tcW w:w="1378" w:type="dxa"/>
          </w:tcPr>
          <w:p w14:paraId="5E75124F" w14:textId="056AFDA5" w:rsidR="00CE3D45" w:rsidRPr="00963565" w:rsidRDefault="000C19BE" w:rsidP="000C19BE">
            <w:pPr>
              <w:pStyle w:val="TableText"/>
            </w:pPr>
            <w:r>
              <w:t>Yes</w:t>
            </w:r>
          </w:p>
        </w:tc>
      </w:tr>
    </w:tbl>
    <w:p w14:paraId="238E3BD9" w14:textId="77777777" w:rsidR="00CE3D45" w:rsidRDefault="00CE3D45" w:rsidP="00CE3D45">
      <w:pPr>
        <w:spacing w:after="0"/>
        <w:rPr>
          <w:rFonts w:cs="Roc Grotesk Medium"/>
          <w:b/>
          <w:color w:val="47555E"/>
          <w:sz w:val="24"/>
          <w:lang w:val="en-US"/>
        </w:rPr>
      </w:pPr>
      <w:r>
        <w:rPr>
          <w:sz w:val="24"/>
        </w:rPr>
        <w:br w:type="page"/>
      </w:r>
    </w:p>
    <w:p w14:paraId="229ABE3D" w14:textId="77777777" w:rsidR="00CE3D45" w:rsidRPr="009D77DB" w:rsidRDefault="00CE3D45" w:rsidP="00F224F1">
      <w:pPr>
        <w:pStyle w:val="AppendicesHeading1"/>
      </w:pPr>
      <w:bookmarkStart w:id="38" w:name="_Toc146011128"/>
      <w:bookmarkStart w:id="39" w:name="_Toc164679871"/>
      <w:r w:rsidRPr="009D77DB">
        <w:lastRenderedPageBreak/>
        <w:t>Appendix C</w:t>
      </w:r>
      <w:bookmarkEnd w:id="38"/>
      <w:bookmarkEnd w:id="39"/>
    </w:p>
    <w:p w14:paraId="2580EBCD" w14:textId="77777777" w:rsidR="00CE3D45" w:rsidRPr="009D77DB" w:rsidRDefault="00CE3D45" w:rsidP="00F224F1">
      <w:pPr>
        <w:pStyle w:val="AppendicesHeading2"/>
      </w:pPr>
      <w:bookmarkStart w:id="40" w:name="_Toc146011129"/>
      <w:bookmarkStart w:id="41" w:name="_Toc164679872"/>
      <w:r w:rsidRPr="009D77DB">
        <w:t>Monitoring bores – Pumping impacts and aquifer interaction</w:t>
      </w:r>
      <w:bookmarkEnd w:id="40"/>
      <w:bookmarkEnd w:id="41"/>
    </w:p>
    <w:tbl>
      <w:tblPr>
        <w:tblStyle w:val="TableGridLight"/>
        <w:tblW w:w="9493" w:type="dxa"/>
        <w:tblLook w:val="04A0" w:firstRow="1" w:lastRow="0" w:firstColumn="1" w:lastColumn="0" w:noHBand="0" w:noVBand="1"/>
        <w:tblCaption w:val="Monitoring bores – Pumping impacts and aquifer interaction"/>
        <w:tblDescription w:val="This table provides data of monitoring bores – Pumping impacts and aquifer interaction. Data provided includes the management zone, location, bore ID and monitoring purpose (aquifer interaction and/or pumping impacts). "/>
      </w:tblPr>
      <w:tblGrid>
        <w:gridCol w:w="1666"/>
        <w:gridCol w:w="3318"/>
        <w:gridCol w:w="1635"/>
        <w:gridCol w:w="1441"/>
        <w:gridCol w:w="1433"/>
      </w:tblGrid>
      <w:tr w:rsidR="00F224F1" w14:paraId="7327E7E0" w14:textId="77777777" w:rsidTr="00AD1C1F">
        <w:trPr>
          <w:cnfStyle w:val="100000000000" w:firstRow="1" w:lastRow="0" w:firstColumn="0" w:lastColumn="0" w:oddVBand="0" w:evenVBand="0" w:oddHBand="0" w:evenHBand="0" w:firstRowFirstColumn="0" w:firstRowLastColumn="0" w:lastRowFirstColumn="0" w:lastRowLastColumn="0"/>
          <w:cantSplit/>
          <w:trHeight w:val="1870"/>
          <w:tblHeader/>
        </w:trPr>
        <w:tc>
          <w:tcPr>
            <w:tcW w:w="1666" w:type="dxa"/>
            <w:vAlign w:val="center"/>
          </w:tcPr>
          <w:p w14:paraId="7F891E1A" w14:textId="77777777" w:rsidR="00F224F1" w:rsidRPr="00A13D1E" w:rsidRDefault="00F224F1" w:rsidP="00F224F1">
            <w:pPr>
              <w:pStyle w:val="TableHeader"/>
              <w:rPr>
                <w:lang w:val="en-US"/>
              </w:rPr>
            </w:pPr>
            <w:r w:rsidRPr="00A13D1E">
              <w:rPr>
                <w:lang w:val="en-US"/>
              </w:rPr>
              <w:t>Management Zone</w:t>
            </w:r>
          </w:p>
        </w:tc>
        <w:tc>
          <w:tcPr>
            <w:tcW w:w="3886" w:type="dxa"/>
            <w:vAlign w:val="center"/>
          </w:tcPr>
          <w:p w14:paraId="4A54D683" w14:textId="3FA14368" w:rsidR="00F224F1" w:rsidRPr="00902609" w:rsidRDefault="00F224F1" w:rsidP="00F224F1">
            <w:pPr>
              <w:pStyle w:val="TableHeader"/>
              <w:rPr>
                <w:lang w:val="en-US"/>
              </w:rPr>
            </w:pPr>
            <w:r w:rsidRPr="00902609">
              <w:rPr>
                <w:bCs/>
                <w:lang w:val="en-US"/>
              </w:rPr>
              <w:t>Location</w:t>
            </w:r>
          </w:p>
        </w:tc>
        <w:tc>
          <w:tcPr>
            <w:tcW w:w="1693" w:type="dxa"/>
            <w:vAlign w:val="center"/>
          </w:tcPr>
          <w:p w14:paraId="0DD70BBF" w14:textId="658FD1B7" w:rsidR="00F224F1" w:rsidRDefault="00F224F1" w:rsidP="00F224F1">
            <w:pPr>
              <w:pStyle w:val="TableHeader"/>
              <w:rPr>
                <w:lang w:val="en-US"/>
              </w:rPr>
            </w:pPr>
            <w:r w:rsidRPr="00902609">
              <w:rPr>
                <w:bCs/>
                <w:lang w:val="en-US"/>
              </w:rPr>
              <w:t>Bore ID</w:t>
            </w:r>
          </w:p>
        </w:tc>
        <w:tc>
          <w:tcPr>
            <w:tcW w:w="1124" w:type="dxa"/>
            <w:vAlign w:val="center"/>
          </w:tcPr>
          <w:p w14:paraId="34701BB8" w14:textId="69733446" w:rsidR="00F224F1" w:rsidRPr="00F224F1" w:rsidRDefault="00F224F1" w:rsidP="00F224F1">
            <w:pPr>
              <w:pStyle w:val="TableHeader"/>
              <w:rPr>
                <w:lang w:val="en-US"/>
              </w:rPr>
            </w:pPr>
            <w:r w:rsidRPr="00951192">
              <w:rPr>
                <w:bCs/>
                <w:lang w:val="en-US"/>
              </w:rPr>
              <w:t>Monitoring purpose</w:t>
            </w:r>
            <w:r>
              <w:rPr>
                <w:bCs/>
                <w:lang w:val="en-US"/>
              </w:rPr>
              <w:t>:</w:t>
            </w:r>
            <w:r>
              <w:rPr>
                <w:bCs/>
                <w:lang w:val="en-US"/>
              </w:rPr>
              <w:br/>
            </w:r>
            <w:r w:rsidRPr="008D2D0A">
              <w:rPr>
                <w:lang w:val="en-US"/>
              </w:rPr>
              <w:t>Aquifer</w:t>
            </w:r>
            <w:r>
              <w:rPr>
                <w:lang w:val="en-US"/>
              </w:rPr>
              <w:t xml:space="preserve"> </w:t>
            </w:r>
            <w:r w:rsidRPr="008D2D0A">
              <w:rPr>
                <w:lang w:val="en-US"/>
              </w:rPr>
              <w:t>interaction</w:t>
            </w:r>
          </w:p>
        </w:tc>
        <w:tc>
          <w:tcPr>
            <w:tcW w:w="1124" w:type="dxa"/>
            <w:vAlign w:val="center"/>
          </w:tcPr>
          <w:p w14:paraId="0DEA5E14" w14:textId="40A83EAA" w:rsidR="00F224F1" w:rsidRPr="00951192" w:rsidRDefault="00F224F1" w:rsidP="00F224F1">
            <w:pPr>
              <w:pStyle w:val="TableHeader"/>
              <w:rPr>
                <w:lang w:val="en-US"/>
              </w:rPr>
            </w:pPr>
            <w:r w:rsidRPr="00951192">
              <w:rPr>
                <w:bCs/>
                <w:lang w:val="en-US"/>
              </w:rPr>
              <w:t>Monitoring purpose</w:t>
            </w:r>
            <w:r>
              <w:rPr>
                <w:bCs/>
                <w:lang w:val="en-US"/>
              </w:rPr>
              <w:t xml:space="preserve">: </w:t>
            </w:r>
            <w:r w:rsidRPr="009345C7">
              <w:rPr>
                <w:bCs/>
                <w:lang w:val="en-US"/>
              </w:rPr>
              <w:t>Pumping impacts</w:t>
            </w:r>
          </w:p>
        </w:tc>
      </w:tr>
      <w:tr w:rsidR="00CE3D45" w14:paraId="0D86B992" w14:textId="77777777" w:rsidTr="00243402">
        <w:tc>
          <w:tcPr>
            <w:tcW w:w="1666" w:type="dxa"/>
            <w:vMerge w:val="restart"/>
            <w:vAlign w:val="center"/>
          </w:tcPr>
          <w:p w14:paraId="54A5328C" w14:textId="77777777" w:rsidR="00CE3D45" w:rsidRDefault="00CE3D45" w:rsidP="00C20D8D">
            <w:pPr>
              <w:pStyle w:val="TableText"/>
              <w:rPr>
                <w:lang w:val="en-US"/>
              </w:rPr>
            </w:pPr>
            <w:proofErr w:type="gramStart"/>
            <w:r>
              <w:rPr>
                <w:lang w:val="en-US"/>
              </w:rPr>
              <w:t>North Western</w:t>
            </w:r>
            <w:proofErr w:type="gramEnd"/>
            <w:r>
              <w:rPr>
                <w:lang w:val="en-US"/>
              </w:rPr>
              <w:t xml:space="preserve"> Dryland Zone - 1061</w:t>
            </w:r>
          </w:p>
        </w:tc>
        <w:tc>
          <w:tcPr>
            <w:tcW w:w="3886" w:type="dxa"/>
            <w:vMerge w:val="restart"/>
            <w:vAlign w:val="center"/>
          </w:tcPr>
          <w:p w14:paraId="6090FB2D" w14:textId="59053989" w:rsidR="00CE3D45" w:rsidRDefault="00CE3D45" w:rsidP="00C20D8D">
            <w:pPr>
              <w:pStyle w:val="TableText"/>
              <w:rPr>
                <w:lang w:val="en-US"/>
              </w:rPr>
            </w:pPr>
            <w:r>
              <w:rPr>
                <w:lang w:val="en-US"/>
              </w:rPr>
              <w:t xml:space="preserve">Browns Bridge Road, </w:t>
            </w:r>
            <w:proofErr w:type="spellStart"/>
            <w:r>
              <w:rPr>
                <w:lang w:val="en-US"/>
              </w:rPr>
              <w:t>Yielima</w:t>
            </w:r>
            <w:proofErr w:type="spellEnd"/>
          </w:p>
        </w:tc>
        <w:tc>
          <w:tcPr>
            <w:tcW w:w="1693" w:type="dxa"/>
            <w:vAlign w:val="center"/>
          </w:tcPr>
          <w:p w14:paraId="3500D0C7" w14:textId="77777777" w:rsidR="00CE3D45" w:rsidRDefault="00CE3D45" w:rsidP="00C20D8D">
            <w:pPr>
              <w:pStyle w:val="TableText"/>
              <w:rPr>
                <w:lang w:val="en-US"/>
              </w:rPr>
            </w:pPr>
            <w:r>
              <w:rPr>
                <w:lang w:val="en-US"/>
              </w:rPr>
              <w:t>105928</w:t>
            </w:r>
          </w:p>
        </w:tc>
        <w:tc>
          <w:tcPr>
            <w:tcW w:w="1128" w:type="dxa"/>
            <w:vAlign w:val="center"/>
          </w:tcPr>
          <w:p w14:paraId="7B563D8D" w14:textId="30A152A4" w:rsidR="00CE3D45" w:rsidRDefault="00243402" w:rsidP="00C20D8D">
            <w:pPr>
              <w:pStyle w:val="TableText"/>
              <w:rPr>
                <w:lang w:val="en-US"/>
              </w:rPr>
            </w:pPr>
            <w:r>
              <w:t>Yes</w:t>
            </w:r>
          </w:p>
        </w:tc>
        <w:tc>
          <w:tcPr>
            <w:tcW w:w="1120" w:type="dxa"/>
            <w:vAlign w:val="center"/>
          </w:tcPr>
          <w:p w14:paraId="36845391" w14:textId="5C680259" w:rsidR="00CE3D45" w:rsidRDefault="00243402" w:rsidP="00C20D8D">
            <w:pPr>
              <w:pStyle w:val="TableText"/>
              <w:rPr>
                <w:lang w:val="en-US"/>
              </w:rPr>
            </w:pPr>
            <w:r>
              <w:rPr>
                <w:lang w:val="en-US"/>
              </w:rPr>
              <w:t>Nil</w:t>
            </w:r>
          </w:p>
        </w:tc>
      </w:tr>
      <w:tr w:rsidR="00CE3D45" w14:paraId="11CF1420" w14:textId="77777777" w:rsidTr="00243402">
        <w:tc>
          <w:tcPr>
            <w:tcW w:w="1666" w:type="dxa"/>
            <w:vMerge/>
            <w:vAlign w:val="center"/>
          </w:tcPr>
          <w:p w14:paraId="0489CBFE" w14:textId="77777777" w:rsidR="00CE3D45" w:rsidRDefault="00CE3D45" w:rsidP="00C20D8D">
            <w:pPr>
              <w:pStyle w:val="TableText"/>
              <w:rPr>
                <w:lang w:val="en-US"/>
              </w:rPr>
            </w:pPr>
          </w:p>
        </w:tc>
        <w:tc>
          <w:tcPr>
            <w:tcW w:w="3886" w:type="dxa"/>
            <w:vMerge/>
            <w:vAlign w:val="center"/>
          </w:tcPr>
          <w:p w14:paraId="35637A5C" w14:textId="77777777" w:rsidR="00CE3D45" w:rsidRDefault="00CE3D45" w:rsidP="00C20D8D">
            <w:pPr>
              <w:pStyle w:val="TableText"/>
              <w:rPr>
                <w:lang w:val="en-US"/>
              </w:rPr>
            </w:pPr>
          </w:p>
        </w:tc>
        <w:tc>
          <w:tcPr>
            <w:tcW w:w="1693" w:type="dxa"/>
            <w:vAlign w:val="center"/>
          </w:tcPr>
          <w:p w14:paraId="4459DFE8" w14:textId="77777777" w:rsidR="00CE3D45" w:rsidRDefault="00CE3D45" w:rsidP="00C20D8D">
            <w:pPr>
              <w:pStyle w:val="TableText"/>
              <w:rPr>
                <w:lang w:val="en-US"/>
              </w:rPr>
            </w:pPr>
            <w:r>
              <w:rPr>
                <w:lang w:val="en-US"/>
              </w:rPr>
              <w:t>105936</w:t>
            </w:r>
          </w:p>
        </w:tc>
        <w:tc>
          <w:tcPr>
            <w:tcW w:w="1128" w:type="dxa"/>
            <w:vAlign w:val="center"/>
          </w:tcPr>
          <w:p w14:paraId="46EFA1DF" w14:textId="78879E89" w:rsidR="00CE3D45" w:rsidRDefault="00243402" w:rsidP="00C20D8D">
            <w:pPr>
              <w:pStyle w:val="TableText"/>
              <w:rPr>
                <w:lang w:val="en-US"/>
              </w:rPr>
            </w:pPr>
            <w:r>
              <w:t>Yes</w:t>
            </w:r>
          </w:p>
        </w:tc>
        <w:tc>
          <w:tcPr>
            <w:tcW w:w="1120" w:type="dxa"/>
            <w:vAlign w:val="center"/>
          </w:tcPr>
          <w:p w14:paraId="7221B2A3" w14:textId="78D1563A" w:rsidR="00CE3D45" w:rsidRDefault="00243402" w:rsidP="00C20D8D">
            <w:pPr>
              <w:pStyle w:val="TableText"/>
              <w:rPr>
                <w:lang w:val="en-US"/>
              </w:rPr>
            </w:pPr>
            <w:r>
              <w:rPr>
                <w:lang w:val="en-US"/>
              </w:rPr>
              <w:t>Nil</w:t>
            </w:r>
          </w:p>
        </w:tc>
      </w:tr>
      <w:tr w:rsidR="00CE3D45" w14:paraId="3B7F7DCE" w14:textId="77777777" w:rsidTr="00243402">
        <w:tc>
          <w:tcPr>
            <w:tcW w:w="1666" w:type="dxa"/>
            <w:vMerge/>
            <w:vAlign w:val="center"/>
          </w:tcPr>
          <w:p w14:paraId="5043BB4F" w14:textId="77777777" w:rsidR="00CE3D45" w:rsidRDefault="00CE3D45" w:rsidP="00C20D8D">
            <w:pPr>
              <w:pStyle w:val="TableText"/>
              <w:rPr>
                <w:lang w:val="en-US"/>
              </w:rPr>
            </w:pPr>
          </w:p>
        </w:tc>
        <w:tc>
          <w:tcPr>
            <w:tcW w:w="3886" w:type="dxa"/>
            <w:vMerge/>
            <w:vAlign w:val="center"/>
          </w:tcPr>
          <w:p w14:paraId="51759B91" w14:textId="77777777" w:rsidR="00CE3D45" w:rsidRDefault="00CE3D45" w:rsidP="00C20D8D">
            <w:pPr>
              <w:pStyle w:val="TableText"/>
              <w:rPr>
                <w:lang w:val="en-US"/>
              </w:rPr>
            </w:pPr>
          </w:p>
        </w:tc>
        <w:tc>
          <w:tcPr>
            <w:tcW w:w="1693" w:type="dxa"/>
            <w:vAlign w:val="center"/>
          </w:tcPr>
          <w:p w14:paraId="27DDE9A9" w14:textId="77777777" w:rsidR="00CE3D45" w:rsidRDefault="00CE3D45" w:rsidP="00C20D8D">
            <w:pPr>
              <w:pStyle w:val="TableText"/>
              <w:rPr>
                <w:lang w:val="en-US"/>
              </w:rPr>
            </w:pPr>
            <w:r>
              <w:rPr>
                <w:lang w:val="en-US"/>
              </w:rPr>
              <w:t>109777</w:t>
            </w:r>
          </w:p>
        </w:tc>
        <w:tc>
          <w:tcPr>
            <w:tcW w:w="1128" w:type="dxa"/>
            <w:vAlign w:val="center"/>
          </w:tcPr>
          <w:p w14:paraId="0759C606" w14:textId="14C7986A" w:rsidR="00CE3D45" w:rsidRDefault="00243402" w:rsidP="00C20D8D">
            <w:pPr>
              <w:pStyle w:val="TableText"/>
              <w:rPr>
                <w:lang w:val="en-US"/>
              </w:rPr>
            </w:pPr>
            <w:r>
              <w:t>Yes</w:t>
            </w:r>
          </w:p>
        </w:tc>
        <w:tc>
          <w:tcPr>
            <w:tcW w:w="1120" w:type="dxa"/>
            <w:vAlign w:val="center"/>
          </w:tcPr>
          <w:p w14:paraId="1A0E8E8D" w14:textId="11E5D49A" w:rsidR="00CE3D45" w:rsidRDefault="00243402" w:rsidP="00C20D8D">
            <w:pPr>
              <w:pStyle w:val="TableText"/>
              <w:rPr>
                <w:lang w:val="en-US"/>
              </w:rPr>
            </w:pPr>
            <w:r>
              <w:rPr>
                <w:lang w:val="en-US"/>
              </w:rPr>
              <w:t>Nil</w:t>
            </w:r>
          </w:p>
        </w:tc>
      </w:tr>
      <w:tr w:rsidR="00CE3D45" w14:paraId="2EA04B1D" w14:textId="77777777" w:rsidTr="00243402">
        <w:tc>
          <w:tcPr>
            <w:tcW w:w="1666" w:type="dxa"/>
            <w:vMerge/>
            <w:vAlign w:val="center"/>
          </w:tcPr>
          <w:p w14:paraId="250A25B9" w14:textId="77777777" w:rsidR="00CE3D45" w:rsidRDefault="00CE3D45" w:rsidP="00C20D8D">
            <w:pPr>
              <w:pStyle w:val="TableText"/>
              <w:rPr>
                <w:lang w:val="en-US"/>
              </w:rPr>
            </w:pPr>
          </w:p>
        </w:tc>
        <w:tc>
          <w:tcPr>
            <w:tcW w:w="3886" w:type="dxa"/>
            <w:vMerge/>
            <w:vAlign w:val="center"/>
          </w:tcPr>
          <w:p w14:paraId="1155F48A" w14:textId="77777777" w:rsidR="00CE3D45" w:rsidRDefault="00CE3D45" w:rsidP="00C20D8D">
            <w:pPr>
              <w:pStyle w:val="TableText"/>
              <w:rPr>
                <w:lang w:val="en-US"/>
              </w:rPr>
            </w:pPr>
          </w:p>
        </w:tc>
        <w:tc>
          <w:tcPr>
            <w:tcW w:w="1693" w:type="dxa"/>
            <w:vAlign w:val="center"/>
          </w:tcPr>
          <w:p w14:paraId="29930CCE" w14:textId="77777777" w:rsidR="00CE3D45" w:rsidRDefault="00CE3D45" w:rsidP="00C20D8D">
            <w:pPr>
              <w:pStyle w:val="TableText"/>
              <w:rPr>
                <w:lang w:val="en-US"/>
              </w:rPr>
            </w:pPr>
            <w:r>
              <w:rPr>
                <w:lang w:val="en-US"/>
              </w:rPr>
              <w:t>109778</w:t>
            </w:r>
          </w:p>
        </w:tc>
        <w:tc>
          <w:tcPr>
            <w:tcW w:w="1128" w:type="dxa"/>
            <w:vAlign w:val="center"/>
          </w:tcPr>
          <w:p w14:paraId="095EF6EF" w14:textId="4AD6FDB9" w:rsidR="00CE3D45" w:rsidRDefault="00243402" w:rsidP="00C20D8D">
            <w:pPr>
              <w:pStyle w:val="TableText"/>
              <w:rPr>
                <w:lang w:val="en-US"/>
              </w:rPr>
            </w:pPr>
            <w:r>
              <w:t>Yes</w:t>
            </w:r>
          </w:p>
        </w:tc>
        <w:tc>
          <w:tcPr>
            <w:tcW w:w="1120" w:type="dxa"/>
            <w:vAlign w:val="center"/>
          </w:tcPr>
          <w:p w14:paraId="1B33D5DD" w14:textId="3919D038" w:rsidR="00CE3D45" w:rsidRDefault="00243402" w:rsidP="00C20D8D">
            <w:pPr>
              <w:pStyle w:val="TableText"/>
              <w:rPr>
                <w:lang w:val="en-US"/>
              </w:rPr>
            </w:pPr>
            <w:r>
              <w:rPr>
                <w:lang w:val="en-US"/>
              </w:rPr>
              <w:t>Nil</w:t>
            </w:r>
          </w:p>
        </w:tc>
      </w:tr>
      <w:tr w:rsidR="00CE3D45" w14:paraId="675D5F7C" w14:textId="77777777" w:rsidTr="00243402">
        <w:tc>
          <w:tcPr>
            <w:tcW w:w="1666" w:type="dxa"/>
            <w:vMerge/>
            <w:vAlign w:val="center"/>
          </w:tcPr>
          <w:p w14:paraId="566E6A7B" w14:textId="77777777" w:rsidR="00CE3D45" w:rsidRDefault="00CE3D45" w:rsidP="00C20D8D">
            <w:pPr>
              <w:pStyle w:val="TableText"/>
              <w:rPr>
                <w:lang w:val="en-US"/>
              </w:rPr>
            </w:pPr>
          </w:p>
        </w:tc>
        <w:tc>
          <w:tcPr>
            <w:tcW w:w="3886" w:type="dxa"/>
            <w:vMerge/>
            <w:vAlign w:val="center"/>
          </w:tcPr>
          <w:p w14:paraId="64F7CD71" w14:textId="77777777" w:rsidR="00CE3D45" w:rsidRDefault="00CE3D45" w:rsidP="00C20D8D">
            <w:pPr>
              <w:pStyle w:val="TableText"/>
              <w:rPr>
                <w:lang w:val="en-US"/>
              </w:rPr>
            </w:pPr>
          </w:p>
        </w:tc>
        <w:tc>
          <w:tcPr>
            <w:tcW w:w="1693" w:type="dxa"/>
            <w:vAlign w:val="center"/>
          </w:tcPr>
          <w:p w14:paraId="11916350" w14:textId="77777777" w:rsidR="00CE3D45" w:rsidRDefault="00CE3D45" w:rsidP="00C20D8D">
            <w:pPr>
              <w:pStyle w:val="TableText"/>
              <w:rPr>
                <w:lang w:val="en-US"/>
              </w:rPr>
            </w:pPr>
            <w:r>
              <w:rPr>
                <w:lang w:val="en-US"/>
              </w:rPr>
              <w:t>109779</w:t>
            </w:r>
          </w:p>
        </w:tc>
        <w:tc>
          <w:tcPr>
            <w:tcW w:w="1128" w:type="dxa"/>
            <w:vAlign w:val="center"/>
          </w:tcPr>
          <w:p w14:paraId="119B9FD3" w14:textId="3B819D8F" w:rsidR="00CE3D45" w:rsidRDefault="00243402" w:rsidP="00C20D8D">
            <w:pPr>
              <w:pStyle w:val="TableText"/>
              <w:rPr>
                <w:lang w:val="en-US"/>
              </w:rPr>
            </w:pPr>
            <w:r>
              <w:t>Yes</w:t>
            </w:r>
          </w:p>
        </w:tc>
        <w:tc>
          <w:tcPr>
            <w:tcW w:w="1120" w:type="dxa"/>
            <w:vAlign w:val="center"/>
          </w:tcPr>
          <w:p w14:paraId="1A4F1821" w14:textId="2E55B7A1" w:rsidR="00CE3D45" w:rsidRDefault="00243402" w:rsidP="00C20D8D">
            <w:pPr>
              <w:pStyle w:val="TableText"/>
              <w:rPr>
                <w:lang w:val="en-US"/>
              </w:rPr>
            </w:pPr>
            <w:r>
              <w:rPr>
                <w:lang w:val="en-US"/>
              </w:rPr>
              <w:t>Nil</w:t>
            </w:r>
          </w:p>
        </w:tc>
      </w:tr>
      <w:tr w:rsidR="00CE3D45" w14:paraId="7DE51D09" w14:textId="77777777" w:rsidTr="00243402">
        <w:tc>
          <w:tcPr>
            <w:tcW w:w="1666" w:type="dxa"/>
            <w:vMerge/>
            <w:vAlign w:val="center"/>
          </w:tcPr>
          <w:p w14:paraId="04250C6A" w14:textId="77777777" w:rsidR="00CE3D45" w:rsidRDefault="00CE3D45" w:rsidP="00C20D8D">
            <w:pPr>
              <w:pStyle w:val="TableText"/>
              <w:rPr>
                <w:lang w:val="en-US"/>
              </w:rPr>
            </w:pPr>
          </w:p>
        </w:tc>
        <w:tc>
          <w:tcPr>
            <w:tcW w:w="3886" w:type="dxa"/>
            <w:vMerge w:val="restart"/>
            <w:vAlign w:val="center"/>
          </w:tcPr>
          <w:p w14:paraId="1C59F55C" w14:textId="1BB9C83D" w:rsidR="00CE3D45" w:rsidRDefault="00CE3D45" w:rsidP="00C20D8D">
            <w:pPr>
              <w:pStyle w:val="TableText"/>
              <w:rPr>
                <w:lang w:val="en-US"/>
              </w:rPr>
            </w:pPr>
            <w:r>
              <w:rPr>
                <w:lang w:val="en-US"/>
              </w:rPr>
              <w:t>River Road, Barmah National Park</w:t>
            </w:r>
          </w:p>
        </w:tc>
        <w:tc>
          <w:tcPr>
            <w:tcW w:w="1693" w:type="dxa"/>
            <w:vAlign w:val="center"/>
          </w:tcPr>
          <w:p w14:paraId="42267C66" w14:textId="77777777" w:rsidR="00CE3D45" w:rsidRDefault="00CE3D45" w:rsidP="00C20D8D">
            <w:pPr>
              <w:pStyle w:val="TableText"/>
              <w:rPr>
                <w:lang w:val="en-US"/>
              </w:rPr>
            </w:pPr>
            <w:r>
              <w:rPr>
                <w:lang w:val="en-US"/>
              </w:rPr>
              <w:t>WRK953007</w:t>
            </w:r>
          </w:p>
        </w:tc>
        <w:tc>
          <w:tcPr>
            <w:tcW w:w="1128" w:type="dxa"/>
            <w:vAlign w:val="center"/>
          </w:tcPr>
          <w:p w14:paraId="597F34D0" w14:textId="1B09B938" w:rsidR="00CE3D45" w:rsidRDefault="00243402" w:rsidP="00C20D8D">
            <w:pPr>
              <w:pStyle w:val="TableText"/>
              <w:rPr>
                <w:lang w:val="en-US"/>
              </w:rPr>
            </w:pPr>
            <w:r>
              <w:t>Yes</w:t>
            </w:r>
          </w:p>
        </w:tc>
        <w:tc>
          <w:tcPr>
            <w:tcW w:w="1120" w:type="dxa"/>
            <w:vAlign w:val="center"/>
          </w:tcPr>
          <w:p w14:paraId="0019EEA7" w14:textId="297279AD" w:rsidR="00CE3D45" w:rsidRDefault="00243402" w:rsidP="00C20D8D">
            <w:pPr>
              <w:pStyle w:val="TableText"/>
              <w:rPr>
                <w:lang w:val="en-US"/>
              </w:rPr>
            </w:pPr>
            <w:r>
              <w:rPr>
                <w:lang w:val="en-US"/>
              </w:rPr>
              <w:t>Nil</w:t>
            </w:r>
          </w:p>
        </w:tc>
      </w:tr>
      <w:tr w:rsidR="00CE3D45" w14:paraId="50DD38DE" w14:textId="77777777" w:rsidTr="00243402">
        <w:tc>
          <w:tcPr>
            <w:tcW w:w="1666" w:type="dxa"/>
            <w:vMerge/>
            <w:vAlign w:val="center"/>
          </w:tcPr>
          <w:p w14:paraId="5997CE17" w14:textId="77777777" w:rsidR="00CE3D45" w:rsidRDefault="00CE3D45" w:rsidP="00C20D8D">
            <w:pPr>
              <w:pStyle w:val="TableText"/>
              <w:rPr>
                <w:lang w:val="en-US"/>
              </w:rPr>
            </w:pPr>
          </w:p>
        </w:tc>
        <w:tc>
          <w:tcPr>
            <w:tcW w:w="3886" w:type="dxa"/>
            <w:vMerge/>
            <w:vAlign w:val="center"/>
          </w:tcPr>
          <w:p w14:paraId="2FCA3E85" w14:textId="77777777" w:rsidR="00CE3D45" w:rsidRDefault="00CE3D45" w:rsidP="00C20D8D">
            <w:pPr>
              <w:pStyle w:val="TableText"/>
              <w:rPr>
                <w:lang w:val="en-US"/>
              </w:rPr>
            </w:pPr>
          </w:p>
        </w:tc>
        <w:tc>
          <w:tcPr>
            <w:tcW w:w="1693" w:type="dxa"/>
            <w:vAlign w:val="center"/>
          </w:tcPr>
          <w:p w14:paraId="7CCD38F3" w14:textId="77777777" w:rsidR="00CE3D45" w:rsidRDefault="00CE3D45" w:rsidP="00C20D8D">
            <w:pPr>
              <w:pStyle w:val="TableText"/>
              <w:rPr>
                <w:lang w:val="en-US"/>
              </w:rPr>
            </w:pPr>
            <w:r>
              <w:rPr>
                <w:lang w:val="en-US"/>
              </w:rPr>
              <w:t>WRK953008</w:t>
            </w:r>
          </w:p>
        </w:tc>
        <w:tc>
          <w:tcPr>
            <w:tcW w:w="1128" w:type="dxa"/>
            <w:vAlign w:val="center"/>
          </w:tcPr>
          <w:p w14:paraId="680EAACD" w14:textId="0551051E" w:rsidR="00CE3D45" w:rsidRDefault="00243402" w:rsidP="00C20D8D">
            <w:pPr>
              <w:pStyle w:val="TableText"/>
              <w:rPr>
                <w:lang w:val="en-US"/>
              </w:rPr>
            </w:pPr>
            <w:r>
              <w:t>Yes</w:t>
            </w:r>
          </w:p>
        </w:tc>
        <w:tc>
          <w:tcPr>
            <w:tcW w:w="1120" w:type="dxa"/>
            <w:vAlign w:val="center"/>
          </w:tcPr>
          <w:p w14:paraId="15BB634D" w14:textId="27B2A1B0" w:rsidR="00CE3D45" w:rsidRDefault="00243402" w:rsidP="00C20D8D">
            <w:pPr>
              <w:pStyle w:val="TableText"/>
              <w:rPr>
                <w:lang w:val="en-US"/>
              </w:rPr>
            </w:pPr>
            <w:r>
              <w:rPr>
                <w:lang w:val="en-US"/>
              </w:rPr>
              <w:t>Nil</w:t>
            </w:r>
          </w:p>
        </w:tc>
      </w:tr>
      <w:tr w:rsidR="00CE3D45" w14:paraId="7BD84A7A" w14:textId="77777777" w:rsidTr="00243402">
        <w:tc>
          <w:tcPr>
            <w:tcW w:w="1666" w:type="dxa"/>
            <w:vMerge/>
            <w:vAlign w:val="center"/>
          </w:tcPr>
          <w:p w14:paraId="51DB89D1" w14:textId="77777777" w:rsidR="00CE3D45" w:rsidRDefault="00CE3D45" w:rsidP="00C20D8D">
            <w:pPr>
              <w:pStyle w:val="TableText"/>
              <w:rPr>
                <w:lang w:val="en-US"/>
              </w:rPr>
            </w:pPr>
          </w:p>
        </w:tc>
        <w:tc>
          <w:tcPr>
            <w:tcW w:w="3886" w:type="dxa"/>
            <w:vMerge/>
            <w:vAlign w:val="center"/>
          </w:tcPr>
          <w:p w14:paraId="6E4309B7" w14:textId="77777777" w:rsidR="00CE3D45" w:rsidRDefault="00CE3D45" w:rsidP="00C20D8D">
            <w:pPr>
              <w:pStyle w:val="TableText"/>
              <w:rPr>
                <w:lang w:val="en-US"/>
              </w:rPr>
            </w:pPr>
          </w:p>
        </w:tc>
        <w:tc>
          <w:tcPr>
            <w:tcW w:w="1693" w:type="dxa"/>
            <w:vAlign w:val="center"/>
          </w:tcPr>
          <w:p w14:paraId="1CD895D0" w14:textId="77777777" w:rsidR="00CE3D45" w:rsidRDefault="00CE3D45" w:rsidP="00C20D8D">
            <w:pPr>
              <w:pStyle w:val="TableText"/>
              <w:rPr>
                <w:lang w:val="en-US"/>
              </w:rPr>
            </w:pPr>
            <w:r>
              <w:rPr>
                <w:lang w:val="en-US"/>
              </w:rPr>
              <w:t>WRK953010</w:t>
            </w:r>
          </w:p>
        </w:tc>
        <w:tc>
          <w:tcPr>
            <w:tcW w:w="1128" w:type="dxa"/>
            <w:vAlign w:val="center"/>
          </w:tcPr>
          <w:p w14:paraId="3BF8086E" w14:textId="345F5F35" w:rsidR="00CE3D45" w:rsidRDefault="00243402" w:rsidP="00C20D8D">
            <w:pPr>
              <w:pStyle w:val="TableText"/>
              <w:rPr>
                <w:lang w:val="en-US"/>
              </w:rPr>
            </w:pPr>
            <w:r>
              <w:t>Yes</w:t>
            </w:r>
          </w:p>
        </w:tc>
        <w:tc>
          <w:tcPr>
            <w:tcW w:w="1120" w:type="dxa"/>
            <w:vAlign w:val="center"/>
          </w:tcPr>
          <w:p w14:paraId="356842D2" w14:textId="0AF1AD7D" w:rsidR="00CE3D45" w:rsidRDefault="00243402" w:rsidP="00C20D8D">
            <w:pPr>
              <w:pStyle w:val="TableText"/>
              <w:rPr>
                <w:lang w:val="en-US"/>
              </w:rPr>
            </w:pPr>
            <w:r>
              <w:rPr>
                <w:lang w:val="en-US"/>
              </w:rPr>
              <w:t>Nil</w:t>
            </w:r>
          </w:p>
        </w:tc>
      </w:tr>
      <w:tr w:rsidR="00CE3D45" w14:paraId="4729C412" w14:textId="77777777" w:rsidTr="00243402">
        <w:tc>
          <w:tcPr>
            <w:tcW w:w="1666" w:type="dxa"/>
            <w:vMerge w:val="restart"/>
            <w:vAlign w:val="center"/>
          </w:tcPr>
          <w:p w14:paraId="33AE2282" w14:textId="090B90AC" w:rsidR="00CE3D45" w:rsidRDefault="00CE3D45" w:rsidP="00C20D8D">
            <w:pPr>
              <w:pStyle w:val="TableText"/>
              <w:rPr>
                <w:lang w:val="en-US"/>
              </w:rPr>
            </w:pPr>
            <w:proofErr w:type="spellStart"/>
            <w:r>
              <w:rPr>
                <w:lang w:val="en-US"/>
              </w:rPr>
              <w:t>Numurkah</w:t>
            </w:r>
            <w:proofErr w:type="spellEnd"/>
            <w:r>
              <w:rPr>
                <w:lang w:val="en-US"/>
              </w:rPr>
              <w:t xml:space="preserve"> – Nathalia Zone 1062</w:t>
            </w:r>
          </w:p>
        </w:tc>
        <w:tc>
          <w:tcPr>
            <w:tcW w:w="3886" w:type="dxa"/>
            <w:vMerge w:val="restart"/>
            <w:vAlign w:val="center"/>
          </w:tcPr>
          <w:p w14:paraId="3A6E9631" w14:textId="77777777" w:rsidR="00CE3D45" w:rsidRDefault="00CE3D45" w:rsidP="00C20D8D">
            <w:pPr>
              <w:pStyle w:val="TableText"/>
              <w:rPr>
                <w:lang w:val="en-US"/>
              </w:rPr>
            </w:pPr>
            <w:r>
              <w:rPr>
                <w:lang w:val="en-US"/>
              </w:rPr>
              <w:t>Benalla-</w:t>
            </w:r>
            <w:proofErr w:type="spellStart"/>
            <w:r>
              <w:rPr>
                <w:lang w:val="en-US"/>
              </w:rPr>
              <w:t>Tocumwai</w:t>
            </w:r>
            <w:proofErr w:type="spellEnd"/>
            <w:r>
              <w:rPr>
                <w:lang w:val="en-US"/>
              </w:rPr>
              <w:t xml:space="preserve"> Road, </w:t>
            </w:r>
            <w:proofErr w:type="spellStart"/>
            <w:r>
              <w:rPr>
                <w:lang w:val="en-US"/>
              </w:rPr>
              <w:t>Muckatah</w:t>
            </w:r>
            <w:proofErr w:type="spellEnd"/>
          </w:p>
        </w:tc>
        <w:tc>
          <w:tcPr>
            <w:tcW w:w="1693" w:type="dxa"/>
            <w:vAlign w:val="center"/>
          </w:tcPr>
          <w:p w14:paraId="3F849BC9" w14:textId="77777777" w:rsidR="00CE3D45" w:rsidRDefault="00CE3D45" w:rsidP="00C20D8D">
            <w:pPr>
              <w:pStyle w:val="TableText"/>
              <w:rPr>
                <w:lang w:val="en-US"/>
              </w:rPr>
            </w:pPr>
            <w:r>
              <w:rPr>
                <w:lang w:val="en-US"/>
              </w:rPr>
              <w:t>109556</w:t>
            </w:r>
          </w:p>
        </w:tc>
        <w:tc>
          <w:tcPr>
            <w:tcW w:w="1128" w:type="dxa"/>
            <w:vAlign w:val="center"/>
          </w:tcPr>
          <w:p w14:paraId="5D593A85" w14:textId="6CD6ADA7" w:rsidR="00CE3D45" w:rsidRDefault="00243402" w:rsidP="00C20D8D">
            <w:pPr>
              <w:pStyle w:val="TableText"/>
              <w:rPr>
                <w:lang w:val="en-US"/>
              </w:rPr>
            </w:pPr>
            <w:r>
              <w:t>Yes</w:t>
            </w:r>
          </w:p>
        </w:tc>
        <w:tc>
          <w:tcPr>
            <w:tcW w:w="1120" w:type="dxa"/>
            <w:vAlign w:val="center"/>
          </w:tcPr>
          <w:p w14:paraId="4326EB9D" w14:textId="1FC7DB2E" w:rsidR="00CE3D45" w:rsidRDefault="00243402" w:rsidP="00C20D8D">
            <w:pPr>
              <w:pStyle w:val="TableText"/>
              <w:rPr>
                <w:lang w:val="en-US"/>
              </w:rPr>
            </w:pPr>
            <w:r>
              <w:t>Yes</w:t>
            </w:r>
          </w:p>
        </w:tc>
      </w:tr>
      <w:tr w:rsidR="00CE3D45" w14:paraId="26B6CDC6" w14:textId="77777777" w:rsidTr="00243402">
        <w:tc>
          <w:tcPr>
            <w:tcW w:w="1666" w:type="dxa"/>
            <w:vMerge/>
            <w:vAlign w:val="center"/>
          </w:tcPr>
          <w:p w14:paraId="2853BECE" w14:textId="77777777" w:rsidR="00CE3D45" w:rsidRDefault="00CE3D45" w:rsidP="00C20D8D">
            <w:pPr>
              <w:pStyle w:val="TableText"/>
              <w:rPr>
                <w:lang w:val="en-US"/>
              </w:rPr>
            </w:pPr>
          </w:p>
        </w:tc>
        <w:tc>
          <w:tcPr>
            <w:tcW w:w="3886" w:type="dxa"/>
            <w:vMerge/>
            <w:vAlign w:val="center"/>
          </w:tcPr>
          <w:p w14:paraId="2FCBBDA1" w14:textId="77777777" w:rsidR="00CE3D45" w:rsidRDefault="00CE3D45" w:rsidP="00C20D8D">
            <w:pPr>
              <w:pStyle w:val="TableText"/>
              <w:rPr>
                <w:lang w:val="en-US"/>
              </w:rPr>
            </w:pPr>
          </w:p>
        </w:tc>
        <w:tc>
          <w:tcPr>
            <w:tcW w:w="1693" w:type="dxa"/>
            <w:vAlign w:val="center"/>
          </w:tcPr>
          <w:p w14:paraId="36368655" w14:textId="77777777" w:rsidR="00CE3D45" w:rsidRDefault="00CE3D45" w:rsidP="00C20D8D">
            <w:pPr>
              <w:pStyle w:val="TableText"/>
              <w:rPr>
                <w:lang w:val="en-US"/>
              </w:rPr>
            </w:pPr>
            <w:r>
              <w:rPr>
                <w:lang w:val="en-US"/>
              </w:rPr>
              <w:t>109557</w:t>
            </w:r>
          </w:p>
        </w:tc>
        <w:tc>
          <w:tcPr>
            <w:tcW w:w="1128" w:type="dxa"/>
            <w:vAlign w:val="center"/>
          </w:tcPr>
          <w:p w14:paraId="64CC313C" w14:textId="3F08E8DD" w:rsidR="00CE3D45" w:rsidRDefault="00243402" w:rsidP="00C20D8D">
            <w:pPr>
              <w:pStyle w:val="TableText"/>
              <w:rPr>
                <w:lang w:val="en-US"/>
              </w:rPr>
            </w:pPr>
            <w:r>
              <w:t>Yes</w:t>
            </w:r>
          </w:p>
        </w:tc>
        <w:tc>
          <w:tcPr>
            <w:tcW w:w="1120" w:type="dxa"/>
            <w:vAlign w:val="center"/>
          </w:tcPr>
          <w:p w14:paraId="0889BA25" w14:textId="76176617" w:rsidR="00CE3D45" w:rsidRDefault="00243402" w:rsidP="00C20D8D">
            <w:pPr>
              <w:pStyle w:val="TableText"/>
              <w:rPr>
                <w:lang w:val="en-US"/>
              </w:rPr>
            </w:pPr>
            <w:r>
              <w:t>Yes</w:t>
            </w:r>
          </w:p>
        </w:tc>
      </w:tr>
      <w:tr w:rsidR="00CE3D45" w14:paraId="1A1BD8B6" w14:textId="77777777" w:rsidTr="00243402">
        <w:tc>
          <w:tcPr>
            <w:tcW w:w="1666" w:type="dxa"/>
            <w:vMerge/>
            <w:vAlign w:val="center"/>
          </w:tcPr>
          <w:p w14:paraId="4E00DE79" w14:textId="77777777" w:rsidR="00CE3D45" w:rsidRDefault="00CE3D45" w:rsidP="00C20D8D">
            <w:pPr>
              <w:pStyle w:val="TableText"/>
              <w:rPr>
                <w:lang w:val="en-US"/>
              </w:rPr>
            </w:pPr>
          </w:p>
        </w:tc>
        <w:tc>
          <w:tcPr>
            <w:tcW w:w="3886" w:type="dxa"/>
            <w:vMerge w:val="restart"/>
            <w:vAlign w:val="center"/>
          </w:tcPr>
          <w:p w14:paraId="1263B4FB" w14:textId="77777777" w:rsidR="00CE3D45" w:rsidRDefault="00CE3D45" w:rsidP="00C20D8D">
            <w:pPr>
              <w:pStyle w:val="TableText"/>
              <w:rPr>
                <w:lang w:val="en-US"/>
              </w:rPr>
            </w:pPr>
            <w:r>
              <w:rPr>
                <w:lang w:val="en-US"/>
              </w:rPr>
              <w:t xml:space="preserve">Boards Road, </w:t>
            </w:r>
            <w:proofErr w:type="spellStart"/>
            <w:r>
              <w:rPr>
                <w:lang w:val="en-US"/>
              </w:rPr>
              <w:t>Strathmerton</w:t>
            </w:r>
            <w:proofErr w:type="spellEnd"/>
          </w:p>
        </w:tc>
        <w:tc>
          <w:tcPr>
            <w:tcW w:w="1693" w:type="dxa"/>
            <w:vAlign w:val="center"/>
          </w:tcPr>
          <w:p w14:paraId="1622BFAD" w14:textId="77777777" w:rsidR="00CE3D45" w:rsidRDefault="00CE3D45" w:rsidP="00C20D8D">
            <w:pPr>
              <w:pStyle w:val="TableText"/>
              <w:rPr>
                <w:lang w:val="en-US"/>
              </w:rPr>
            </w:pPr>
            <w:r>
              <w:rPr>
                <w:lang w:val="en-US"/>
              </w:rPr>
              <w:t>92446</w:t>
            </w:r>
          </w:p>
        </w:tc>
        <w:tc>
          <w:tcPr>
            <w:tcW w:w="1128" w:type="dxa"/>
            <w:vAlign w:val="center"/>
          </w:tcPr>
          <w:p w14:paraId="4E20160E" w14:textId="75A42E82" w:rsidR="00CE3D45" w:rsidRDefault="00243402" w:rsidP="00C20D8D">
            <w:pPr>
              <w:pStyle w:val="TableText"/>
              <w:rPr>
                <w:lang w:val="en-US"/>
              </w:rPr>
            </w:pPr>
            <w:r>
              <w:t>Yes</w:t>
            </w:r>
          </w:p>
        </w:tc>
        <w:tc>
          <w:tcPr>
            <w:tcW w:w="1120" w:type="dxa"/>
            <w:vAlign w:val="center"/>
          </w:tcPr>
          <w:p w14:paraId="3FFAF87E" w14:textId="74995200" w:rsidR="00CE3D45" w:rsidRDefault="00243402" w:rsidP="00C20D8D">
            <w:pPr>
              <w:pStyle w:val="TableText"/>
              <w:rPr>
                <w:lang w:val="en-US"/>
              </w:rPr>
            </w:pPr>
            <w:r>
              <w:rPr>
                <w:lang w:val="en-US"/>
              </w:rPr>
              <w:t>Nil</w:t>
            </w:r>
          </w:p>
        </w:tc>
      </w:tr>
      <w:tr w:rsidR="00CE3D45" w14:paraId="128E4D15" w14:textId="77777777" w:rsidTr="00243402">
        <w:tc>
          <w:tcPr>
            <w:tcW w:w="1666" w:type="dxa"/>
            <w:vMerge/>
            <w:vAlign w:val="center"/>
          </w:tcPr>
          <w:p w14:paraId="395576EA" w14:textId="77777777" w:rsidR="00CE3D45" w:rsidRDefault="00CE3D45" w:rsidP="00C20D8D">
            <w:pPr>
              <w:pStyle w:val="TableText"/>
              <w:rPr>
                <w:lang w:val="en-US"/>
              </w:rPr>
            </w:pPr>
          </w:p>
        </w:tc>
        <w:tc>
          <w:tcPr>
            <w:tcW w:w="3886" w:type="dxa"/>
            <w:vMerge/>
            <w:vAlign w:val="center"/>
          </w:tcPr>
          <w:p w14:paraId="1EBFBCB6" w14:textId="77777777" w:rsidR="00CE3D45" w:rsidRDefault="00CE3D45" w:rsidP="00C20D8D">
            <w:pPr>
              <w:pStyle w:val="TableText"/>
              <w:rPr>
                <w:lang w:val="en-US"/>
              </w:rPr>
            </w:pPr>
          </w:p>
        </w:tc>
        <w:tc>
          <w:tcPr>
            <w:tcW w:w="1693" w:type="dxa"/>
            <w:vAlign w:val="center"/>
          </w:tcPr>
          <w:p w14:paraId="3CB75375" w14:textId="77777777" w:rsidR="00CE3D45" w:rsidRDefault="00CE3D45" w:rsidP="00C20D8D">
            <w:pPr>
              <w:pStyle w:val="TableText"/>
              <w:rPr>
                <w:lang w:val="en-US"/>
              </w:rPr>
            </w:pPr>
            <w:r>
              <w:rPr>
                <w:lang w:val="en-US"/>
              </w:rPr>
              <w:t>92448</w:t>
            </w:r>
          </w:p>
        </w:tc>
        <w:tc>
          <w:tcPr>
            <w:tcW w:w="1128" w:type="dxa"/>
            <w:vAlign w:val="center"/>
          </w:tcPr>
          <w:p w14:paraId="600971F7" w14:textId="2E6056D4" w:rsidR="00CE3D45" w:rsidRDefault="00243402" w:rsidP="00C20D8D">
            <w:pPr>
              <w:pStyle w:val="TableText"/>
              <w:rPr>
                <w:lang w:val="en-US"/>
              </w:rPr>
            </w:pPr>
            <w:r>
              <w:t>Yes</w:t>
            </w:r>
          </w:p>
        </w:tc>
        <w:tc>
          <w:tcPr>
            <w:tcW w:w="1120" w:type="dxa"/>
            <w:vAlign w:val="center"/>
          </w:tcPr>
          <w:p w14:paraId="6565EEFD" w14:textId="38EBAFAE" w:rsidR="00CE3D45" w:rsidRDefault="00243402" w:rsidP="00C20D8D">
            <w:pPr>
              <w:pStyle w:val="TableText"/>
              <w:rPr>
                <w:lang w:val="en-US"/>
              </w:rPr>
            </w:pPr>
            <w:r>
              <w:rPr>
                <w:lang w:val="en-US"/>
              </w:rPr>
              <w:t>Nil</w:t>
            </w:r>
          </w:p>
        </w:tc>
      </w:tr>
      <w:tr w:rsidR="00CE3D45" w14:paraId="1998A40D" w14:textId="77777777" w:rsidTr="00243402">
        <w:tc>
          <w:tcPr>
            <w:tcW w:w="1666" w:type="dxa"/>
            <w:vMerge/>
            <w:vAlign w:val="center"/>
          </w:tcPr>
          <w:p w14:paraId="782FEB0D" w14:textId="77777777" w:rsidR="00CE3D45" w:rsidRDefault="00CE3D45" w:rsidP="00C20D8D">
            <w:pPr>
              <w:pStyle w:val="TableText"/>
              <w:rPr>
                <w:lang w:val="en-US"/>
              </w:rPr>
            </w:pPr>
          </w:p>
        </w:tc>
        <w:tc>
          <w:tcPr>
            <w:tcW w:w="3886" w:type="dxa"/>
            <w:vMerge w:val="restart"/>
            <w:vAlign w:val="center"/>
          </w:tcPr>
          <w:p w14:paraId="61595C6A" w14:textId="54F75489" w:rsidR="00CE3D45" w:rsidRDefault="00CE3D45" w:rsidP="00C20D8D">
            <w:pPr>
              <w:pStyle w:val="TableText"/>
              <w:rPr>
                <w:lang w:val="en-US"/>
              </w:rPr>
            </w:pPr>
            <w:r>
              <w:rPr>
                <w:lang w:val="en-US"/>
              </w:rPr>
              <w:t xml:space="preserve">Cranes Road, </w:t>
            </w:r>
            <w:proofErr w:type="spellStart"/>
            <w:r>
              <w:rPr>
                <w:lang w:val="en-US"/>
              </w:rPr>
              <w:t>Yielima</w:t>
            </w:r>
            <w:proofErr w:type="spellEnd"/>
          </w:p>
        </w:tc>
        <w:tc>
          <w:tcPr>
            <w:tcW w:w="1693" w:type="dxa"/>
            <w:vAlign w:val="center"/>
          </w:tcPr>
          <w:p w14:paraId="3C3B30BD" w14:textId="77777777" w:rsidR="00CE3D45" w:rsidRDefault="00CE3D45" w:rsidP="00C20D8D">
            <w:pPr>
              <w:pStyle w:val="TableText"/>
              <w:rPr>
                <w:lang w:val="en-US"/>
              </w:rPr>
            </w:pPr>
            <w:r>
              <w:rPr>
                <w:lang w:val="en-US"/>
              </w:rPr>
              <w:t>105927</w:t>
            </w:r>
          </w:p>
        </w:tc>
        <w:tc>
          <w:tcPr>
            <w:tcW w:w="1128" w:type="dxa"/>
            <w:vAlign w:val="center"/>
          </w:tcPr>
          <w:p w14:paraId="45C9A185" w14:textId="4CAAF2B9" w:rsidR="00CE3D45" w:rsidRDefault="00243402" w:rsidP="00C20D8D">
            <w:pPr>
              <w:pStyle w:val="TableText"/>
              <w:rPr>
                <w:lang w:val="en-US"/>
              </w:rPr>
            </w:pPr>
            <w:r>
              <w:t>Yes</w:t>
            </w:r>
          </w:p>
        </w:tc>
        <w:tc>
          <w:tcPr>
            <w:tcW w:w="1120" w:type="dxa"/>
            <w:vAlign w:val="center"/>
          </w:tcPr>
          <w:p w14:paraId="63464381" w14:textId="44BF6C6B" w:rsidR="00CE3D45" w:rsidRDefault="00243402" w:rsidP="00C20D8D">
            <w:pPr>
              <w:pStyle w:val="TableText"/>
              <w:rPr>
                <w:lang w:val="en-US"/>
              </w:rPr>
            </w:pPr>
            <w:r>
              <w:rPr>
                <w:lang w:val="en-US"/>
              </w:rPr>
              <w:t>Nil</w:t>
            </w:r>
          </w:p>
        </w:tc>
      </w:tr>
      <w:tr w:rsidR="00CE3D45" w14:paraId="36B25561" w14:textId="77777777" w:rsidTr="00243402">
        <w:tc>
          <w:tcPr>
            <w:tcW w:w="1666" w:type="dxa"/>
            <w:vMerge/>
            <w:vAlign w:val="center"/>
          </w:tcPr>
          <w:p w14:paraId="0FDA47B0" w14:textId="77777777" w:rsidR="00CE3D45" w:rsidRDefault="00CE3D45" w:rsidP="00C20D8D">
            <w:pPr>
              <w:pStyle w:val="TableText"/>
              <w:rPr>
                <w:lang w:val="en-US"/>
              </w:rPr>
            </w:pPr>
          </w:p>
        </w:tc>
        <w:tc>
          <w:tcPr>
            <w:tcW w:w="3886" w:type="dxa"/>
            <w:vMerge/>
            <w:vAlign w:val="center"/>
          </w:tcPr>
          <w:p w14:paraId="43FCF0EC" w14:textId="77777777" w:rsidR="00CE3D45" w:rsidRDefault="00CE3D45" w:rsidP="00C20D8D">
            <w:pPr>
              <w:pStyle w:val="TableText"/>
              <w:rPr>
                <w:lang w:val="en-US"/>
              </w:rPr>
            </w:pPr>
          </w:p>
        </w:tc>
        <w:tc>
          <w:tcPr>
            <w:tcW w:w="1693" w:type="dxa"/>
            <w:vAlign w:val="center"/>
          </w:tcPr>
          <w:p w14:paraId="59B35A3C" w14:textId="77777777" w:rsidR="00CE3D45" w:rsidRDefault="00CE3D45" w:rsidP="00C20D8D">
            <w:pPr>
              <w:pStyle w:val="TableText"/>
              <w:rPr>
                <w:lang w:val="en-US"/>
              </w:rPr>
            </w:pPr>
            <w:r>
              <w:rPr>
                <w:lang w:val="en-US"/>
              </w:rPr>
              <w:t>105929</w:t>
            </w:r>
          </w:p>
        </w:tc>
        <w:tc>
          <w:tcPr>
            <w:tcW w:w="1128" w:type="dxa"/>
            <w:vAlign w:val="center"/>
          </w:tcPr>
          <w:p w14:paraId="50999B18" w14:textId="72DC2E66" w:rsidR="00CE3D45" w:rsidRDefault="00243402" w:rsidP="00C20D8D">
            <w:pPr>
              <w:pStyle w:val="TableText"/>
              <w:rPr>
                <w:lang w:val="en-US"/>
              </w:rPr>
            </w:pPr>
            <w:r>
              <w:t>Yes</w:t>
            </w:r>
          </w:p>
        </w:tc>
        <w:tc>
          <w:tcPr>
            <w:tcW w:w="1120" w:type="dxa"/>
            <w:vAlign w:val="center"/>
          </w:tcPr>
          <w:p w14:paraId="2FDFC5C1" w14:textId="7EAF2646" w:rsidR="00CE3D45" w:rsidRDefault="00243402" w:rsidP="00C20D8D">
            <w:pPr>
              <w:pStyle w:val="TableText"/>
              <w:rPr>
                <w:lang w:val="en-US"/>
              </w:rPr>
            </w:pPr>
            <w:r>
              <w:rPr>
                <w:lang w:val="en-US"/>
              </w:rPr>
              <w:t>Nil</w:t>
            </w:r>
          </w:p>
        </w:tc>
      </w:tr>
      <w:tr w:rsidR="00CE3D45" w14:paraId="6DF402D4" w14:textId="77777777" w:rsidTr="00243402">
        <w:tc>
          <w:tcPr>
            <w:tcW w:w="1666" w:type="dxa"/>
            <w:vMerge/>
            <w:vAlign w:val="center"/>
          </w:tcPr>
          <w:p w14:paraId="72824307" w14:textId="77777777" w:rsidR="00CE3D45" w:rsidRDefault="00CE3D45" w:rsidP="00C20D8D">
            <w:pPr>
              <w:pStyle w:val="TableText"/>
              <w:rPr>
                <w:lang w:val="en-US"/>
              </w:rPr>
            </w:pPr>
          </w:p>
        </w:tc>
        <w:tc>
          <w:tcPr>
            <w:tcW w:w="3886" w:type="dxa"/>
            <w:vMerge/>
            <w:vAlign w:val="center"/>
          </w:tcPr>
          <w:p w14:paraId="0A5246C0" w14:textId="77777777" w:rsidR="00CE3D45" w:rsidRDefault="00CE3D45" w:rsidP="00C20D8D">
            <w:pPr>
              <w:pStyle w:val="TableText"/>
              <w:rPr>
                <w:lang w:val="en-US"/>
              </w:rPr>
            </w:pPr>
          </w:p>
        </w:tc>
        <w:tc>
          <w:tcPr>
            <w:tcW w:w="1693" w:type="dxa"/>
            <w:vAlign w:val="center"/>
          </w:tcPr>
          <w:p w14:paraId="1170FA1C" w14:textId="77777777" w:rsidR="00CE3D45" w:rsidRDefault="00CE3D45" w:rsidP="00C20D8D">
            <w:pPr>
              <w:pStyle w:val="TableText"/>
              <w:rPr>
                <w:lang w:val="en-US"/>
              </w:rPr>
            </w:pPr>
            <w:r>
              <w:rPr>
                <w:lang w:val="en-US"/>
              </w:rPr>
              <w:t>109780</w:t>
            </w:r>
          </w:p>
        </w:tc>
        <w:tc>
          <w:tcPr>
            <w:tcW w:w="1128" w:type="dxa"/>
            <w:vAlign w:val="center"/>
          </w:tcPr>
          <w:p w14:paraId="3637CD27" w14:textId="36AD3147" w:rsidR="00CE3D45" w:rsidRDefault="00243402" w:rsidP="00C20D8D">
            <w:pPr>
              <w:pStyle w:val="TableText"/>
              <w:rPr>
                <w:lang w:val="en-US"/>
              </w:rPr>
            </w:pPr>
            <w:r>
              <w:t>Yes</w:t>
            </w:r>
          </w:p>
        </w:tc>
        <w:tc>
          <w:tcPr>
            <w:tcW w:w="1120" w:type="dxa"/>
            <w:vAlign w:val="center"/>
          </w:tcPr>
          <w:p w14:paraId="15C627DD" w14:textId="205C50BB" w:rsidR="00CE3D45" w:rsidRDefault="00243402" w:rsidP="00C20D8D">
            <w:pPr>
              <w:pStyle w:val="TableText"/>
              <w:rPr>
                <w:lang w:val="en-US"/>
              </w:rPr>
            </w:pPr>
            <w:r>
              <w:rPr>
                <w:lang w:val="en-US"/>
              </w:rPr>
              <w:t>Nil</w:t>
            </w:r>
          </w:p>
        </w:tc>
      </w:tr>
      <w:tr w:rsidR="00CE3D45" w14:paraId="5385CB2B" w14:textId="77777777" w:rsidTr="00243402">
        <w:tc>
          <w:tcPr>
            <w:tcW w:w="1666" w:type="dxa"/>
            <w:vMerge/>
            <w:vAlign w:val="center"/>
          </w:tcPr>
          <w:p w14:paraId="451D6C09" w14:textId="77777777" w:rsidR="00CE3D45" w:rsidRDefault="00CE3D45" w:rsidP="00C20D8D">
            <w:pPr>
              <w:pStyle w:val="TableText"/>
              <w:rPr>
                <w:lang w:val="en-US"/>
              </w:rPr>
            </w:pPr>
          </w:p>
        </w:tc>
        <w:tc>
          <w:tcPr>
            <w:tcW w:w="3886" w:type="dxa"/>
            <w:vMerge/>
            <w:vAlign w:val="center"/>
          </w:tcPr>
          <w:p w14:paraId="14C67A33" w14:textId="77777777" w:rsidR="00CE3D45" w:rsidRDefault="00CE3D45" w:rsidP="00C20D8D">
            <w:pPr>
              <w:pStyle w:val="TableText"/>
              <w:rPr>
                <w:lang w:val="en-US"/>
              </w:rPr>
            </w:pPr>
          </w:p>
        </w:tc>
        <w:tc>
          <w:tcPr>
            <w:tcW w:w="1693" w:type="dxa"/>
            <w:vAlign w:val="center"/>
          </w:tcPr>
          <w:p w14:paraId="1D4AC3B5" w14:textId="77777777" w:rsidR="00CE3D45" w:rsidRDefault="00CE3D45" w:rsidP="00C20D8D">
            <w:pPr>
              <w:pStyle w:val="TableText"/>
              <w:rPr>
                <w:lang w:val="en-US"/>
              </w:rPr>
            </w:pPr>
            <w:r>
              <w:rPr>
                <w:lang w:val="en-US"/>
              </w:rPr>
              <w:t>109781</w:t>
            </w:r>
          </w:p>
        </w:tc>
        <w:tc>
          <w:tcPr>
            <w:tcW w:w="1128" w:type="dxa"/>
            <w:vAlign w:val="center"/>
          </w:tcPr>
          <w:p w14:paraId="5842ADAD" w14:textId="489DA372" w:rsidR="00CE3D45" w:rsidRDefault="00243402" w:rsidP="00C20D8D">
            <w:pPr>
              <w:pStyle w:val="TableText"/>
              <w:rPr>
                <w:lang w:val="en-US"/>
              </w:rPr>
            </w:pPr>
            <w:r>
              <w:t>Yes</w:t>
            </w:r>
          </w:p>
        </w:tc>
        <w:tc>
          <w:tcPr>
            <w:tcW w:w="1120" w:type="dxa"/>
            <w:vAlign w:val="center"/>
          </w:tcPr>
          <w:p w14:paraId="110DA529" w14:textId="1091CECF" w:rsidR="00CE3D45" w:rsidRDefault="00243402" w:rsidP="00C20D8D">
            <w:pPr>
              <w:pStyle w:val="TableText"/>
              <w:rPr>
                <w:lang w:val="en-US"/>
              </w:rPr>
            </w:pPr>
            <w:r>
              <w:rPr>
                <w:lang w:val="en-US"/>
              </w:rPr>
              <w:t>Nil</w:t>
            </w:r>
          </w:p>
        </w:tc>
      </w:tr>
      <w:tr w:rsidR="00CE3D45" w14:paraId="63CDE63A" w14:textId="77777777" w:rsidTr="00243402">
        <w:tc>
          <w:tcPr>
            <w:tcW w:w="1666" w:type="dxa"/>
            <w:vMerge/>
            <w:vAlign w:val="center"/>
          </w:tcPr>
          <w:p w14:paraId="4ED01014" w14:textId="77777777" w:rsidR="00CE3D45" w:rsidRDefault="00CE3D45" w:rsidP="00C20D8D">
            <w:pPr>
              <w:pStyle w:val="TableText"/>
              <w:rPr>
                <w:lang w:val="en-US"/>
              </w:rPr>
            </w:pPr>
          </w:p>
        </w:tc>
        <w:tc>
          <w:tcPr>
            <w:tcW w:w="3886" w:type="dxa"/>
            <w:vMerge w:val="restart"/>
            <w:vAlign w:val="center"/>
          </w:tcPr>
          <w:p w14:paraId="1F05B8D8" w14:textId="77777777" w:rsidR="00CE3D45" w:rsidRDefault="00CE3D45" w:rsidP="00C20D8D">
            <w:pPr>
              <w:pStyle w:val="TableText"/>
              <w:rPr>
                <w:lang w:val="en-US"/>
              </w:rPr>
            </w:pPr>
            <w:r>
              <w:rPr>
                <w:lang w:val="en-US"/>
              </w:rPr>
              <w:t xml:space="preserve">Gilberts Road, </w:t>
            </w:r>
            <w:proofErr w:type="spellStart"/>
            <w:r>
              <w:rPr>
                <w:lang w:val="en-US"/>
              </w:rPr>
              <w:t>Picola</w:t>
            </w:r>
            <w:proofErr w:type="spellEnd"/>
          </w:p>
        </w:tc>
        <w:tc>
          <w:tcPr>
            <w:tcW w:w="1693" w:type="dxa"/>
            <w:vAlign w:val="center"/>
          </w:tcPr>
          <w:p w14:paraId="3990E753" w14:textId="77777777" w:rsidR="00CE3D45" w:rsidRDefault="00CE3D45" w:rsidP="00C20D8D">
            <w:pPr>
              <w:pStyle w:val="TableText"/>
              <w:rPr>
                <w:lang w:val="en-US"/>
              </w:rPr>
            </w:pPr>
            <w:r>
              <w:rPr>
                <w:lang w:val="en-US"/>
              </w:rPr>
              <w:t>88009</w:t>
            </w:r>
          </w:p>
        </w:tc>
        <w:tc>
          <w:tcPr>
            <w:tcW w:w="1128" w:type="dxa"/>
            <w:vAlign w:val="center"/>
          </w:tcPr>
          <w:p w14:paraId="07071F1E" w14:textId="6AD9A2C5" w:rsidR="00CE3D45" w:rsidRDefault="00243402" w:rsidP="00C20D8D">
            <w:pPr>
              <w:pStyle w:val="TableText"/>
              <w:rPr>
                <w:lang w:val="en-US"/>
              </w:rPr>
            </w:pPr>
            <w:r>
              <w:t>Yes</w:t>
            </w:r>
          </w:p>
        </w:tc>
        <w:tc>
          <w:tcPr>
            <w:tcW w:w="1120" w:type="dxa"/>
            <w:vAlign w:val="center"/>
          </w:tcPr>
          <w:p w14:paraId="37416BB6" w14:textId="44B78981" w:rsidR="00CE3D45" w:rsidRDefault="00243402" w:rsidP="00C20D8D">
            <w:pPr>
              <w:pStyle w:val="TableText"/>
              <w:rPr>
                <w:lang w:val="en-US"/>
              </w:rPr>
            </w:pPr>
            <w:r>
              <w:rPr>
                <w:lang w:val="en-US"/>
              </w:rPr>
              <w:t>Nil</w:t>
            </w:r>
          </w:p>
        </w:tc>
      </w:tr>
      <w:tr w:rsidR="00CE3D45" w14:paraId="55ED9B67" w14:textId="77777777" w:rsidTr="00243402">
        <w:tc>
          <w:tcPr>
            <w:tcW w:w="1666" w:type="dxa"/>
            <w:vMerge/>
            <w:vAlign w:val="center"/>
          </w:tcPr>
          <w:p w14:paraId="6D06395A" w14:textId="77777777" w:rsidR="00CE3D45" w:rsidRDefault="00CE3D45" w:rsidP="00C20D8D">
            <w:pPr>
              <w:pStyle w:val="TableText"/>
              <w:rPr>
                <w:lang w:val="en-US"/>
              </w:rPr>
            </w:pPr>
          </w:p>
        </w:tc>
        <w:tc>
          <w:tcPr>
            <w:tcW w:w="3886" w:type="dxa"/>
            <w:vMerge/>
            <w:vAlign w:val="center"/>
          </w:tcPr>
          <w:p w14:paraId="22D31C52" w14:textId="77777777" w:rsidR="00CE3D45" w:rsidRDefault="00CE3D45" w:rsidP="00C20D8D">
            <w:pPr>
              <w:pStyle w:val="TableText"/>
              <w:rPr>
                <w:lang w:val="en-US"/>
              </w:rPr>
            </w:pPr>
          </w:p>
        </w:tc>
        <w:tc>
          <w:tcPr>
            <w:tcW w:w="1693" w:type="dxa"/>
            <w:vAlign w:val="center"/>
          </w:tcPr>
          <w:p w14:paraId="17F23B8D" w14:textId="77777777" w:rsidR="00CE3D45" w:rsidRDefault="00CE3D45" w:rsidP="00C20D8D">
            <w:pPr>
              <w:pStyle w:val="TableText"/>
              <w:rPr>
                <w:lang w:val="en-US"/>
              </w:rPr>
            </w:pPr>
            <w:r>
              <w:rPr>
                <w:lang w:val="en-US"/>
              </w:rPr>
              <w:t>88010</w:t>
            </w:r>
          </w:p>
        </w:tc>
        <w:tc>
          <w:tcPr>
            <w:tcW w:w="1128" w:type="dxa"/>
            <w:vAlign w:val="center"/>
          </w:tcPr>
          <w:p w14:paraId="42E347D2" w14:textId="38A3FC96" w:rsidR="00CE3D45" w:rsidRDefault="00243402" w:rsidP="00C20D8D">
            <w:pPr>
              <w:pStyle w:val="TableText"/>
              <w:rPr>
                <w:lang w:val="en-US"/>
              </w:rPr>
            </w:pPr>
            <w:r>
              <w:t>Yes</w:t>
            </w:r>
          </w:p>
        </w:tc>
        <w:tc>
          <w:tcPr>
            <w:tcW w:w="1120" w:type="dxa"/>
            <w:vAlign w:val="center"/>
          </w:tcPr>
          <w:p w14:paraId="24471497" w14:textId="5022FD71" w:rsidR="00CE3D45" w:rsidRDefault="00243402" w:rsidP="00C20D8D">
            <w:pPr>
              <w:pStyle w:val="TableText"/>
              <w:rPr>
                <w:lang w:val="en-US"/>
              </w:rPr>
            </w:pPr>
            <w:r>
              <w:rPr>
                <w:lang w:val="en-US"/>
              </w:rPr>
              <w:t>Nil</w:t>
            </w:r>
          </w:p>
        </w:tc>
      </w:tr>
      <w:tr w:rsidR="00CE3D45" w14:paraId="3247BEE1" w14:textId="77777777" w:rsidTr="00243402">
        <w:tc>
          <w:tcPr>
            <w:tcW w:w="1666" w:type="dxa"/>
            <w:vMerge/>
            <w:vAlign w:val="center"/>
          </w:tcPr>
          <w:p w14:paraId="176FA140" w14:textId="77777777" w:rsidR="00CE3D45" w:rsidRDefault="00CE3D45" w:rsidP="00C20D8D">
            <w:pPr>
              <w:pStyle w:val="TableText"/>
              <w:rPr>
                <w:lang w:val="en-US"/>
              </w:rPr>
            </w:pPr>
          </w:p>
        </w:tc>
        <w:tc>
          <w:tcPr>
            <w:tcW w:w="3886" w:type="dxa"/>
            <w:vMerge w:val="restart"/>
            <w:vAlign w:val="center"/>
          </w:tcPr>
          <w:p w14:paraId="3089DE21" w14:textId="6E2D2528" w:rsidR="00CE3D45" w:rsidRDefault="00CE3D45" w:rsidP="00C20D8D">
            <w:pPr>
              <w:pStyle w:val="TableText"/>
              <w:rPr>
                <w:lang w:val="en-US"/>
              </w:rPr>
            </w:pPr>
            <w:r>
              <w:rPr>
                <w:lang w:val="en-US"/>
              </w:rPr>
              <w:t>Goulburn Valley Highway, Katunga</w:t>
            </w:r>
          </w:p>
        </w:tc>
        <w:tc>
          <w:tcPr>
            <w:tcW w:w="1693" w:type="dxa"/>
            <w:vAlign w:val="center"/>
          </w:tcPr>
          <w:p w14:paraId="341B7593" w14:textId="77777777" w:rsidR="00CE3D45" w:rsidRDefault="00CE3D45" w:rsidP="00C20D8D">
            <w:pPr>
              <w:pStyle w:val="TableText"/>
              <w:rPr>
                <w:lang w:val="en-US"/>
              </w:rPr>
            </w:pPr>
            <w:r>
              <w:rPr>
                <w:lang w:val="en-US"/>
              </w:rPr>
              <w:t>48282</w:t>
            </w:r>
          </w:p>
        </w:tc>
        <w:tc>
          <w:tcPr>
            <w:tcW w:w="1128" w:type="dxa"/>
            <w:vAlign w:val="center"/>
          </w:tcPr>
          <w:p w14:paraId="1C7A5D39" w14:textId="443982C8" w:rsidR="00CE3D45" w:rsidRDefault="00243402" w:rsidP="00C20D8D">
            <w:pPr>
              <w:pStyle w:val="TableText"/>
              <w:rPr>
                <w:lang w:val="en-US"/>
              </w:rPr>
            </w:pPr>
            <w:r>
              <w:t>Yes</w:t>
            </w:r>
          </w:p>
        </w:tc>
        <w:tc>
          <w:tcPr>
            <w:tcW w:w="1120" w:type="dxa"/>
            <w:vAlign w:val="center"/>
          </w:tcPr>
          <w:p w14:paraId="1D571EDD" w14:textId="5A3487B6" w:rsidR="00CE3D45" w:rsidRDefault="00243402" w:rsidP="00C20D8D">
            <w:pPr>
              <w:pStyle w:val="TableText"/>
              <w:rPr>
                <w:lang w:val="en-US"/>
              </w:rPr>
            </w:pPr>
            <w:r>
              <w:t>Yes</w:t>
            </w:r>
          </w:p>
        </w:tc>
      </w:tr>
      <w:tr w:rsidR="00CE3D45" w14:paraId="6324B8F6" w14:textId="77777777" w:rsidTr="00243402">
        <w:tc>
          <w:tcPr>
            <w:tcW w:w="1666" w:type="dxa"/>
            <w:vMerge/>
            <w:vAlign w:val="center"/>
          </w:tcPr>
          <w:p w14:paraId="0572993B" w14:textId="77777777" w:rsidR="00CE3D45" w:rsidRDefault="00CE3D45" w:rsidP="00C20D8D">
            <w:pPr>
              <w:pStyle w:val="TableText"/>
              <w:rPr>
                <w:lang w:val="en-US"/>
              </w:rPr>
            </w:pPr>
          </w:p>
        </w:tc>
        <w:tc>
          <w:tcPr>
            <w:tcW w:w="3886" w:type="dxa"/>
            <w:vMerge/>
            <w:vAlign w:val="center"/>
          </w:tcPr>
          <w:p w14:paraId="186D1798" w14:textId="77777777" w:rsidR="00CE3D45" w:rsidRDefault="00CE3D45" w:rsidP="00C20D8D">
            <w:pPr>
              <w:pStyle w:val="TableText"/>
              <w:rPr>
                <w:lang w:val="en-US"/>
              </w:rPr>
            </w:pPr>
          </w:p>
        </w:tc>
        <w:tc>
          <w:tcPr>
            <w:tcW w:w="1693" w:type="dxa"/>
            <w:vAlign w:val="center"/>
          </w:tcPr>
          <w:p w14:paraId="2C2EEDAC" w14:textId="77777777" w:rsidR="00CE3D45" w:rsidRDefault="00CE3D45" w:rsidP="00C20D8D">
            <w:pPr>
              <w:pStyle w:val="TableText"/>
              <w:rPr>
                <w:lang w:val="en-US"/>
              </w:rPr>
            </w:pPr>
            <w:r>
              <w:rPr>
                <w:lang w:val="en-US"/>
              </w:rPr>
              <w:t>48289</w:t>
            </w:r>
          </w:p>
        </w:tc>
        <w:tc>
          <w:tcPr>
            <w:tcW w:w="1128" w:type="dxa"/>
            <w:vAlign w:val="center"/>
          </w:tcPr>
          <w:p w14:paraId="1F60B5F4" w14:textId="42E5B80E" w:rsidR="00CE3D45" w:rsidRDefault="00243402" w:rsidP="00C20D8D">
            <w:pPr>
              <w:pStyle w:val="TableText"/>
              <w:rPr>
                <w:lang w:val="en-US"/>
              </w:rPr>
            </w:pPr>
            <w:r>
              <w:t>Yes</w:t>
            </w:r>
          </w:p>
        </w:tc>
        <w:tc>
          <w:tcPr>
            <w:tcW w:w="1120" w:type="dxa"/>
            <w:vAlign w:val="center"/>
          </w:tcPr>
          <w:p w14:paraId="5C311CA4" w14:textId="0BFC9796" w:rsidR="00CE3D45" w:rsidRDefault="00243402" w:rsidP="00C20D8D">
            <w:pPr>
              <w:pStyle w:val="TableText"/>
              <w:rPr>
                <w:lang w:val="en-US"/>
              </w:rPr>
            </w:pPr>
            <w:r>
              <w:t>Yes</w:t>
            </w:r>
          </w:p>
        </w:tc>
      </w:tr>
      <w:tr w:rsidR="00CE3D45" w14:paraId="78C3F4B8" w14:textId="77777777" w:rsidTr="00243402">
        <w:tc>
          <w:tcPr>
            <w:tcW w:w="1666" w:type="dxa"/>
            <w:vMerge/>
            <w:vAlign w:val="center"/>
          </w:tcPr>
          <w:p w14:paraId="12D8991A" w14:textId="77777777" w:rsidR="00CE3D45" w:rsidRDefault="00CE3D45" w:rsidP="00C20D8D">
            <w:pPr>
              <w:pStyle w:val="TableText"/>
              <w:rPr>
                <w:lang w:val="en-US"/>
              </w:rPr>
            </w:pPr>
          </w:p>
        </w:tc>
        <w:tc>
          <w:tcPr>
            <w:tcW w:w="3886" w:type="dxa"/>
            <w:vMerge/>
            <w:vAlign w:val="center"/>
          </w:tcPr>
          <w:p w14:paraId="1A7624DB" w14:textId="77777777" w:rsidR="00CE3D45" w:rsidRDefault="00CE3D45" w:rsidP="00C20D8D">
            <w:pPr>
              <w:pStyle w:val="TableText"/>
              <w:rPr>
                <w:lang w:val="en-US"/>
              </w:rPr>
            </w:pPr>
          </w:p>
        </w:tc>
        <w:tc>
          <w:tcPr>
            <w:tcW w:w="1693" w:type="dxa"/>
            <w:vAlign w:val="center"/>
          </w:tcPr>
          <w:p w14:paraId="4170B80E" w14:textId="77777777" w:rsidR="00CE3D45" w:rsidRDefault="00CE3D45" w:rsidP="00C20D8D">
            <w:pPr>
              <w:pStyle w:val="TableText"/>
              <w:rPr>
                <w:lang w:val="en-US"/>
              </w:rPr>
            </w:pPr>
            <w:r>
              <w:rPr>
                <w:lang w:val="en-US"/>
              </w:rPr>
              <w:t>48292</w:t>
            </w:r>
          </w:p>
        </w:tc>
        <w:tc>
          <w:tcPr>
            <w:tcW w:w="1128" w:type="dxa"/>
            <w:vAlign w:val="center"/>
          </w:tcPr>
          <w:p w14:paraId="1C51CA67" w14:textId="3FD65F58" w:rsidR="00CE3D45" w:rsidRDefault="00243402" w:rsidP="00C20D8D">
            <w:pPr>
              <w:pStyle w:val="TableText"/>
              <w:rPr>
                <w:lang w:val="en-US"/>
              </w:rPr>
            </w:pPr>
            <w:r>
              <w:t>Yes</w:t>
            </w:r>
          </w:p>
        </w:tc>
        <w:tc>
          <w:tcPr>
            <w:tcW w:w="1120" w:type="dxa"/>
            <w:vAlign w:val="center"/>
          </w:tcPr>
          <w:p w14:paraId="08CE98AE" w14:textId="13038E8D" w:rsidR="00CE3D45" w:rsidRDefault="00243402" w:rsidP="00C20D8D">
            <w:pPr>
              <w:pStyle w:val="TableText"/>
              <w:rPr>
                <w:lang w:val="en-US"/>
              </w:rPr>
            </w:pPr>
            <w:r>
              <w:t>Yes</w:t>
            </w:r>
          </w:p>
        </w:tc>
      </w:tr>
      <w:tr w:rsidR="00CE3D45" w14:paraId="5C2EEA42" w14:textId="77777777" w:rsidTr="00243402">
        <w:tc>
          <w:tcPr>
            <w:tcW w:w="1666" w:type="dxa"/>
            <w:vMerge/>
            <w:vAlign w:val="center"/>
          </w:tcPr>
          <w:p w14:paraId="109028D0" w14:textId="77777777" w:rsidR="00CE3D45" w:rsidRDefault="00CE3D45" w:rsidP="00C20D8D">
            <w:pPr>
              <w:pStyle w:val="TableText"/>
              <w:rPr>
                <w:lang w:val="en-US"/>
              </w:rPr>
            </w:pPr>
          </w:p>
        </w:tc>
        <w:tc>
          <w:tcPr>
            <w:tcW w:w="3886" w:type="dxa"/>
            <w:vMerge w:val="restart"/>
            <w:vAlign w:val="center"/>
          </w:tcPr>
          <w:p w14:paraId="057A71AF" w14:textId="77777777" w:rsidR="00CE3D45" w:rsidRDefault="00CE3D45" w:rsidP="00C20D8D">
            <w:pPr>
              <w:pStyle w:val="TableText"/>
              <w:rPr>
                <w:lang w:val="en-US"/>
              </w:rPr>
            </w:pPr>
            <w:r>
              <w:rPr>
                <w:lang w:val="en-US"/>
              </w:rPr>
              <w:t xml:space="preserve">Goulburn Valley Highway, </w:t>
            </w:r>
            <w:proofErr w:type="spellStart"/>
            <w:r>
              <w:rPr>
                <w:lang w:val="en-US"/>
              </w:rPr>
              <w:t>Numurkah</w:t>
            </w:r>
            <w:proofErr w:type="spellEnd"/>
          </w:p>
        </w:tc>
        <w:tc>
          <w:tcPr>
            <w:tcW w:w="1693" w:type="dxa"/>
            <w:vAlign w:val="center"/>
          </w:tcPr>
          <w:p w14:paraId="4567E9F1" w14:textId="77777777" w:rsidR="00CE3D45" w:rsidRDefault="00CE3D45" w:rsidP="00C20D8D">
            <w:pPr>
              <w:pStyle w:val="TableText"/>
              <w:rPr>
                <w:lang w:val="en-US"/>
              </w:rPr>
            </w:pPr>
            <w:r>
              <w:rPr>
                <w:lang w:val="en-US"/>
              </w:rPr>
              <w:t>48281</w:t>
            </w:r>
          </w:p>
        </w:tc>
        <w:tc>
          <w:tcPr>
            <w:tcW w:w="1128" w:type="dxa"/>
            <w:vAlign w:val="center"/>
          </w:tcPr>
          <w:p w14:paraId="3E869233" w14:textId="7B67A83F" w:rsidR="00CE3D45" w:rsidRDefault="00243402" w:rsidP="00C20D8D">
            <w:pPr>
              <w:pStyle w:val="TableText"/>
              <w:rPr>
                <w:lang w:val="en-US"/>
              </w:rPr>
            </w:pPr>
            <w:r>
              <w:t>Yes</w:t>
            </w:r>
          </w:p>
        </w:tc>
        <w:tc>
          <w:tcPr>
            <w:tcW w:w="1120" w:type="dxa"/>
            <w:vAlign w:val="center"/>
          </w:tcPr>
          <w:p w14:paraId="4BA38B97" w14:textId="6961C13F" w:rsidR="00CE3D45" w:rsidRDefault="00243402" w:rsidP="00C20D8D">
            <w:pPr>
              <w:pStyle w:val="TableText"/>
              <w:rPr>
                <w:lang w:val="en-US"/>
              </w:rPr>
            </w:pPr>
            <w:r>
              <w:rPr>
                <w:lang w:val="en-US"/>
              </w:rPr>
              <w:t>Nil</w:t>
            </w:r>
          </w:p>
        </w:tc>
      </w:tr>
      <w:tr w:rsidR="00CE3D45" w14:paraId="3A9E3E98" w14:textId="77777777" w:rsidTr="00243402">
        <w:tc>
          <w:tcPr>
            <w:tcW w:w="1666" w:type="dxa"/>
            <w:vMerge/>
            <w:vAlign w:val="center"/>
          </w:tcPr>
          <w:p w14:paraId="0EDDCDFB" w14:textId="77777777" w:rsidR="00CE3D45" w:rsidRDefault="00CE3D45" w:rsidP="00C20D8D">
            <w:pPr>
              <w:pStyle w:val="TableText"/>
              <w:rPr>
                <w:lang w:val="en-US"/>
              </w:rPr>
            </w:pPr>
          </w:p>
        </w:tc>
        <w:tc>
          <w:tcPr>
            <w:tcW w:w="3886" w:type="dxa"/>
            <w:vMerge/>
            <w:vAlign w:val="center"/>
          </w:tcPr>
          <w:p w14:paraId="6E33CE27" w14:textId="77777777" w:rsidR="00CE3D45" w:rsidRDefault="00CE3D45" w:rsidP="00C20D8D">
            <w:pPr>
              <w:pStyle w:val="TableText"/>
              <w:rPr>
                <w:lang w:val="en-US"/>
              </w:rPr>
            </w:pPr>
          </w:p>
        </w:tc>
        <w:tc>
          <w:tcPr>
            <w:tcW w:w="1693" w:type="dxa"/>
            <w:vAlign w:val="center"/>
          </w:tcPr>
          <w:p w14:paraId="5478A24E" w14:textId="77777777" w:rsidR="00CE3D45" w:rsidRDefault="00CE3D45" w:rsidP="00C20D8D">
            <w:pPr>
              <w:pStyle w:val="TableText"/>
              <w:rPr>
                <w:lang w:val="en-US"/>
              </w:rPr>
            </w:pPr>
            <w:r>
              <w:rPr>
                <w:lang w:val="en-US"/>
              </w:rPr>
              <w:t>48288</w:t>
            </w:r>
          </w:p>
        </w:tc>
        <w:tc>
          <w:tcPr>
            <w:tcW w:w="1128" w:type="dxa"/>
            <w:vAlign w:val="center"/>
          </w:tcPr>
          <w:p w14:paraId="32F77928" w14:textId="0C0066BE" w:rsidR="00CE3D45" w:rsidRDefault="00243402" w:rsidP="00C20D8D">
            <w:pPr>
              <w:pStyle w:val="TableText"/>
              <w:rPr>
                <w:lang w:val="en-US"/>
              </w:rPr>
            </w:pPr>
            <w:r>
              <w:t>Yes</w:t>
            </w:r>
          </w:p>
        </w:tc>
        <w:tc>
          <w:tcPr>
            <w:tcW w:w="1120" w:type="dxa"/>
            <w:vAlign w:val="center"/>
          </w:tcPr>
          <w:p w14:paraId="5AEFBFCF" w14:textId="663F8EFC" w:rsidR="00CE3D45" w:rsidRDefault="00243402" w:rsidP="00C20D8D">
            <w:pPr>
              <w:pStyle w:val="TableText"/>
              <w:rPr>
                <w:lang w:val="en-US"/>
              </w:rPr>
            </w:pPr>
            <w:r>
              <w:rPr>
                <w:lang w:val="en-US"/>
              </w:rPr>
              <w:t>Nil</w:t>
            </w:r>
          </w:p>
        </w:tc>
      </w:tr>
      <w:tr w:rsidR="00CE3D45" w14:paraId="2469F3FD" w14:textId="77777777" w:rsidTr="00243402">
        <w:tc>
          <w:tcPr>
            <w:tcW w:w="1666" w:type="dxa"/>
            <w:vMerge/>
            <w:vAlign w:val="center"/>
          </w:tcPr>
          <w:p w14:paraId="63D41140" w14:textId="77777777" w:rsidR="00CE3D45" w:rsidRDefault="00CE3D45" w:rsidP="00C20D8D">
            <w:pPr>
              <w:pStyle w:val="TableText"/>
              <w:rPr>
                <w:lang w:val="en-US"/>
              </w:rPr>
            </w:pPr>
          </w:p>
        </w:tc>
        <w:tc>
          <w:tcPr>
            <w:tcW w:w="3886" w:type="dxa"/>
            <w:vMerge w:val="restart"/>
            <w:vAlign w:val="center"/>
          </w:tcPr>
          <w:p w14:paraId="59A6C1C1" w14:textId="77777777" w:rsidR="00CE3D45" w:rsidRDefault="00CE3D45" w:rsidP="00C20D8D">
            <w:pPr>
              <w:pStyle w:val="TableText"/>
              <w:rPr>
                <w:lang w:val="en-US"/>
              </w:rPr>
            </w:pPr>
            <w:r>
              <w:rPr>
                <w:lang w:val="en-US"/>
              </w:rPr>
              <w:t xml:space="preserve">James Bridge Road, </w:t>
            </w:r>
            <w:proofErr w:type="spellStart"/>
            <w:r>
              <w:rPr>
                <w:lang w:val="en-US"/>
              </w:rPr>
              <w:t>Picola</w:t>
            </w:r>
            <w:proofErr w:type="spellEnd"/>
          </w:p>
        </w:tc>
        <w:tc>
          <w:tcPr>
            <w:tcW w:w="1693" w:type="dxa"/>
            <w:vAlign w:val="center"/>
          </w:tcPr>
          <w:p w14:paraId="6D63EC77" w14:textId="77777777" w:rsidR="00CE3D45" w:rsidRDefault="00CE3D45" w:rsidP="00C20D8D">
            <w:pPr>
              <w:pStyle w:val="TableText"/>
              <w:rPr>
                <w:lang w:val="en-US"/>
              </w:rPr>
            </w:pPr>
            <w:r>
              <w:rPr>
                <w:lang w:val="en-US"/>
              </w:rPr>
              <w:t>84016</w:t>
            </w:r>
          </w:p>
        </w:tc>
        <w:tc>
          <w:tcPr>
            <w:tcW w:w="1128" w:type="dxa"/>
            <w:vAlign w:val="center"/>
          </w:tcPr>
          <w:p w14:paraId="2D738BE4" w14:textId="66BF77BB" w:rsidR="00CE3D45" w:rsidRDefault="00243402" w:rsidP="00C20D8D">
            <w:pPr>
              <w:pStyle w:val="TableText"/>
              <w:rPr>
                <w:lang w:val="en-US"/>
              </w:rPr>
            </w:pPr>
            <w:r>
              <w:t>Yes</w:t>
            </w:r>
          </w:p>
        </w:tc>
        <w:tc>
          <w:tcPr>
            <w:tcW w:w="1120" w:type="dxa"/>
            <w:vAlign w:val="center"/>
          </w:tcPr>
          <w:p w14:paraId="44CA6AA4" w14:textId="2F5D587A" w:rsidR="00CE3D45" w:rsidRDefault="00243402" w:rsidP="00C20D8D">
            <w:pPr>
              <w:pStyle w:val="TableText"/>
              <w:rPr>
                <w:lang w:val="en-US"/>
              </w:rPr>
            </w:pPr>
            <w:r>
              <w:rPr>
                <w:lang w:val="en-US"/>
              </w:rPr>
              <w:t>Nil</w:t>
            </w:r>
          </w:p>
        </w:tc>
      </w:tr>
      <w:tr w:rsidR="00CE3D45" w14:paraId="473B231E" w14:textId="77777777" w:rsidTr="00243402">
        <w:tc>
          <w:tcPr>
            <w:tcW w:w="1666" w:type="dxa"/>
            <w:vMerge/>
            <w:vAlign w:val="center"/>
          </w:tcPr>
          <w:p w14:paraId="0FC205A8" w14:textId="77777777" w:rsidR="00CE3D45" w:rsidRDefault="00CE3D45" w:rsidP="00C20D8D">
            <w:pPr>
              <w:pStyle w:val="TableText"/>
              <w:rPr>
                <w:lang w:val="en-US"/>
              </w:rPr>
            </w:pPr>
          </w:p>
        </w:tc>
        <w:tc>
          <w:tcPr>
            <w:tcW w:w="3886" w:type="dxa"/>
            <w:vMerge/>
            <w:vAlign w:val="center"/>
          </w:tcPr>
          <w:p w14:paraId="215FC238" w14:textId="77777777" w:rsidR="00CE3D45" w:rsidRDefault="00CE3D45" w:rsidP="00C20D8D">
            <w:pPr>
              <w:pStyle w:val="TableText"/>
              <w:rPr>
                <w:lang w:val="en-US"/>
              </w:rPr>
            </w:pPr>
          </w:p>
        </w:tc>
        <w:tc>
          <w:tcPr>
            <w:tcW w:w="1693" w:type="dxa"/>
            <w:vAlign w:val="center"/>
          </w:tcPr>
          <w:p w14:paraId="71AA9D0E" w14:textId="77777777" w:rsidR="00CE3D45" w:rsidRDefault="00CE3D45" w:rsidP="00C20D8D">
            <w:pPr>
              <w:pStyle w:val="TableText"/>
              <w:rPr>
                <w:lang w:val="en-US"/>
              </w:rPr>
            </w:pPr>
            <w:r>
              <w:rPr>
                <w:lang w:val="en-US"/>
              </w:rPr>
              <w:t>84021</w:t>
            </w:r>
          </w:p>
        </w:tc>
        <w:tc>
          <w:tcPr>
            <w:tcW w:w="1128" w:type="dxa"/>
            <w:vAlign w:val="center"/>
          </w:tcPr>
          <w:p w14:paraId="39582390" w14:textId="5DCAE761" w:rsidR="00CE3D45" w:rsidRDefault="00243402" w:rsidP="00C20D8D">
            <w:pPr>
              <w:pStyle w:val="TableText"/>
              <w:rPr>
                <w:lang w:val="en-US"/>
              </w:rPr>
            </w:pPr>
            <w:r>
              <w:t>Yes</w:t>
            </w:r>
          </w:p>
        </w:tc>
        <w:tc>
          <w:tcPr>
            <w:tcW w:w="1120" w:type="dxa"/>
            <w:vAlign w:val="center"/>
          </w:tcPr>
          <w:p w14:paraId="0559205C" w14:textId="2B180E9F" w:rsidR="00CE3D45" w:rsidRDefault="00243402" w:rsidP="00C20D8D">
            <w:pPr>
              <w:pStyle w:val="TableText"/>
              <w:rPr>
                <w:lang w:val="en-US"/>
              </w:rPr>
            </w:pPr>
            <w:r>
              <w:rPr>
                <w:lang w:val="en-US"/>
              </w:rPr>
              <w:t>Nil</w:t>
            </w:r>
          </w:p>
        </w:tc>
      </w:tr>
      <w:tr w:rsidR="00CE3D45" w14:paraId="5B4C0786" w14:textId="77777777" w:rsidTr="00243402">
        <w:tc>
          <w:tcPr>
            <w:tcW w:w="1666" w:type="dxa"/>
            <w:vMerge/>
            <w:vAlign w:val="center"/>
          </w:tcPr>
          <w:p w14:paraId="42BF0A7E" w14:textId="77777777" w:rsidR="00CE3D45" w:rsidRDefault="00CE3D45" w:rsidP="00C20D8D">
            <w:pPr>
              <w:pStyle w:val="TableText"/>
              <w:rPr>
                <w:lang w:val="en-US"/>
              </w:rPr>
            </w:pPr>
          </w:p>
        </w:tc>
        <w:tc>
          <w:tcPr>
            <w:tcW w:w="3886" w:type="dxa"/>
            <w:vMerge w:val="restart"/>
            <w:vAlign w:val="center"/>
          </w:tcPr>
          <w:p w14:paraId="36026063" w14:textId="77777777" w:rsidR="00CE3D45" w:rsidRDefault="00CE3D45" w:rsidP="00C20D8D">
            <w:pPr>
              <w:pStyle w:val="TableText"/>
              <w:rPr>
                <w:lang w:val="en-US"/>
              </w:rPr>
            </w:pPr>
            <w:r>
              <w:rPr>
                <w:lang w:val="en-US"/>
              </w:rPr>
              <w:t>Paynes Road, Nathalia</w:t>
            </w:r>
          </w:p>
        </w:tc>
        <w:tc>
          <w:tcPr>
            <w:tcW w:w="1693" w:type="dxa"/>
            <w:vAlign w:val="center"/>
          </w:tcPr>
          <w:p w14:paraId="14387CED" w14:textId="77777777" w:rsidR="00CE3D45" w:rsidRDefault="00CE3D45" w:rsidP="00C20D8D">
            <w:pPr>
              <w:pStyle w:val="TableText"/>
              <w:rPr>
                <w:lang w:val="en-US"/>
              </w:rPr>
            </w:pPr>
            <w:r>
              <w:rPr>
                <w:lang w:val="en-US"/>
              </w:rPr>
              <w:t>97885</w:t>
            </w:r>
          </w:p>
        </w:tc>
        <w:tc>
          <w:tcPr>
            <w:tcW w:w="1128" w:type="dxa"/>
            <w:vAlign w:val="center"/>
          </w:tcPr>
          <w:p w14:paraId="561D4419" w14:textId="51E4E087" w:rsidR="00CE3D45" w:rsidRDefault="00243402" w:rsidP="00C20D8D">
            <w:pPr>
              <w:pStyle w:val="TableText"/>
              <w:rPr>
                <w:lang w:val="en-US"/>
              </w:rPr>
            </w:pPr>
            <w:r>
              <w:t>Yes</w:t>
            </w:r>
          </w:p>
        </w:tc>
        <w:tc>
          <w:tcPr>
            <w:tcW w:w="1120" w:type="dxa"/>
            <w:vAlign w:val="center"/>
          </w:tcPr>
          <w:p w14:paraId="3BCA4F2B" w14:textId="54F5BC7B" w:rsidR="00CE3D45" w:rsidRDefault="00243402" w:rsidP="00C20D8D">
            <w:pPr>
              <w:pStyle w:val="TableText"/>
              <w:rPr>
                <w:lang w:val="en-US"/>
              </w:rPr>
            </w:pPr>
            <w:r>
              <w:rPr>
                <w:lang w:val="en-US"/>
              </w:rPr>
              <w:t>Nil</w:t>
            </w:r>
          </w:p>
        </w:tc>
      </w:tr>
      <w:tr w:rsidR="00CE3D45" w14:paraId="3D1B9489" w14:textId="77777777" w:rsidTr="00243402">
        <w:tc>
          <w:tcPr>
            <w:tcW w:w="1666" w:type="dxa"/>
            <w:vMerge/>
            <w:vAlign w:val="center"/>
          </w:tcPr>
          <w:p w14:paraId="0EC996E5" w14:textId="77777777" w:rsidR="00CE3D45" w:rsidRDefault="00CE3D45" w:rsidP="00C20D8D">
            <w:pPr>
              <w:pStyle w:val="TableText"/>
              <w:rPr>
                <w:lang w:val="en-US"/>
              </w:rPr>
            </w:pPr>
          </w:p>
        </w:tc>
        <w:tc>
          <w:tcPr>
            <w:tcW w:w="3886" w:type="dxa"/>
            <w:vMerge/>
            <w:vAlign w:val="center"/>
          </w:tcPr>
          <w:p w14:paraId="66AE824A" w14:textId="77777777" w:rsidR="00CE3D45" w:rsidRDefault="00CE3D45" w:rsidP="00C20D8D">
            <w:pPr>
              <w:pStyle w:val="TableText"/>
              <w:rPr>
                <w:lang w:val="en-US"/>
              </w:rPr>
            </w:pPr>
          </w:p>
        </w:tc>
        <w:tc>
          <w:tcPr>
            <w:tcW w:w="1693" w:type="dxa"/>
            <w:vAlign w:val="center"/>
          </w:tcPr>
          <w:p w14:paraId="4FC94C70" w14:textId="77777777" w:rsidR="00CE3D45" w:rsidRDefault="00CE3D45" w:rsidP="00C20D8D">
            <w:pPr>
              <w:pStyle w:val="TableText"/>
              <w:rPr>
                <w:lang w:val="en-US"/>
              </w:rPr>
            </w:pPr>
            <w:r>
              <w:rPr>
                <w:lang w:val="en-US"/>
              </w:rPr>
              <w:t>97886</w:t>
            </w:r>
          </w:p>
        </w:tc>
        <w:tc>
          <w:tcPr>
            <w:tcW w:w="1128" w:type="dxa"/>
            <w:vAlign w:val="center"/>
          </w:tcPr>
          <w:p w14:paraId="788652AE" w14:textId="45BA6E36" w:rsidR="00CE3D45" w:rsidRDefault="00243402" w:rsidP="00C20D8D">
            <w:pPr>
              <w:pStyle w:val="TableText"/>
              <w:rPr>
                <w:lang w:val="en-US"/>
              </w:rPr>
            </w:pPr>
            <w:r>
              <w:t>Yes</w:t>
            </w:r>
          </w:p>
        </w:tc>
        <w:tc>
          <w:tcPr>
            <w:tcW w:w="1120" w:type="dxa"/>
            <w:vAlign w:val="center"/>
          </w:tcPr>
          <w:p w14:paraId="541ECFED" w14:textId="724CA8E6" w:rsidR="00CE3D45" w:rsidRDefault="00243402" w:rsidP="00C20D8D">
            <w:pPr>
              <w:pStyle w:val="TableText"/>
              <w:rPr>
                <w:lang w:val="en-US"/>
              </w:rPr>
            </w:pPr>
            <w:r>
              <w:rPr>
                <w:lang w:val="en-US"/>
              </w:rPr>
              <w:t>Nil</w:t>
            </w:r>
          </w:p>
        </w:tc>
      </w:tr>
      <w:tr w:rsidR="00CE3D45" w14:paraId="29DB3740" w14:textId="77777777" w:rsidTr="00243402">
        <w:tc>
          <w:tcPr>
            <w:tcW w:w="1666" w:type="dxa"/>
            <w:vMerge/>
            <w:vAlign w:val="center"/>
          </w:tcPr>
          <w:p w14:paraId="661E12A6" w14:textId="77777777" w:rsidR="00CE3D45" w:rsidRDefault="00CE3D45" w:rsidP="00C20D8D">
            <w:pPr>
              <w:pStyle w:val="TableText"/>
              <w:rPr>
                <w:lang w:val="en-US"/>
              </w:rPr>
            </w:pPr>
          </w:p>
        </w:tc>
        <w:tc>
          <w:tcPr>
            <w:tcW w:w="3886" w:type="dxa"/>
            <w:vMerge w:val="restart"/>
            <w:vAlign w:val="center"/>
          </w:tcPr>
          <w:p w14:paraId="2ABE6411" w14:textId="77777777" w:rsidR="00CE3D45" w:rsidRDefault="00CE3D45" w:rsidP="00C20D8D">
            <w:pPr>
              <w:pStyle w:val="TableText"/>
              <w:rPr>
                <w:lang w:val="en-US"/>
              </w:rPr>
            </w:pPr>
            <w:r>
              <w:rPr>
                <w:lang w:val="en-US"/>
              </w:rPr>
              <w:t>Paynes Road, Nathalia</w:t>
            </w:r>
          </w:p>
        </w:tc>
        <w:tc>
          <w:tcPr>
            <w:tcW w:w="1693" w:type="dxa"/>
            <w:vAlign w:val="center"/>
          </w:tcPr>
          <w:p w14:paraId="65119A05" w14:textId="77777777" w:rsidR="00CE3D45" w:rsidRDefault="00CE3D45" w:rsidP="00C20D8D">
            <w:pPr>
              <w:pStyle w:val="TableText"/>
              <w:rPr>
                <w:lang w:val="en-US"/>
              </w:rPr>
            </w:pPr>
            <w:r>
              <w:rPr>
                <w:lang w:val="en-US"/>
              </w:rPr>
              <w:t>109757</w:t>
            </w:r>
          </w:p>
        </w:tc>
        <w:tc>
          <w:tcPr>
            <w:tcW w:w="1128" w:type="dxa"/>
            <w:vAlign w:val="center"/>
          </w:tcPr>
          <w:p w14:paraId="6F4E9458" w14:textId="04358CBD" w:rsidR="00CE3D45" w:rsidRDefault="00243402" w:rsidP="00C20D8D">
            <w:pPr>
              <w:pStyle w:val="TableText"/>
              <w:rPr>
                <w:lang w:val="en-US"/>
              </w:rPr>
            </w:pPr>
            <w:r>
              <w:t>Yes</w:t>
            </w:r>
          </w:p>
        </w:tc>
        <w:tc>
          <w:tcPr>
            <w:tcW w:w="1120" w:type="dxa"/>
            <w:vAlign w:val="center"/>
          </w:tcPr>
          <w:p w14:paraId="349DEEB4" w14:textId="01F8872E" w:rsidR="00CE3D45" w:rsidRDefault="00243402" w:rsidP="00C20D8D">
            <w:pPr>
              <w:pStyle w:val="TableText"/>
              <w:rPr>
                <w:lang w:val="en-US"/>
              </w:rPr>
            </w:pPr>
            <w:r>
              <w:rPr>
                <w:lang w:val="en-US"/>
              </w:rPr>
              <w:t>Nil</w:t>
            </w:r>
          </w:p>
        </w:tc>
      </w:tr>
      <w:tr w:rsidR="00CE3D45" w14:paraId="1BFBD49F" w14:textId="77777777" w:rsidTr="00243402">
        <w:tc>
          <w:tcPr>
            <w:tcW w:w="1666" w:type="dxa"/>
            <w:vMerge/>
            <w:vAlign w:val="center"/>
          </w:tcPr>
          <w:p w14:paraId="59E34D24" w14:textId="77777777" w:rsidR="00CE3D45" w:rsidRDefault="00CE3D45" w:rsidP="00C20D8D">
            <w:pPr>
              <w:pStyle w:val="TableText"/>
              <w:rPr>
                <w:lang w:val="en-US"/>
              </w:rPr>
            </w:pPr>
          </w:p>
        </w:tc>
        <w:tc>
          <w:tcPr>
            <w:tcW w:w="3886" w:type="dxa"/>
            <w:vMerge/>
            <w:vAlign w:val="center"/>
          </w:tcPr>
          <w:p w14:paraId="00135571" w14:textId="77777777" w:rsidR="00CE3D45" w:rsidRDefault="00CE3D45" w:rsidP="00C20D8D">
            <w:pPr>
              <w:pStyle w:val="TableText"/>
              <w:rPr>
                <w:lang w:val="en-US"/>
              </w:rPr>
            </w:pPr>
          </w:p>
        </w:tc>
        <w:tc>
          <w:tcPr>
            <w:tcW w:w="1693" w:type="dxa"/>
            <w:vAlign w:val="center"/>
          </w:tcPr>
          <w:p w14:paraId="00C19118" w14:textId="77777777" w:rsidR="00CE3D45" w:rsidRDefault="00CE3D45" w:rsidP="00C20D8D">
            <w:pPr>
              <w:pStyle w:val="TableText"/>
              <w:rPr>
                <w:lang w:val="en-US"/>
              </w:rPr>
            </w:pPr>
            <w:r>
              <w:rPr>
                <w:lang w:val="en-US"/>
              </w:rPr>
              <w:t>109758</w:t>
            </w:r>
          </w:p>
        </w:tc>
        <w:tc>
          <w:tcPr>
            <w:tcW w:w="1128" w:type="dxa"/>
            <w:vAlign w:val="center"/>
          </w:tcPr>
          <w:p w14:paraId="1CE7EC50" w14:textId="58755F35" w:rsidR="00CE3D45" w:rsidRDefault="00243402" w:rsidP="00C20D8D">
            <w:pPr>
              <w:pStyle w:val="TableText"/>
              <w:rPr>
                <w:lang w:val="en-US"/>
              </w:rPr>
            </w:pPr>
            <w:r>
              <w:t>Yes</w:t>
            </w:r>
          </w:p>
        </w:tc>
        <w:tc>
          <w:tcPr>
            <w:tcW w:w="1120" w:type="dxa"/>
            <w:vAlign w:val="center"/>
          </w:tcPr>
          <w:p w14:paraId="086168BD" w14:textId="36669A7F" w:rsidR="00CE3D45" w:rsidRDefault="00243402" w:rsidP="00C20D8D">
            <w:pPr>
              <w:pStyle w:val="TableText"/>
              <w:rPr>
                <w:lang w:val="en-US"/>
              </w:rPr>
            </w:pPr>
            <w:r>
              <w:rPr>
                <w:lang w:val="en-US"/>
              </w:rPr>
              <w:t>Nil</w:t>
            </w:r>
          </w:p>
        </w:tc>
      </w:tr>
      <w:tr w:rsidR="00CE3D45" w14:paraId="37023CDD" w14:textId="77777777" w:rsidTr="00243402">
        <w:tc>
          <w:tcPr>
            <w:tcW w:w="1666" w:type="dxa"/>
            <w:vMerge/>
            <w:vAlign w:val="center"/>
          </w:tcPr>
          <w:p w14:paraId="27188B34" w14:textId="77777777" w:rsidR="00CE3D45" w:rsidRDefault="00CE3D45" w:rsidP="00C20D8D">
            <w:pPr>
              <w:pStyle w:val="TableText"/>
              <w:rPr>
                <w:lang w:val="en-US"/>
              </w:rPr>
            </w:pPr>
          </w:p>
        </w:tc>
        <w:tc>
          <w:tcPr>
            <w:tcW w:w="3886" w:type="dxa"/>
            <w:vAlign w:val="center"/>
          </w:tcPr>
          <w:p w14:paraId="73A104E5" w14:textId="77777777" w:rsidR="00CE3D45" w:rsidRDefault="00CE3D45" w:rsidP="00C20D8D">
            <w:pPr>
              <w:pStyle w:val="TableText"/>
              <w:rPr>
                <w:lang w:val="en-US"/>
              </w:rPr>
            </w:pPr>
            <w:proofErr w:type="spellStart"/>
            <w:r>
              <w:rPr>
                <w:lang w:val="en-US"/>
              </w:rPr>
              <w:t>Sandmount</w:t>
            </w:r>
            <w:proofErr w:type="spellEnd"/>
            <w:r>
              <w:rPr>
                <w:lang w:val="en-US"/>
              </w:rPr>
              <w:t xml:space="preserve"> Road, Katunga</w:t>
            </w:r>
          </w:p>
        </w:tc>
        <w:tc>
          <w:tcPr>
            <w:tcW w:w="1693" w:type="dxa"/>
            <w:vAlign w:val="center"/>
          </w:tcPr>
          <w:p w14:paraId="0345B3D4" w14:textId="77777777" w:rsidR="00CE3D45" w:rsidRDefault="00CE3D45" w:rsidP="00C20D8D">
            <w:pPr>
              <w:pStyle w:val="TableText"/>
              <w:rPr>
                <w:lang w:val="en-US"/>
              </w:rPr>
            </w:pPr>
            <w:r>
              <w:rPr>
                <w:lang w:val="en-US"/>
              </w:rPr>
              <w:t>WRK953012</w:t>
            </w:r>
          </w:p>
        </w:tc>
        <w:tc>
          <w:tcPr>
            <w:tcW w:w="1128" w:type="dxa"/>
            <w:vAlign w:val="center"/>
          </w:tcPr>
          <w:p w14:paraId="241073CE" w14:textId="1941C91E" w:rsidR="00CE3D45" w:rsidRDefault="00243402" w:rsidP="00C20D8D">
            <w:pPr>
              <w:pStyle w:val="TableText"/>
              <w:rPr>
                <w:lang w:val="en-US"/>
              </w:rPr>
            </w:pPr>
            <w:r>
              <w:rPr>
                <w:lang w:val="en-US"/>
              </w:rPr>
              <w:t>Nil</w:t>
            </w:r>
          </w:p>
        </w:tc>
        <w:tc>
          <w:tcPr>
            <w:tcW w:w="1120" w:type="dxa"/>
            <w:vAlign w:val="center"/>
          </w:tcPr>
          <w:p w14:paraId="26376AA0" w14:textId="05AB8DA4" w:rsidR="00CE3D45" w:rsidRDefault="00243402" w:rsidP="00C20D8D">
            <w:pPr>
              <w:pStyle w:val="TableText"/>
              <w:rPr>
                <w:lang w:val="en-US"/>
              </w:rPr>
            </w:pPr>
            <w:r>
              <w:t>Yes</w:t>
            </w:r>
          </w:p>
        </w:tc>
      </w:tr>
      <w:tr w:rsidR="00CE3D45" w14:paraId="64AA4A07" w14:textId="77777777" w:rsidTr="00243402">
        <w:tc>
          <w:tcPr>
            <w:tcW w:w="1666" w:type="dxa"/>
            <w:vMerge/>
            <w:vAlign w:val="center"/>
          </w:tcPr>
          <w:p w14:paraId="6BE5C1B9" w14:textId="77777777" w:rsidR="00CE3D45" w:rsidRDefault="00CE3D45" w:rsidP="00C20D8D">
            <w:pPr>
              <w:pStyle w:val="TableText"/>
              <w:rPr>
                <w:lang w:val="en-US"/>
              </w:rPr>
            </w:pPr>
          </w:p>
        </w:tc>
        <w:tc>
          <w:tcPr>
            <w:tcW w:w="3886" w:type="dxa"/>
            <w:vAlign w:val="center"/>
          </w:tcPr>
          <w:p w14:paraId="6845D56F" w14:textId="77777777" w:rsidR="00CE3D45" w:rsidRDefault="00CE3D45" w:rsidP="00C20D8D">
            <w:pPr>
              <w:pStyle w:val="TableText"/>
              <w:rPr>
                <w:lang w:val="en-US"/>
              </w:rPr>
            </w:pPr>
            <w:proofErr w:type="spellStart"/>
            <w:r>
              <w:rPr>
                <w:lang w:val="en-US"/>
              </w:rPr>
              <w:t>Waaia-Bearii</w:t>
            </w:r>
            <w:proofErr w:type="spellEnd"/>
            <w:r>
              <w:rPr>
                <w:lang w:val="en-US"/>
              </w:rPr>
              <w:t xml:space="preserve"> Road, </w:t>
            </w:r>
            <w:proofErr w:type="spellStart"/>
            <w:r>
              <w:rPr>
                <w:lang w:val="en-US"/>
              </w:rPr>
              <w:t>Waaia</w:t>
            </w:r>
            <w:proofErr w:type="spellEnd"/>
            <w:r>
              <w:rPr>
                <w:lang w:val="en-US"/>
              </w:rPr>
              <w:t xml:space="preserve"> </w:t>
            </w:r>
          </w:p>
        </w:tc>
        <w:tc>
          <w:tcPr>
            <w:tcW w:w="1693" w:type="dxa"/>
            <w:vAlign w:val="center"/>
          </w:tcPr>
          <w:p w14:paraId="5A19EDA5" w14:textId="77777777" w:rsidR="00CE3D45" w:rsidRDefault="00CE3D45" w:rsidP="00C20D8D">
            <w:pPr>
              <w:pStyle w:val="TableText"/>
              <w:rPr>
                <w:lang w:val="en-US"/>
              </w:rPr>
            </w:pPr>
            <w:r>
              <w:rPr>
                <w:lang w:val="en-US"/>
              </w:rPr>
              <w:t>97613</w:t>
            </w:r>
          </w:p>
        </w:tc>
        <w:tc>
          <w:tcPr>
            <w:tcW w:w="1128" w:type="dxa"/>
            <w:vAlign w:val="center"/>
          </w:tcPr>
          <w:p w14:paraId="2FBEC97B" w14:textId="0BCD3940" w:rsidR="00CE3D45" w:rsidRDefault="00243402" w:rsidP="00C20D8D">
            <w:pPr>
              <w:pStyle w:val="TableText"/>
              <w:rPr>
                <w:lang w:val="en-US"/>
              </w:rPr>
            </w:pPr>
            <w:r>
              <w:rPr>
                <w:lang w:val="en-US"/>
              </w:rPr>
              <w:t>Nil</w:t>
            </w:r>
          </w:p>
        </w:tc>
        <w:tc>
          <w:tcPr>
            <w:tcW w:w="1120" w:type="dxa"/>
            <w:vAlign w:val="center"/>
          </w:tcPr>
          <w:p w14:paraId="454434CC" w14:textId="504CEF78" w:rsidR="00CE3D45" w:rsidRDefault="00243402" w:rsidP="00C20D8D">
            <w:pPr>
              <w:pStyle w:val="TableText"/>
              <w:rPr>
                <w:lang w:val="en-US"/>
              </w:rPr>
            </w:pPr>
            <w:r>
              <w:t>Yes</w:t>
            </w:r>
          </w:p>
        </w:tc>
      </w:tr>
      <w:tr w:rsidR="00CE3D45" w14:paraId="08210513" w14:textId="77777777" w:rsidTr="00243402">
        <w:tc>
          <w:tcPr>
            <w:tcW w:w="1666" w:type="dxa"/>
            <w:vMerge w:val="restart"/>
            <w:vAlign w:val="center"/>
          </w:tcPr>
          <w:p w14:paraId="73E6D92A" w14:textId="5462D25D" w:rsidR="00CE3D45" w:rsidRDefault="00CE3D45" w:rsidP="00C20D8D">
            <w:pPr>
              <w:pStyle w:val="TableText"/>
              <w:rPr>
                <w:lang w:val="en-US"/>
              </w:rPr>
            </w:pPr>
            <w:proofErr w:type="spellStart"/>
            <w:r>
              <w:rPr>
                <w:lang w:val="en-US"/>
              </w:rPr>
              <w:t>Cobram</w:t>
            </w:r>
            <w:proofErr w:type="spellEnd"/>
            <w:r>
              <w:rPr>
                <w:lang w:val="en-US"/>
              </w:rPr>
              <w:t xml:space="preserve"> Zone - 1063</w:t>
            </w:r>
          </w:p>
        </w:tc>
        <w:tc>
          <w:tcPr>
            <w:tcW w:w="3886" w:type="dxa"/>
            <w:vMerge w:val="restart"/>
            <w:vAlign w:val="center"/>
          </w:tcPr>
          <w:p w14:paraId="7A260C4D" w14:textId="77777777" w:rsidR="00CE3D45" w:rsidRDefault="00CE3D45" w:rsidP="00C20D8D">
            <w:pPr>
              <w:pStyle w:val="TableText"/>
              <w:rPr>
                <w:lang w:val="en-US"/>
              </w:rPr>
            </w:pPr>
            <w:r>
              <w:rPr>
                <w:lang w:val="en-US"/>
              </w:rPr>
              <w:t xml:space="preserve">Grinter Road, </w:t>
            </w:r>
            <w:proofErr w:type="spellStart"/>
            <w:r>
              <w:rPr>
                <w:lang w:val="en-US"/>
              </w:rPr>
              <w:t>Cobram</w:t>
            </w:r>
            <w:proofErr w:type="spellEnd"/>
            <w:r>
              <w:rPr>
                <w:lang w:val="en-US"/>
              </w:rPr>
              <w:t xml:space="preserve"> East</w:t>
            </w:r>
          </w:p>
        </w:tc>
        <w:tc>
          <w:tcPr>
            <w:tcW w:w="1693" w:type="dxa"/>
            <w:vAlign w:val="center"/>
          </w:tcPr>
          <w:p w14:paraId="20B2E37B" w14:textId="77777777" w:rsidR="00CE3D45" w:rsidRDefault="00CE3D45" w:rsidP="00C20D8D">
            <w:pPr>
              <w:pStyle w:val="TableText"/>
              <w:rPr>
                <w:lang w:val="en-US"/>
              </w:rPr>
            </w:pPr>
            <w:r>
              <w:rPr>
                <w:lang w:val="en-US"/>
              </w:rPr>
              <w:t>51001</w:t>
            </w:r>
          </w:p>
        </w:tc>
        <w:tc>
          <w:tcPr>
            <w:tcW w:w="1128" w:type="dxa"/>
            <w:vAlign w:val="center"/>
          </w:tcPr>
          <w:p w14:paraId="09CDA2C1" w14:textId="34A3C6A9" w:rsidR="00CE3D45" w:rsidRDefault="00243402" w:rsidP="00C20D8D">
            <w:pPr>
              <w:pStyle w:val="TableText"/>
              <w:rPr>
                <w:lang w:val="en-US"/>
              </w:rPr>
            </w:pPr>
            <w:r>
              <w:t>Yes</w:t>
            </w:r>
          </w:p>
        </w:tc>
        <w:tc>
          <w:tcPr>
            <w:tcW w:w="1120" w:type="dxa"/>
            <w:vAlign w:val="center"/>
          </w:tcPr>
          <w:p w14:paraId="30E97B04" w14:textId="162AEF3A" w:rsidR="00CE3D45" w:rsidRDefault="00243402" w:rsidP="00C20D8D">
            <w:pPr>
              <w:pStyle w:val="TableText"/>
              <w:rPr>
                <w:lang w:val="en-US"/>
              </w:rPr>
            </w:pPr>
            <w:r>
              <w:t>Yes</w:t>
            </w:r>
          </w:p>
        </w:tc>
      </w:tr>
      <w:tr w:rsidR="00CE3D45" w14:paraId="7992E59B" w14:textId="77777777" w:rsidTr="00243402">
        <w:tc>
          <w:tcPr>
            <w:tcW w:w="1666" w:type="dxa"/>
            <w:vMerge/>
            <w:vAlign w:val="center"/>
          </w:tcPr>
          <w:p w14:paraId="75CC5B5A" w14:textId="77777777" w:rsidR="00CE3D45" w:rsidRDefault="00CE3D45" w:rsidP="00C20D8D">
            <w:pPr>
              <w:pStyle w:val="TableText"/>
              <w:rPr>
                <w:lang w:val="en-US"/>
              </w:rPr>
            </w:pPr>
          </w:p>
        </w:tc>
        <w:tc>
          <w:tcPr>
            <w:tcW w:w="3886" w:type="dxa"/>
            <w:vMerge/>
            <w:vAlign w:val="center"/>
          </w:tcPr>
          <w:p w14:paraId="3BD98767" w14:textId="77777777" w:rsidR="00CE3D45" w:rsidRDefault="00CE3D45" w:rsidP="00C20D8D">
            <w:pPr>
              <w:pStyle w:val="TableText"/>
              <w:rPr>
                <w:lang w:val="en-US"/>
              </w:rPr>
            </w:pPr>
          </w:p>
        </w:tc>
        <w:tc>
          <w:tcPr>
            <w:tcW w:w="1693" w:type="dxa"/>
            <w:vAlign w:val="center"/>
          </w:tcPr>
          <w:p w14:paraId="232C5010" w14:textId="77777777" w:rsidR="00CE3D45" w:rsidRDefault="00CE3D45" w:rsidP="00C20D8D">
            <w:pPr>
              <w:pStyle w:val="TableText"/>
              <w:rPr>
                <w:lang w:val="en-US"/>
              </w:rPr>
            </w:pPr>
            <w:r>
              <w:rPr>
                <w:lang w:val="en-US"/>
              </w:rPr>
              <w:t>51003</w:t>
            </w:r>
          </w:p>
        </w:tc>
        <w:tc>
          <w:tcPr>
            <w:tcW w:w="1128" w:type="dxa"/>
            <w:vAlign w:val="center"/>
          </w:tcPr>
          <w:p w14:paraId="760840E3" w14:textId="0CB38755" w:rsidR="00CE3D45" w:rsidRDefault="00243402" w:rsidP="00C20D8D">
            <w:pPr>
              <w:pStyle w:val="TableText"/>
              <w:rPr>
                <w:lang w:val="en-US"/>
              </w:rPr>
            </w:pPr>
            <w:r>
              <w:t>Yes</w:t>
            </w:r>
          </w:p>
        </w:tc>
        <w:tc>
          <w:tcPr>
            <w:tcW w:w="1120" w:type="dxa"/>
            <w:vAlign w:val="center"/>
          </w:tcPr>
          <w:p w14:paraId="35AE44D1" w14:textId="77F9B3D2" w:rsidR="00CE3D45" w:rsidRDefault="00243402" w:rsidP="00C20D8D">
            <w:pPr>
              <w:pStyle w:val="TableText"/>
              <w:rPr>
                <w:lang w:val="en-US"/>
              </w:rPr>
            </w:pPr>
            <w:r>
              <w:t>Yes</w:t>
            </w:r>
          </w:p>
        </w:tc>
      </w:tr>
      <w:tr w:rsidR="00CE3D45" w14:paraId="5220AE6F" w14:textId="77777777" w:rsidTr="00243402">
        <w:tc>
          <w:tcPr>
            <w:tcW w:w="1666" w:type="dxa"/>
            <w:vMerge/>
            <w:vAlign w:val="center"/>
          </w:tcPr>
          <w:p w14:paraId="137F69CA" w14:textId="77777777" w:rsidR="00CE3D45" w:rsidRDefault="00CE3D45" w:rsidP="00C20D8D">
            <w:pPr>
              <w:pStyle w:val="TableText"/>
              <w:rPr>
                <w:lang w:val="en-US"/>
              </w:rPr>
            </w:pPr>
          </w:p>
        </w:tc>
        <w:tc>
          <w:tcPr>
            <w:tcW w:w="3886" w:type="dxa"/>
            <w:vMerge w:val="restart"/>
            <w:vAlign w:val="center"/>
          </w:tcPr>
          <w:p w14:paraId="1A0A353D" w14:textId="59C2347B" w:rsidR="00CE3D45" w:rsidRDefault="00CE3D45" w:rsidP="00C20D8D">
            <w:pPr>
              <w:pStyle w:val="TableText"/>
              <w:rPr>
                <w:lang w:val="en-US"/>
              </w:rPr>
            </w:pPr>
            <w:r>
              <w:rPr>
                <w:lang w:val="en-US"/>
              </w:rPr>
              <w:t xml:space="preserve">Langan Road, </w:t>
            </w:r>
            <w:proofErr w:type="spellStart"/>
            <w:r>
              <w:rPr>
                <w:lang w:val="en-US"/>
              </w:rPr>
              <w:t>Katamatite</w:t>
            </w:r>
            <w:proofErr w:type="spellEnd"/>
          </w:p>
        </w:tc>
        <w:tc>
          <w:tcPr>
            <w:tcW w:w="1693" w:type="dxa"/>
            <w:vAlign w:val="center"/>
          </w:tcPr>
          <w:p w14:paraId="14A92A3F" w14:textId="77777777" w:rsidR="00CE3D45" w:rsidRDefault="00CE3D45" w:rsidP="00C20D8D">
            <w:pPr>
              <w:pStyle w:val="TableText"/>
              <w:rPr>
                <w:lang w:val="en-US"/>
              </w:rPr>
            </w:pPr>
            <w:r>
              <w:rPr>
                <w:lang w:val="en-US"/>
              </w:rPr>
              <w:t>69545</w:t>
            </w:r>
          </w:p>
        </w:tc>
        <w:tc>
          <w:tcPr>
            <w:tcW w:w="1128" w:type="dxa"/>
            <w:vAlign w:val="center"/>
          </w:tcPr>
          <w:p w14:paraId="38C6787F" w14:textId="2C014552" w:rsidR="00CE3D45" w:rsidRDefault="00243402" w:rsidP="00C20D8D">
            <w:pPr>
              <w:pStyle w:val="TableText"/>
              <w:rPr>
                <w:lang w:val="en-US"/>
              </w:rPr>
            </w:pPr>
            <w:r>
              <w:t>Yes</w:t>
            </w:r>
          </w:p>
        </w:tc>
        <w:tc>
          <w:tcPr>
            <w:tcW w:w="1120" w:type="dxa"/>
            <w:vAlign w:val="center"/>
          </w:tcPr>
          <w:p w14:paraId="31097029" w14:textId="22A021BF" w:rsidR="00CE3D45" w:rsidRDefault="00243402" w:rsidP="00C20D8D">
            <w:pPr>
              <w:pStyle w:val="TableText"/>
              <w:rPr>
                <w:lang w:val="en-US"/>
              </w:rPr>
            </w:pPr>
            <w:r>
              <w:t>Yes</w:t>
            </w:r>
          </w:p>
        </w:tc>
      </w:tr>
      <w:tr w:rsidR="00CE3D45" w14:paraId="6A55D7FC" w14:textId="77777777" w:rsidTr="00243402">
        <w:tc>
          <w:tcPr>
            <w:tcW w:w="1666" w:type="dxa"/>
            <w:vMerge/>
            <w:vAlign w:val="center"/>
          </w:tcPr>
          <w:p w14:paraId="4AD0B47C" w14:textId="77777777" w:rsidR="00CE3D45" w:rsidRDefault="00CE3D45" w:rsidP="00C20D8D">
            <w:pPr>
              <w:pStyle w:val="TableText"/>
              <w:rPr>
                <w:lang w:val="en-US"/>
              </w:rPr>
            </w:pPr>
          </w:p>
        </w:tc>
        <w:tc>
          <w:tcPr>
            <w:tcW w:w="3886" w:type="dxa"/>
            <w:vMerge/>
            <w:vAlign w:val="center"/>
          </w:tcPr>
          <w:p w14:paraId="43A8E2EC" w14:textId="77777777" w:rsidR="00CE3D45" w:rsidRDefault="00CE3D45" w:rsidP="00C20D8D">
            <w:pPr>
              <w:pStyle w:val="TableText"/>
              <w:rPr>
                <w:lang w:val="en-US"/>
              </w:rPr>
            </w:pPr>
          </w:p>
        </w:tc>
        <w:tc>
          <w:tcPr>
            <w:tcW w:w="1693" w:type="dxa"/>
            <w:vAlign w:val="center"/>
          </w:tcPr>
          <w:p w14:paraId="41164476" w14:textId="77777777" w:rsidR="00CE3D45" w:rsidRDefault="00CE3D45" w:rsidP="00C20D8D">
            <w:pPr>
              <w:pStyle w:val="TableText"/>
              <w:rPr>
                <w:lang w:val="en-US"/>
              </w:rPr>
            </w:pPr>
            <w:r>
              <w:rPr>
                <w:lang w:val="en-US"/>
              </w:rPr>
              <w:t>69547</w:t>
            </w:r>
          </w:p>
        </w:tc>
        <w:tc>
          <w:tcPr>
            <w:tcW w:w="1128" w:type="dxa"/>
            <w:vAlign w:val="center"/>
          </w:tcPr>
          <w:p w14:paraId="0E4D3CB6" w14:textId="238A766A" w:rsidR="00CE3D45" w:rsidRDefault="00243402" w:rsidP="00C20D8D">
            <w:pPr>
              <w:pStyle w:val="TableText"/>
              <w:rPr>
                <w:lang w:val="en-US"/>
              </w:rPr>
            </w:pPr>
            <w:r>
              <w:t>Yes</w:t>
            </w:r>
          </w:p>
        </w:tc>
        <w:tc>
          <w:tcPr>
            <w:tcW w:w="1120" w:type="dxa"/>
            <w:vAlign w:val="center"/>
          </w:tcPr>
          <w:p w14:paraId="441EBD6D" w14:textId="60CEB674" w:rsidR="00CE3D45" w:rsidRDefault="00243402" w:rsidP="00C20D8D">
            <w:pPr>
              <w:pStyle w:val="TableText"/>
              <w:rPr>
                <w:lang w:val="en-US"/>
              </w:rPr>
            </w:pPr>
            <w:r>
              <w:t>Yes</w:t>
            </w:r>
          </w:p>
        </w:tc>
      </w:tr>
      <w:tr w:rsidR="00CE3D45" w14:paraId="210FFA76" w14:textId="77777777" w:rsidTr="00243402">
        <w:tc>
          <w:tcPr>
            <w:tcW w:w="1666" w:type="dxa"/>
            <w:vMerge/>
            <w:vAlign w:val="center"/>
          </w:tcPr>
          <w:p w14:paraId="7A4BD322" w14:textId="77777777" w:rsidR="00CE3D45" w:rsidRDefault="00CE3D45" w:rsidP="00C20D8D">
            <w:pPr>
              <w:pStyle w:val="TableText"/>
              <w:rPr>
                <w:lang w:val="en-US"/>
              </w:rPr>
            </w:pPr>
          </w:p>
        </w:tc>
        <w:tc>
          <w:tcPr>
            <w:tcW w:w="3886" w:type="dxa"/>
            <w:vMerge/>
            <w:vAlign w:val="center"/>
          </w:tcPr>
          <w:p w14:paraId="49EFB178" w14:textId="77777777" w:rsidR="00CE3D45" w:rsidRDefault="00CE3D45" w:rsidP="00C20D8D">
            <w:pPr>
              <w:pStyle w:val="TableText"/>
              <w:rPr>
                <w:lang w:val="en-US"/>
              </w:rPr>
            </w:pPr>
          </w:p>
        </w:tc>
        <w:tc>
          <w:tcPr>
            <w:tcW w:w="1693" w:type="dxa"/>
            <w:vAlign w:val="center"/>
          </w:tcPr>
          <w:p w14:paraId="0B7814A6" w14:textId="77777777" w:rsidR="00CE3D45" w:rsidRDefault="00CE3D45" w:rsidP="00C20D8D">
            <w:pPr>
              <w:pStyle w:val="TableText"/>
              <w:rPr>
                <w:lang w:val="en-US"/>
              </w:rPr>
            </w:pPr>
            <w:r>
              <w:rPr>
                <w:lang w:val="en-US"/>
              </w:rPr>
              <w:t>69548</w:t>
            </w:r>
          </w:p>
        </w:tc>
        <w:tc>
          <w:tcPr>
            <w:tcW w:w="1128" w:type="dxa"/>
            <w:vAlign w:val="center"/>
          </w:tcPr>
          <w:p w14:paraId="18BCE5CB" w14:textId="5E2CDABA" w:rsidR="00CE3D45" w:rsidRDefault="00243402" w:rsidP="00C20D8D">
            <w:pPr>
              <w:pStyle w:val="TableText"/>
              <w:rPr>
                <w:lang w:val="en-US"/>
              </w:rPr>
            </w:pPr>
            <w:r>
              <w:t>Yes</w:t>
            </w:r>
          </w:p>
        </w:tc>
        <w:tc>
          <w:tcPr>
            <w:tcW w:w="1120" w:type="dxa"/>
            <w:vAlign w:val="center"/>
          </w:tcPr>
          <w:p w14:paraId="21C86D25" w14:textId="3D49B5FC" w:rsidR="00CE3D45" w:rsidRDefault="00243402" w:rsidP="00C20D8D">
            <w:pPr>
              <w:pStyle w:val="TableText"/>
              <w:rPr>
                <w:lang w:val="en-US"/>
              </w:rPr>
            </w:pPr>
            <w:r>
              <w:t>Yes</w:t>
            </w:r>
          </w:p>
        </w:tc>
      </w:tr>
      <w:tr w:rsidR="00CE3D45" w14:paraId="61DBB5CE" w14:textId="77777777" w:rsidTr="00243402">
        <w:tc>
          <w:tcPr>
            <w:tcW w:w="1666" w:type="dxa"/>
            <w:vMerge/>
            <w:vAlign w:val="center"/>
          </w:tcPr>
          <w:p w14:paraId="7D08486C" w14:textId="77777777" w:rsidR="00CE3D45" w:rsidRDefault="00CE3D45" w:rsidP="00C20D8D">
            <w:pPr>
              <w:pStyle w:val="TableText"/>
              <w:rPr>
                <w:lang w:val="en-US"/>
              </w:rPr>
            </w:pPr>
          </w:p>
        </w:tc>
        <w:tc>
          <w:tcPr>
            <w:tcW w:w="3886" w:type="dxa"/>
            <w:vMerge w:val="restart"/>
            <w:vAlign w:val="center"/>
          </w:tcPr>
          <w:p w14:paraId="41CF42FB" w14:textId="143F418B" w:rsidR="00CE3D45" w:rsidRDefault="00CE3D45" w:rsidP="00C20D8D">
            <w:pPr>
              <w:pStyle w:val="TableText"/>
              <w:rPr>
                <w:lang w:val="en-US"/>
              </w:rPr>
            </w:pPr>
            <w:proofErr w:type="spellStart"/>
            <w:r>
              <w:rPr>
                <w:lang w:val="en-US"/>
              </w:rPr>
              <w:t>Tungamah</w:t>
            </w:r>
            <w:proofErr w:type="spellEnd"/>
            <w:r>
              <w:rPr>
                <w:lang w:val="en-US"/>
              </w:rPr>
              <w:t xml:space="preserve"> Road, </w:t>
            </w:r>
            <w:proofErr w:type="spellStart"/>
            <w:r>
              <w:rPr>
                <w:lang w:val="en-US"/>
              </w:rPr>
              <w:t>Burramine</w:t>
            </w:r>
            <w:proofErr w:type="spellEnd"/>
          </w:p>
        </w:tc>
        <w:tc>
          <w:tcPr>
            <w:tcW w:w="1693" w:type="dxa"/>
            <w:vAlign w:val="center"/>
          </w:tcPr>
          <w:p w14:paraId="474978D1" w14:textId="77777777" w:rsidR="00CE3D45" w:rsidRDefault="00CE3D45" w:rsidP="00C20D8D">
            <w:pPr>
              <w:pStyle w:val="TableText"/>
              <w:rPr>
                <w:lang w:val="en-US"/>
              </w:rPr>
            </w:pPr>
            <w:r>
              <w:rPr>
                <w:lang w:val="en-US"/>
              </w:rPr>
              <w:t>53674</w:t>
            </w:r>
          </w:p>
        </w:tc>
        <w:tc>
          <w:tcPr>
            <w:tcW w:w="1128" w:type="dxa"/>
            <w:vAlign w:val="center"/>
          </w:tcPr>
          <w:p w14:paraId="68ACB766" w14:textId="111C725E" w:rsidR="00CE3D45" w:rsidRDefault="00243402" w:rsidP="00C20D8D">
            <w:pPr>
              <w:pStyle w:val="TableText"/>
              <w:rPr>
                <w:lang w:val="en-US"/>
              </w:rPr>
            </w:pPr>
            <w:r>
              <w:t>Yes</w:t>
            </w:r>
          </w:p>
        </w:tc>
        <w:tc>
          <w:tcPr>
            <w:tcW w:w="1120" w:type="dxa"/>
            <w:vAlign w:val="center"/>
          </w:tcPr>
          <w:p w14:paraId="4504BD37" w14:textId="5B1A0C50" w:rsidR="00CE3D45" w:rsidRDefault="00243402" w:rsidP="00C20D8D">
            <w:pPr>
              <w:pStyle w:val="TableText"/>
              <w:rPr>
                <w:lang w:val="en-US"/>
              </w:rPr>
            </w:pPr>
            <w:r>
              <w:rPr>
                <w:lang w:val="en-US"/>
              </w:rPr>
              <w:t>Nil</w:t>
            </w:r>
          </w:p>
        </w:tc>
      </w:tr>
      <w:tr w:rsidR="00CE3D45" w14:paraId="1F23260D" w14:textId="77777777" w:rsidTr="00243402">
        <w:tc>
          <w:tcPr>
            <w:tcW w:w="1666" w:type="dxa"/>
            <w:vMerge/>
            <w:vAlign w:val="center"/>
          </w:tcPr>
          <w:p w14:paraId="44DA7CF9" w14:textId="77777777" w:rsidR="00CE3D45" w:rsidRDefault="00CE3D45" w:rsidP="00C20D8D">
            <w:pPr>
              <w:pStyle w:val="TableText"/>
              <w:rPr>
                <w:lang w:val="en-US"/>
              </w:rPr>
            </w:pPr>
          </w:p>
        </w:tc>
        <w:tc>
          <w:tcPr>
            <w:tcW w:w="3886" w:type="dxa"/>
            <w:vMerge/>
            <w:vAlign w:val="center"/>
          </w:tcPr>
          <w:p w14:paraId="0CF92DD5" w14:textId="77777777" w:rsidR="00CE3D45" w:rsidRDefault="00CE3D45" w:rsidP="00C20D8D">
            <w:pPr>
              <w:pStyle w:val="TableText"/>
              <w:rPr>
                <w:lang w:val="en-US"/>
              </w:rPr>
            </w:pPr>
          </w:p>
        </w:tc>
        <w:tc>
          <w:tcPr>
            <w:tcW w:w="1693" w:type="dxa"/>
            <w:vAlign w:val="center"/>
          </w:tcPr>
          <w:p w14:paraId="4E6001E5" w14:textId="77777777" w:rsidR="00CE3D45" w:rsidRDefault="00CE3D45" w:rsidP="00C20D8D">
            <w:pPr>
              <w:pStyle w:val="TableText"/>
              <w:rPr>
                <w:lang w:val="en-US"/>
              </w:rPr>
            </w:pPr>
            <w:r>
              <w:rPr>
                <w:lang w:val="en-US"/>
              </w:rPr>
              <w:t>53676</w:t>
            </w:r>
          </w:p>
        </w:tc>
        <w:tc>
          <w:tcPr>
            <w:tcW w:w="1128" w:type="dxa"/>
            <w:vAlign w:val="center"/>
          </w:tcPr>
          <w:p w14:paraId="54358CE6" w14:textId="6E0F71F2" w:rsidR="00CE3D45" w:rsidRDefault="00243402" w:rsidP="00C20D8D">
            <w:pPr>
              <w:pStyle w:val="TableText"/>
              <w:rPr>
                <w:lang w:val="en-US"/>
              </w:rPr>
            </w:pPr>
            <w:r>
              <w:t>Yes</w:t>
            </w:r>
          </w:p>
        </w:tc>
        <w:tc>
          <w:tcPr>
            <w:tcW w:w="1120" w:type="dxa"/>
            <w:vAlign w:val="center"/>
          </w:tcPr>
          <w:p w14:paraId="256B442D" w14:textId="11573E85" w:rsidR="00CE3D45" w:rsidRDefault="00243402" w:rsidP="00C20D8D">
            <w:pPr>
              <w:pStyle w:val="TableText"/>
              <w:rPr>
                <w:lang w:val="en-US"/>
              </w:rPr>
            </w:pPr>
            <w:r>
              <w:rPr>
                <w:lang w:val="en-US"/>
              </w:rPr>
              <w:t>Nil</w:t>
            </w:r>
          </w:p>
        </w:tc>
      </w:tr>
      <w:tr w:rsidR="00CE3D45" w14:paraId="00DA8152" w14:textId="77777777" w:rsidTr="00243402">
        <w:tc>
          <w:tcPr>
            <w:tcW w:w="1666" w:type="dxa"/>
            <w:vMerge/>
            <w:vAlign w:val="center"/>
          </w:tcPr>
          <w:p w14:paraId="227780F0" w14:textId="77777777" w:rsidR="00CE3D45" w:rsidRDefault="00CE3D45" w:rsidP="00C20D8D">
            <w:pPr>
              <w:pStyle w:val="TableText"/>
              <w:rPr>
                <w:lang w:val="en-US"/>
              </w:rPr>
            </w:pPr>
          </w:p>
        </w:tc>
        <w:tc>
          <w:tcPr>
            <w:tcW w:w="3886" w:type="dxa"/>
            <w:vMerge/>
            <w:vAlign w:val="center"/>
          </w:tcPr>
          <w:p w14:paraId="5D9A4436" w14:textId="77777777" w:rsidR="00CE3D45" w:rsidRDefault="00CE3D45" w:rsidP="00C20D8D">
            <w:pPr>
              <w:pStyle w:val="TableText"/>
              <w:rPr>
                <w:lang w:val="en-US"/>
              </w:rPr>
            </w:pPr>
          </w:p>
        </w:tc>
        <w:tc>
          <w:tcPr>
            <w:tcW w:w="1693" w:type="dxa"/>
            <w:vAlign w:val="center"/>
          </w:tcPr>
          <w:p w14:paraId="0237C155" w14:textId="77777777" w:rsidR="00CE3D45" w:rsidRDefault="00CE3D45" w:rsidP="00C20D8D">
            <w:pPr>
              <w:pStyle w:val="TableText"/>
              <w:rPr>
                <w:lang w:val="en-US"/>
              </w:rPr>
            </w:pPr>
            <w:r>
              <w:rPr>
                <w:lang w:val="en-US"/>
              </w:rPr>
              <w:t>53678</w:t>
            </w:r>
          </w:p>
        </w:tc>
        <w:tc>
          <w:tcPr>
            <w:tcW w:w="1128" w:type="dxa"/>
            <w:vAlign w:val="center"/>
          </w:tcPr>
          <w:p w14:paraId="30009B11" w14:textId="69E6D14D" w:rsidR="00CE3D45" w:rsidRDefault="00243402" w:rsidP="00C20D8D">
            <w:pPr>
              <w:pStyle w:val="TableText"/>
              <w:rPr>
                <w:lang w:val="en-US"/>
              </w:rPr>
            </w:pPr>
            <w:r>
              <w:t>Yes</w:t>
            </w:r>
          </w:p>
        </w:tc>
        <w:tc>
          <w:tcPr>
            <w:tcW w:w="1120" w:type="dxa"/>
            <w:vAlign w:val="center"/>
          </w:tcPr>
          <w:p w14:paraId="2249B611" w14:textId="5B06258B" w:rsidR="00CE3D45" w:rsidRDefault="00243402" w:rsidP="00C20D8D">
            <w:pPr>
              <w:pStyle w:val="TableText"/>
              <w:rPr>
                <w:lang w:val="en-US"/>
              </w:rPr>
            </w:pPr>
            <w:r>
              <w:rPr>
                <w:lang w:val="en-US"/>
              </w:rPr>
              <w:t>Nil</w:t>
            </w:r>
          </w:p>
        </w:tc>
      </w:tr>
      <w:tr w:rsidR="00CE3D45" w14:paraId="3C321619" w14:textId="77777777" w:rsidTr="00243402">
        <w:tc>
          <w:tcPr>
            <w:tcW w:w="1666" w:type="dxa"/>
            <w:vMerge/>
            <w:vAlign w:val="center"/>
          </w:tcPr>
          <w:p w14:paraId="599FE3C8" w14:textId="77777777" w:rsidR="00CE3D45" w:rsidRDefault="00CE3D45" w:rsidP="00C20D8D">
            <w:pPr>
              <w:pStyle w:val="TableText"/>
              <w:rPr>
                <w:lang w:val="en-US"/>
              </w:rPr>
            </w:pPr>
          </w:p>
        </w:tc>
        <w:tc>
          <w:tcPr>
            <w:tcW w:w="3886" w:type="dxa"/>
            <w:vMerge w:val="restart"/>
            <w:vAlign w:val="center"/>
          </w:tcPr>
          <w:p w14:paraId="65F243F3" w14:textId="15DB2C4D" w:rsidR="00CE3D45" w:rsidRDefault="00CE3D45" w:rsidP="00C20D8D">
            <w:pPr>
              <w:pStyle w:val="TableText"/>
              <w:rPr>
                <w:lang w:val="en-US"/>
              </w:rPr>
            </w:pPr>
            <w:proofErr w:type="spellStart"/>
            <w:r>
              <w:rPr>
                <w:lang w:val="en-US"/>
              </w:rPr>
              <w:t>Youarang</w:t>
            </w:r>
            <w:proofErr w:type="spellEnd"/>
            <w:r>
              <w:rPr>
                <w:lang w:val="en-US"/>
              </w:rPr>
              <w:t xml:space="preserve"> Road, </w:t>
            </w:r>
            <w:proofErr w:type="spellStart"/>
            <w:r>
              <w:rPr>
                <w:lang w:val="en-US"/>
              </w:rPr>
              <w:t>Katamatite</w:t>
            </w:r>
            <w:proofErr w:type="spellEnd"/>
            <w:r>
              <w:rPr>
                <w:lang w:val="en-US"/>
              </w:rPr>
              <w:t xml:space="preserve"> East</w:t>
            </w:r>
          </w:p>
        </w:tc>
        <w:tc>
          <w:tcPr>
            <w:tcW w:w="1693" w:type="dxa"/>
            <w:vAlign w:val="center"/>
          </w:tcPr>
          <w:p w14:paraId="1A25B3D8" w14:textId="77777777" w:rsidR="00CE3D45" w:rsidRDefault="00CE3D45" w:rsidP="00C20D8D">
            <w:pPr>
              <w:pStyle w:val="TableText"/>
              <w:rPr>
                <w:lang w:val="en-US"/>
              </w:rPr>
            </w:pPr>
            <w:r>
              <w:rPr>
                <w:lang w:val="en-US"/>
              </w:rPr>
              <w:t>WRK059813</w:t>
            </w:r>
          </w:p>
        </w:tc>
        <w:tc>
          <w:tcPr>
            <w:tcW w:w="1128" w:type="dxa"/>
            <w:vAlign w:val="center"/>
          </w:tcPr>
          <w:p w14:paraId="337134E5" w14:textId="121E0C42" w:rsidR="00CE3D45" w:rsidRDefault="00243402" w:rsidP="00C20D8D">
            <w:pPr>
              <w:pStyle w:val="TableText"/>
              <w:rPr>
                <w:lang w:val="en-US"/>
              </w:rPr>
            </w:pPr>
            <w:r>
              <w:t>Yes</w:t>
            </w:r>
          </w:p>
        </w:tc>
        <w:tc>
          <w:tcPr>
            <w:tcW w:w="1120" w:type="dxa"/>
            <w:vAlign w:val="center"/>
          </w:tcPr>
          <w:p w14:paraId="1906FD5A" w14:textId="2C9D335F" w:rsidR="00CE3D45" w:rsidRDefault="00243402" w:rsidP="00C20D8D">
            <w:pPr>
              <w:pStyle w:val="TableText"/>
              <w:rPr>
                <w:lang w:val="en-US"/>
              </w:rPr>
            </w:pPr>
            <w:r>
              <w:t>Yes</w:t>
            </w:r>
          </w:p>
        </w:tc>
      </w:tr>
      <w:tr w:rsidR="00CE3D45" w14:paraId="2EBA36F4" w14:textId="77777777" w:rsidTr="00243402">
        <w:tc>
          <w:tcPr>
            <w:tcW w:w="1666" w:type="dxa"/>
            <w:vMerge/>
            <w:vAlign w:val="center"/>
          </w:tcPr>
          <w:p w14:paraId="6886A3F5" w14:textId="77777777" w:rsidR="00CE3D45" w:rsidRDefault="00CE3D45" w:rsidP="00C20D8D">
            <w:pPr>
              <w:pStyle w:val="TableText"/>
              <w:rPr>
                <w:lang w:val="en-US"/>
              </w:rPr>
            </w:pPr>
          </w:p>
        </w:tc>
        <w:tc>
          <w:tcPr>
            <w:tcW w:w="3886" w:type="dxa"/>
            <w:vMerge/>
            <w:vAlign w:val="center"/>
          </w:tcPr>
          <w:p w14:paraId="104CD6E8" w14:textId="77777777" w:rsidR="00CE3D45" w:rsidRDefault="00CE3D45" w:rsidP="00C20D8D">
            <w:pPr>
              <w:pStyle w:val="TableText"/>
              <w:rPr>
                <w:lang w:val="en-US"/>
              </w:rPr>
            </w:pPr>
          </w:p>
        </w:tc>
        <w:tc>
          <w:tcPr>
            <w:tcW w:w="1693" w:type="dxa"/>
            <w:vAlign w:val="center"/>
          </w:tcPr>
          <w:p w14:paraId="6EDD4125" w14:textId="77777777" w:rsidR="00CE3D45" w:rsidRDefault="00CE3D45" w:rsidP="00C20D8D">
            <w:pPr>
              <w:pStyle w:val="TableText"/>
              <w:rPr>
                <w:lang w:val="en-US"/>
              </w:rPr>
            </w:pPr>
            <w:r>
              <w:rPr>
                <w:lang w:val="en-US"/>
              </w:rPr>
              <w:t>WRK059814</w:t>
            </w:r>
          </w:p>
        </w:tc>
        <w:tc>
          <w:tcPr>
            <w:tcW w:w="1128" w:type="dxa"/>
            <w:vAlign w:val="center"/>
          </w:tcPr>
          <w:p w14:paraId="3919117E" w14:textId="17D42AB6" w:rsidR="00CE3D45" w:rsidRDefault="00243402" w:rsidP="00C20D8D">
            <w:pPr>
              <w:pStyle w:val="TableText"/>
              <w:rPr>
                <w:lang w:val="en-US"/>
              </w:rPr>
            </w:pPr>
            <w:r>
              <w:t>Yes</w:t>
            </w:r>
          </w:p>
        </w:tc>
        <w:tc>
          <w:tcPr>
            <w:tcW w:w="1120" w:type="dxa"/>
            <w:vAlign w:val="center"/>
          </w:tcPr>
          <w:p w14:paraId="11C0DBBA" w14:textId="19DC3DDD" w:rsidR="00CE3D45" w:rsidRDefault="00243402" w:rsidP="00C20D8D">
            <w:pPr>
              <w:pStyle w:val="TableText"/>
              <w:rPr>
                <w:lang w:val="en-US"/>
              </w:rPr>
            </w:pPr>
            <w:r>
              <w:t>Yes</w:t>
            </w:r>
          </w:p>
        </w:tc>
      </w:tr>
      <w:tr w:rsidR="00CE3D45" w14:paraId="5B838682" w14:textId="77777777" w:rsidTr="00243402">
        <w:tc>
          <w:tcPr>
            <w:tcW w:w="1666" w:type="dxa"/>
            <w:vMerge/>
            <w:vAlign w:val="center"/>
          </w:tcPr>
          <w:p w14:paraId="38DAF3F3" w14:textId="77777777" w:rsidR="00CE3D45" w:rsidRDefault="00CE3D45" w:rsidP="00C20D8D">
            <w:pPr>
              <w:pStyle w:val="TableText"/>
              <w:rPr>
                <w:lang w:val="en-US"/>
              </w:rPr>
            </w:pPr>
          </w:p>
        </w:tc>
        <w:tc>
          <w:tcPr>
            <w:tcW w:w="3886" w:type="dxa"/>
            <w:vMerge/>
            <w:vAlign w:val="center"/>
          </w:tcPr>
          <w:p w14:paraId="42CD8BCA" w14:textId="77777777" w:rsidR="00CE3D45" w:rsidRDefault="00CE3D45" w:rsidP="00C20D8D">
            <w:pPr>
              <w:pStyle w:val="TableText"/>
              <w:rPr>
                <w:lang w:val="en-US"/>
              </w:rPr>
            </w:pPr>
          </w:p>
        </w:tc>
        <w:tc>
          <w:tcPr>
            <w:tcW w:w="1693" w:type="dxa"/>
            <w:vAlign w:val="center"/>
          </w:tcPr>
          <w:p w14:paraId="6278AE68" w14:textId="77777777" w:rsidR="00CE3D45" w:rsidRDefault="00CE3D45" w:rsidP="00C20D8D">
            <w:pPr>
              <w:pStyle w:val="TableText"/>
              <w:rPr>
                <w:lang w:val="en-US"/>
              </w:rPr>
            </w:pPr>
            <w:r>
              <w:rPr>
                <w:lang w:val="en-US"/>
              </w:rPr>
              <w:t>WRK059815</w:t>
            </w:r>
          </w:p>
        </w:tc>
        <w:tc>
          <w:tcPr>
            <w:tcW w:w="1128" w:type="dxa"/>
            <w:vAlign w:val="center"/>
          </w:tcPr>
          <w:p w14:paraId="4AC7A672" w14:textId="3239F778" w:rsidR="00CE3D45" w:rsidRDefault="00243402" w:rsidP="00C20D8D">
            <w:pPr>
              <w:pStyle w:val="TableText"/>
              <w:rPr>
                <w:lang w:val="en-US"/>
              </w:rPr>
            </w:pPr>
            <w:r>
              <w:t>Yes</w:t>
            </w:r>
          </w:p>
        </w:tc>
        <w:tc>
          <w:tcPr>
            <w:tcW w:w="1120" w:type="dxa"/>
            <w:vAlign w:val="center"/>
          </w:tcPr>
          <w:p w14:paraId="68493502" w14:textId="0BA4B152" w:rsidR="00CE3D45" w:rsidRDefault="00243402" w:rsidP="00C20D8D">
            <w:pPr>
              <w:pStyle w:val="TableText"/>
              <w:rPr>
                <w:lang w:val="en-US"/>
              </w:rPr>
            </w:pPr>
            <w:r>
              <w:t>Yes</w:t>
            </w:r>
          </w:p>
        </w:tc>
      </w:tr>
    </w:tbl>
    <w:p w14:paraId="3AC5CA75" w14:textId="77777777" w:rsidR="00F8317E" w:rsidRPr="00057C92" w:rsidRDefault="00F8317E" w:rsidP="00A64B1A">
      <w:pPr>
        <w:pStyle w:val="FigureHeading"/>
      </w:pPr>
    </w:p>
    <w:sectPr w:rsidR="00F8317E" w:rsidRPr="00057C92" w:rsidSect="001378D0">
      <w:footerReference w:type="default" r:id="rId23"/>
      <w:headerReference w:type="first" r:id="rId24"/>
      <w:footerReference w:type="first" r:id="rId25"/>
      <w:pgSz w:w="11906" w:h="16838"/>
      <w:pgMar w:top="1284" w:right="1134" w:bottom="816" w:left="1134" w:header="431" w:footer="9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A1A07" w14:textId="77777777" w:rsidR="001378D0" w:rsidRDefault="001378D0">
      <w:r>
        <w:separator/>
      </w:r>
    </w:p>
  </w:endnote>
  <w:endnote w:type="continuationSeparator" w:id="0">
    <w:p w14:paraId="7093A9E6" w14:textId="77777777" w:rsidR="001378D0" w:rsidRDefault="00137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 Grotesk Medium">
    <w:altName w:val="Calibri"/>
    <w:panose1 w:val="000000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DA9B" w14:textId="3E63D504" w:rsidR="003C5491" w:rsidRPr="007421F4" w:rsidRDefault="007421F4" w:rsidP="007421F4">
    <w:pPr>
      <w:pStyle w:val="Footer"/>
      <w:tabs>
        <w:tab w:val="clear" w:pos="4513"/>
        <w:tab w:val="clear" w:pos="9026"/>
        <w:tab w:val="right" w:pos="9638"/>
      </w:tabs>
    </w:pPr>
    <w:r w:rsidRPr="00E3776E">
      <w:rPr>
        <w:sz w:val="14"/>
        <w:szCs w:val="14"/>
      </w:rPr>
      <w:t>Inspector-General of Water Compliance</w:t>
    </w:r>
    <w:r w:rsidR="00E45CC0" w:rsidRPr="00E3776E">
      <w:rPr>
        <w:sz w:val="14"/>
        <w:szCs w:val="14"/>
      </w:rPr>
      <w:t xml:space="preserve"> | Management of Groundwater – Goulburn-Murray (Ground</w:t>
    </w:r>
    <w:r w:rsidR="00E121E6" w:rsidRPr="00E3776E">
      <w:rPr>
        <w:sz w:val="14"/>
        <w:szCs w:val="14"/>
      </w:rPr>
      <w:t>water) Resource Plan Area</w:t>
    </w:r>
    <w:r w:rsidRPr="007421F4">
      <w:tab/>
    </w:r>
    <w:r w:rsidRPr="007421F4">
      <w:fldChar w:fldCharType="begin"/>
    </w:r>
    <w:r w:rsidRPr="007421F4">
      <w:instrText xml:space="preserve"> PAGE   \* MERGEFORMAT </w:instrText>
    </w:r>
    <w:r w:rsidRPr="007421F4">
      <w:fldChar w:fldCharType="separate"/>
    </w:r>
    <w:r w:rsidRPr="007421F4">
      <w:t>1</w:t>
    </w:r>
    <w:r w:rsidRPr="007421F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4A9C" w14:textId="77777777" w:rsidR="00B25458" w:rsidRPr="002C07A5" w:rsidRDefault="00B25458" w:rsidP="002C07A5">
    <w:pPr>
      <w:pStyle w:val="Footer"/>
      <w:tabs>
        <w:tab w:val="clear" w:pos="4513"/>
        <w:tab w:val="clear" w:pos="9026"/>
        <w:tab w:val="right" w:pos="9638"/>
      </w:tabs>
      <w:rPr>
        <w:color w:val="FFFFFF"/>
      </w:rPr>
    </w:pPr>
    <w:r w:rsidRPr="00DA3699">
      <w:rPr>
        <w:color w:val="FF0000"/>
      </w:rPr>
      <w:t>Inspector-General of Water Compliance</w:t>
    </w:r>
    <w:r w:rsidRPr="00DA3699">
      <w:rPr>
        <w:color w:val="FF0000"/>
      </w:rPr>
      <w:tab/>
    </w:r>
    <w:r w:rsidRPr="00DA3699">
      <w:rPr>
        <w:color w:val="FF0000"/>
      </w:rPr>
      <w:fldChar w:fldCharType="begin"/>
    </w:r>
    <w:r w:rsidRPr="00DA3699">
      <w:rPr>
        <w:color w:val="FF0000"/>
      </w:rPr>
      <w:instrText xml:space="preserve"> PAGE   \* MERGEFORMAT </w:instrText>
    </w:r>
    <w:r w:rsidRPr="00DA3699">
      <w:rPr>
        <w:color w:val="FF0000"/>
      </w:rPr>
      <w:fldChar w:fldCharType="separate"/>
    </w:r>
    <w:r w:rsidRPr="00DA3699">
      <w:rPr>
        <w:color w:val="FF0000"/>
      </w:rPr>
      <w:t>3</w:t>
    </w:r>
    <w:r w:rsidRPr="00DA3699">
      <w:rPr>
        <w:noProof/>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CC24B" w14:textId="77777777" w:rsidR="001378D0" w:rsidRDefault="001378D0">
      <w:r>
        <w:separator/>
      </w:r>
    </w:p>
  </w:footnote>
  <w:footnote w:type="continuationSeparator" w:id="0">
    <w:p w14:paraId="4ED48C5C" w14:textId="77777777" w:rsidR="001378D0" w:rsidRDefault="001378D0">
      <w:r>
        <w:continuationSeparator/>
      </w:r>
    </w:p>
  </w:footnote>
  <w:footnote w:id="1">
    <w:p w14:paraId="52589AD3" w14:textId="77777777" w:rsidR="005F3C99" w:rsidRPr="00FE7D1E" w:rsidRDefault="005F3C99" w:rsidP="005F3C99">
      <w:pPr>
        <w:pStyle w:val="FootnoteText"/>
        <w:rPr>
          <w:sz w:val="16"/>
          <w:szCs w:val="16"/>
        </w:rPr>
      </w:pPr>
      <w:r>
        <w:rPr>
          <w:rStyle w:val="FootnoteReference"/>
        </w:rPr>
        <w:footnoteRef/>
      </w:r>
      <w:r w:rsidRPr="00652165">
        <w:rPr>
          <w:sz w:val="16"/>
          <w:szCs w:val="16"/>
        </w:rPr>
        <w:t xml:space="preserve"> section</w:t>
      </w:r>
      <w:r>
        <w:t xml:space="preserve"> </w:t>
      </w:r>
      <w:r w:rsidRPr="00652165">
        <w:rPr>
          <w:sz w:val="16"/>
          <w:szCs w:val="16"/>
        </w:rPr>
        <w:t>12.24 Basin Plan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BE3D" w14:textId="77777777" w:rsidR="00090D27" w:rsidRDefault="00090D27">
    <w:pPr>
      <w:pStyle w:val="Header"/>
    </w:pPr>
  </w:p>
  <w:p w14:paraId="0EA288ED" w14:textId="77777777" w:rsidR="00090D27" w:rsidRDefault="00090D27">
    <w:pPr>
      <w:pStyle w:val="Header"/>
    </w:pPr>
  </w:p>
  <w:p w14:paraId="650E3E13" w14:textId="77777777" w:rsidR="00090D27" w:rsidRDefault="00090D27">
    <w:pPr>
      <w:pStyle w:val="Header"/>
    </w:pPr>
  </w:p>
  <w:p w14:paraId="671A4AB2" w14:textId="77777777" w:rsidR="00090D27" w:rsidRDefault="00090D27">
    <w:pPr>
      <w:pStyle w:val="Header"/>
    </w:pPr>
  </w:p>
  <w:p w14:paraId="6B634EFA" w14:textId="77777777" w:rsidR="00090D27" w:rsidRDefault="00090D27">
    <w:pPr>
      <w:pStyle w:val="Header"/>
    </w:pPr>
  </w:p>
  <w:p w14:paraId="4C593F69" w14:textId="77777777" w:rsidR="00090D27" w:rsidRDefault="00090D27">
    <w:pPr>
      <w:pStyle w:val="Header"/>
    </w:pPr>
  </w:p>
  <w:p w14:paraId="0A703FE7" w14:textId="77777777" w:rsidR="00090D27" w:rsidRDefault="00090D27">
    <w:pPr>
      <w:pStyle w:val="Header"/>
    </w:pPr>
  </w:p>
  <w:p w14:paraId="1286BD69" w14:textId="77777777" w:rsidR="00090D27" w:rsidRDefault="00090D27">
    <w:pPr>
      <w:pStyle w:val="Header"/>
    </w:pPr>
  </w:p>
  <w:p w14:paraId="364BF1AA" w14:textId="77777777" w:rsidR="00090D27" w:rsidRDefault="00090D27">
    <w:pPr>
      <w:pStyle w:val="Header"/>
    </w:pPr>
  </w:p>
  <w:p w14:paraId="2B287129" w14:textId="77777777" w:rsidR="00090D27" w:rsidRDefault="00090D27">
    <w:pPr>
      <w:pStyle w:val="Header"/>
    </w:pPr>
  </w:p>
  <w:p w14:paraId="4BCC4CB1" w14:textId="77777777" w:rsidR="00090D27" w:rsidRDefault="00090D27">
    <w:pPr>
      <w:pStyle w:val="Header"/>
    </w:pPr>
  </w:p>
  <w:p w14:paraId="59FEBB73" w14:textId="77777777" w:rsidR="00090D27" w:rsidRDefault="00090D27">
    <w:pPr>
      <w:pStyle w:val="Header"/>
    </w:pPr>
  </w:p>
  <w:p w14:paraId="2D2B5172" w14:textId="77777777" w:rsidR="00090D27" w:rsidRDefault="00090D27">
    <w:pPr>
      <w:pStyle w:val="Header"/>
    </w:pPr>
  </w:p>
  <w:p w14:paraId="47963768" w14:textId="77777777" w:rsidR="00090D27" w:rsidRDefault="00090D27">
    <w:pPr>
      <w:pStyle w:val="Header"/>
    </w:pPr>
  </w:p>
  <w:p w14:paraId="502636F4" w14:textId="77777777" w:rsidR="00090D27" w:rsidRDefault="00090D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859" w:hanging="369"/>
      </w:pPr>
      <w:rPr>
        <w:rFonts w:ascii="Symbol" w:hAnsi="Symbol" w:hint="default"/>
      </w:rPr>
    </w:lvl>
    <w:lvl w:ilvl="1">
      <w:start w:val="1"/>
      <w:numFmt w:val="none"/>
      <w:pStyle w:val="ListBullet2"/>
      <w:lvlText w:val="-"/>
      <w:lvlJc w:val="left"/>
      <w:pPr>
        <w:ind w:left="1227" w:hanging="368"/>
      </w:pPr>
      <w:rPr>
        <w:rFonts w:hint="default"/>
      </w:rPr>
    </w:lvl>
    <w:lvl w:ilvl="2">
      <w:start w:val="1"/>
      <w:numFmt w:val="none"/>
      <w:lvlText w:val=":"/>
      <w:lvlJc w:val="left"/>
      <w:pPr>
        <w:ind w:left="1596" w:hanging="369"/>
      </w:pPr>
      <w:rPr>
        <w:rFonts w:hint="default"/>
      </w:rPr>
    </w:lvl>
    <w:lvl w:ilvl="3">
      <w:start w:val="1"/>
      <w:numFmt w:val="none"/>
      <w:lvlText w:val=""/>
      <w:lvlJc w:val="left"/>
      <w:pPr>
        <w:ind w:left="1964" w:hanging="368"/>
      </w:pPr>
      <w:rPr>
        <w:rFonts w:hint="default"/>
        <w:color w:val="auto"/>
      </w:rPr>
    </w:lvl>
    <w:lvl w:ilvl="4">
      <w:start w:val="1"/>
      <w:numFmt w:val="none"/>
      <w:lvlText w:val=""/>
      <w:lvlJc w:val="left"/>
      <w:pPr>
        <w:ind w:left="2290" w:hanging="360"/>
      </w:pPr>
      <w:rPr>
        <w:rFonts w:hint="default"/>
        <w:color w:val="auto"/>
      </w:rPr>
    </w:lvl>
    <w:lvl w:ilvl="5">
      <w:start w:val="1"/>
      <w:numFmt w:val="none"/>
      <w:lvlText w:val=""/>
      <w:lvlJc w:val="left"/>
      <w:pPr>
        <w:ind w:left="2650" w:hanging="360"/>
      </w:pPr>
      <w:rPr>
        <w:rFonts w:hint="default"/>
        <w:color w:val="auto"/>
      </w:rPr>
    </w:lvl>
    <w:lvl w:ilvl="6">
      <w:start w:val="1"/>
      <w:numFmt w:val="none"/>
      <w:lvlText w:val=""/>
      <w:lvlJc w:val="left"/>
      <w:pPr>
        <w:ind w:left="3010" w:hanging="360"/>
      </w:pPr>
      <w:rPr>
        <w:rFonts w:hint="default"/>
        <w:color w:val="auto"/>
      </w:rPr>
    </w:lvl>
    <w:lvl w:ilvl="7">
      <w:start w:val="1"/>
      <w:numFmt w:val="none"/>
      <w:lvlText w:val=""/>
      <w:lvlJc w:val="left"/>
      <w:pPr>
        <w:ind w:left="3370" w:hanging="360"/>
      </w:pPr>
      <w:rPr>
        <w:rFonts w:hint="default"/>
        <w:color w:val="auto"/>
      </w:rPr>
    </w:lvl>
    <w:lvl w:ilvl="8">
      <w:start w:val="1"/>
      <w:numFmt w:val="none"/>
      <w:lvlText w:val=""/>
      <w:lvlJc w:val="left"/>
      <w:pPr>
        <w:ind w:left="3730" w:hanging="360"/>
      </w:pPr>
      <w:rPr>
        <w:rFonts w:hint="default"/>
        <w:color w:val="auto"/>
      </w:rPr>
    </w:lvl>
  </w:abstractNum>
  <w:abstractNum w:abstractNumId="1" w15:restartNumberingAfterBreak="0">
    <w:nsid w:val="01931190"/>
    <w:multiLevelType w:val="hybridMultilevel"/>
    <w:tmpl w:val="CD7A5B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86783A"/>
    <w:multiLevelType w:val="multilevel"/>
    <w:tmpl w:val="46B4BF42"/>
    <w:lvl w:ilvl="0">
      <w:start w:val="1"/>
      <w:numFmt w:val="lowerLetter"/>
      <w:lvlText w:val="%1."/>
      <w:lvlJc w:val="left"/>
      <w:pPr>
        <w:ind w:left="369" w:hanging="369"/>
      </w:pPr>
      <w:rPr>
        <w:rFonts w:hint="default"/>
        <w:i w:val="0"/>
        <w:iCs w:val="0"/>
        <w:sz w:val="20"/>
        <w:szCs w:val="20"/>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 w15:restartNumberingAfterBreak="0">
    <w:nsid w:val="0B4512B8"/>
    <w:multiLevelType w:val="multilevel"/>
    <w:tmpl w:val="AB3A51F8"/>
    <w:lvl w:ilvl="0">
      <w:start w:val="1"/>
      <w:numFmt w:val="lowerLetter"/>
      <w:lvlText w:val="%1."/>
      <w:lvlJc w:val="left"/>
      <w:pPr>
        <w:ind w:left="369" w:hanging="369"/>
      </w:pPr>
      <w:rPr>
        <w:rFonts w:hint="default"/>
        <w:i w:val="0"/>
        <w:iCs w:val="0"/>
        <w:sz w:val="20"/>
        <w:szCs w:val="20"/>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 w15:restartNumberingAfterBreak="0">
    <w:nsid w:val="0BD17520"/>
    <w:multiLevelType w:val="multilevel"/>
    <w:tmpl w:val="CA4C4BEC"/>
    <w:lvl w:ilvl="0">
      <w:start w:val="1"/>
      <w:numFmt w:val="lowerLetter"/>
      <w:lvlText w:val="%1)"/>
      <w:lvlJc w:val="left"/>
      <w:pPr>
        <w:ind w:left="738" w:hanging="369"/>
      </w:pPr>
      <w:rPr>
        <w:rFonts w:hint="default"/>
        <w:i w:val="0"/>
        <w:iCs w:val="0"/>
        <w:sz w:val="22"/>
        <w:szCs w:val="22"/>
      </w:rPr>
    </w:lvl>
    <w:lvl w:ilvl="1">
      <w:start w:val="1"/>
      <w:numFmt w:val="lowerLetter"/>
      <w:lvlText w:val="%2."/>
      <w:lvlJc w:val="left"/>
      <w:pPr>
        <w:ind w:left="1107" w:hanging="369"/>
      </w:pPr>
      <w:rPr>
        <w:rFonts w:hint="default"/>
      </w:rPr>
    </w:lvl>
    <w:lvl w:ilvl="2">
      <w:start w:val="1"/>
      <w:numFmt w:val="lowerRoman"/>
      <w:lvlText w:val="%3."/>
      <w:lvlJc w:val="left"/>
      <w:pPr>
        <w:ind w:left="1476" w:hanging="369"/>
      </w:pPr>
      <w:rPr>
        <w:rFonts w:hint="default"/>
      </w:rPr>
    </w:lvl>
    <w:lvl w:ilvl="3">
      <w:start w:val="1"/>
      <w:numFmt w:val="none"/>
      <w:lvlText w:val="%4"/>
      <w:lvlJc w:val="left"/>
      <w:pPr>
        <w:ind w:left="1845" w:hanging="369"/>
      </w:pPr>
      <w:rPr>
        <w:rFonts w:hint="default"/>
      </w:rPr>
    </w:lvl>
    <w:lvl w:ilvl="4">
      <w:start w:val="1"/>
      <w:numFmt w:val="none"/>
      <w:lvlText w:val=""/>
      <w:lvlJc w:val="left"/>
      <w:pPr>
        <w:ind w:left="2214" w:hanging="369"/>
      </w:pPr>
      <w:rPr>
        <w:rFonts w:hint="default"/>
      </w:rPr>
    </w:lvl>
    <w:lvl w:ilvl="5">
      <w:start w:val="1"/>
      <w:numFmt w:val="none"/>
      <w:lvlText w:val=""/>
      <w:lvlJc w:val="left"/>
      <w:pPr>
        <w:ind w:left="2583" w:hanging="369"/>
      </w:pPr>
      <w:rPr>
        <w:rFonts w:hint="default"/>
      </w:rPr>
    </w:lvl>
    <w:lvl w:ilvl="6">
      <w:start w:val="1"/>
      <w:numFmt w:val="none"/>
      <w:lvlText w:val=""/>
      <w:lvlJc w:val="left"/>
      <w:pPr>
        <w:ind w:left="2952" w:hanging="369"/>
      </w:pPr>
      <w:rPr>
        <w:rFonts w:hint="default"/>
      </w:rPr>
    </w:lvl>
    <w:lvl w:ilvl="7">
      <w:start w:val="1"/>
      <w:numFmt w:val="none"/>
      <w:lvlText w:val=""/>
      <w:lvlJc w:val="left"/>
      <w:pPr>
        <w:ind w:left="3321" w:hanging="369"/>
      </w:pPr>
      <w:rPr>
        <w:rFonts w:hint="default"/>
      </w:rPr>
    </w:lvl>
    <w:lvl w:ilvl="8">
      <w:start w:val="1"/>
      <w:numFmt w:val="none"/>
      <w:lvlText w:val=""/>
      <w:lvlJc w:val="left"/>
      <w:pPr>
        <w:ind w:left="3690" w:hanging="369"/>
      </w:pPr>
      <w:rPr>
        <w:rFonts w:hint="default"/>
      </w:rPr>
    </w:lvl>
  </w:abstractNum>
  <w:abstractNum w:abstractNumId="5" w15:restartNumberingAfterBreak="0">
    <w:nsid w:val="0FC227FC"/>
    <w:multiLevelType w:val="hybridMultilevel"/>
    <w:tmpl w:val="4D12425E"/>
    <w:lvl w:ilvl="0" w:tplc="D850F478">
      <w:start w:val="1"/>
      <w:numFmt w:val="decimal"/>
      <w:lvlText w:val="%1."/>
      <w:lvlJc w:val="left"/>
      <w:pPr>
        <w:ind w:left="36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106F28"/>
    <w:multiLevelType w:val="multilevel"/>
    <w:tmpl w:val="16DE9794"/>
    <w:lvl w:ilvl="0">
      <w:start w:val="1"/>
      <w:numFmt w:val="lowerLetter"/>
      <w:lvlText w:val="%1)"/>
      <w:lvlJc w:val="left"/>
      <w:pPr>
        <w:ind w:left="936" w:hanging="369"/>
      </w:pPr>
      <w:rPr>
        <w:rFonts w:hint="default"/>
        <w:i w:val="0"/>
        <w:iCs w:val="0"/>
        <w:sz w:val="22"/>
        <w:szCs w:val="22"/>
      </w:rPr>
    </w:lvl>
    <w:lvl w:ilvl="1">
      <w:start w:val="1"/>
      <w:numFmt w:val="lowerLetter"/>
      <w:lvlText w:val="%2."/>
      <w:lvlJc w:val="left"/>
      <w:pPr>
        <w:ind w:left="1305" w:hanging="369"/>
      </w:pPr>
      <w:rPr>
        <w:rFonts w:hint="default"/>
      </w:rPr>
    </w:lvl>
    <w:lvl w:ilvl="2">
      <w:start w:val="1"/>
      <w:numFmt w:val="lowerRoman"/>
      <w:lvlText w:val="%3."/>
      <w:lvlJc w:val="left"/>
      <w:pPr>
        <w:ind w:left="1674" w:hanging="369"/>
      </w:pPr>
      <w:rPr>
        <w:rFonts w:hint="default"/>
      </w:rPr>
    </w:lvl>
    <w:lvl w:ilvl="3">
      <w:start w:val="1"/>
      <w:numFmt w:val="none"/>
      <w:lvlText w:val="%4"/>
      <w:lvlJc w:val="left"/>
      <w:pPr>
        <w:ind w:left="2043" w:hanging="369"/>
      </w:pPr>
      <w:rPr>
        <w:rFonts w:hint="default"/>
      </w:rPr>
    </w:lvl>
    <w:lvl w:ilvl="4">
      <w:start w:val="1"/>
      <w:numFmt w:val="none"/>
      <w:lvlText w:val=""/>
      <w:lvlJc w:val="left"/>
      <w:pPr>
        <w:ind w:left="2412" w:hanging="369"/>
      </w:pPr>
      <w:rPr>
        <w:rFonts w:hint="default"/>
      </w:rPr>
    </w:lvl>
    <w:lvl w:ilvl="5">
      <w:start w:val="1"/>
      <w:numFmt w:val="none"/>
      <w:lvlText w:val=""/>
      <w:lvlJc w:val="left"/>
      <w:pPr>
        <w:ind w:left="2781" w:hanging="369"/>
      </w:pPr>
      <w:rPr>
        <w:rFonts w:hint="default"/>
      </w:rPr>
    </w:lvl>
    <w:lvl w:ilvl="6">
      <w:start w:val="1"/>
      <w:numFmt w:val="none"/>
      <w:lvlText w:val=""/>
      <w:lvlJc w:val="left"/>
      <w:pPr>
        <w:ind w:left="3150" w:hanging="369"/>
      </w:pPr>
      <w:rPr>
        <w:rFonts w:hint="default"/>
      </w:rPr>
    </w:lvl>
    <w:lvl w:ilvl="7">
      <w:start w:val="1"/>
      <w:numFmt w:val="none"/>
      <w:lvlText w:val=""/>
      <w:lvlJc w:val="left"/>
      <w:pPr>
        <w:ind w:left="3519" w:hanging="369"/>
      </w:pPr>
      <w:rPr>
        <w:rFonts w:hint="default"/>
      </w:rPr>
    </w:lvl>
    <w:lvl w:ilvl="8">
      <w:start w:val="1"/>
      <w:numFmt w:val="none"/>
      <w:lvlText w:val=""/>
      <w:lvlJc w:val="left"/>
      <w:pPr>
        <w:ind w:left="3888" w:hanging="369"/>
      </w:pPr>
      <w:rPr>
        <w:rFonts w:hint="default"/>
      </w:rPr>
    </w:lvl>
  </w:abstractNum>
  <w:abstractNum w:abstractNumId="7" w15:restartNumberingAfterBreak="0">
    <w:nsid w:val="1F745BC2"/>
    <w:multiLevelType w:val="multilevel"/>
    <w:tmpl w:val="E5E89F92"/>
    <w:numStyleLink w:val="BulletList"/>
  </w:abstractNum>
  <w:abstractNum w:abstractNumId="8" w15:restartNumberingAfterBreak="0">
    <w:nsid w:val="256B42E1"/>
    <w:multiLevelType w:val="hybridMultilevel"/>
    <w:tmpl w:val="CC78AE3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5A67A97"/>
    <w:multiLevelType w:val="hybridMultilevel"/>
    <w:tmpl w:val="81E4AA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4B7CE5"/>
    <w:multiLevelType w:val="hybridMultilevel"/>
    <w:tmpl w:val="7AD4971C"/>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784736E"/>
    <w:multiLevelType w:val="multilevel"/>
    <w:tmpl w:val="A150F564"/>
    <w:lvl w:ilvl="0">
      <w:start w:val="1"/>
      <w:numFmt w:val="lowerLetter"/>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3" w15:restartNumberingAfterBreak="0">
    <w:nsid w:val="381672BA"/>
    <w:multiLevelType w:val="hybridMultilevel"/>
    <w:tmpl w:val="8116C2B0"/>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60635B"/>
    <w:multiLevelType w:val="hybridMultilevel"/>
    <w:tmpl w:val="CE1CA5E6"/>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3DF8214A"/>
    <w:multiLevelType w:val="hybridMultilevel"/>
    <w:tmpl w:val="7866473A"/>
    <w:lvl w:ilvl="0" w:tplc="D850F478">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84367F6"/>
    <w:multiLevelType w:val="hybridMultilevel"/>
    <w:tmpl w:val="4B7673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F7A3653"/>
    <w:multiLevelType w:val="multilevel"/>
    <w:tmpl w:val="331C44D2"/>
    <w:lvl w:ilvl="0">
      <w:start w:val="1"/>
      <w:numFmt w:val="lowerLetter"/>
      <w:lvlText w:val="%1."/>
      <w:lvlJc w:val="left"/>
      <w:pPr>
        <w:ind w:left="738" w:hanging="369"/>
      </w:pPr>
      <w:rPr>
        <w:rFonts w:hint="default"/>
        <w:sz w:val="22"/>
        <w:szCs w:val="22"/>
      </w:rPr>
    </w:lvl>
    <w:lvl w:ilvl="1">
      <w:start w:val="1"/>
      <w:numFmt w:val="lowerLetter"/>
      <w:lvlText w:val="%2."/>
      <w:lvlJc w:val="left"/>
      <w:pPr>
        <w:ind w:left="1107" w:hanging="369"/>
      </w:pPr>
      <w:rPr>
        <w:rFonts w:hint="default"/>
      </w:rPr>
    </w:lvl>
    <w:lvl w:ilvl="2">
      <w:start w:val="1"/>
      <w:numFmt w:val="lowerRoman"/>
      <w:lvlText w:val="%3."/>
      <w:lvlJc w:val="left"/>
      <w:pPr>
        <w:ind w:left="1476" w:hanging="369"/>
      </w:pPr>
      <w:rPr>
        <w:rFonts w:hint="default"/>
      </w:rPr>
    </w:lvl>
    <w:lvl w:ilvl="3">
      <w:start w:val="1"/>
      <w:numFmt w:val="none"/>
      <w:lvlText w:val="%4"/>
      <w:lvlJc w:val="left"/>
      <w:pPr>
        <w:ind w:left="1845" w:hanging="369"/>
      </w:pPr>
      <w:rPr>
        <w:rFonts w:hint="default"/>
      </w:rPr>
    </w:lvl>
    <w:lvl w:ilvl="4">
      <w:start w:val="1"/>
      <w:numFmt w:val="none"/>
      <w:lvlText w:val=""/>
      <w:lvlJc w:val="left"/>
      <w:pPr>
        <w:ind w:left="2214" w:hanging="369"/>
      </w:pPr>
      <w:rPr>
        <w:rFonts w:hint="default"/>
      </w:rPr>
    </w:lvl>
    <w:lvl w:ilvl="5">
      <w:start w:val="1"/>
      <w:numFmt w:val="none"/>
      <w:lvlText w:val=""/>
      <w:lvlJc w:val="left"/>
      <w:pPr>
        <w:ind w:left="2583" w:hanging="369"/>
      </w:pPr>
      <w:rPr>
        <w:rFonts w:hint="default"/>
      </w:rPr>
    </w:lvl>
    <w:lvl w:ilvl="6">
      <w:start w:val="1"/>
      <w:numFmt w:val="none"/>
      <w:lvlText w:val=""/>
      <w:lvlJc w:val="left"/>
      <w:pPr>
        <w:ind w:left="2952" w:hanging="369"/>
      </w:pPr>
      <w:rPr>
        <w:rFonts w:hint="default"/>
      </w:rPr>
    </w:lvl>
    <w:lvl w:ilvl="7">
      <w:start w:val="1"/>
      <w:numFmt w:val="none"/>
      <w:lvlText w:val=""/>
      <w:lvlJc w:val="left"/>
      <w:pPr>
        <w:ind w:left="3321" w:hanging="369"/>
      </w:pPr>
      <w:rPr>
        <w:rFonts w:hint="default"/>
      </w:rPr>
    </w:lvl>
    <w:lvl w:ilvl="8">
      <w:start w:val="1"/>
      <w:numFmt w:val="none"/>
      <w:lvlText w:val=""/>
      <w:lvlJc w:val="left"/>
      <w:pPr>
        <w:ind w:left="3690" w:hanging="369"/>
      </w:pPr>
      <w:rPr>
        <w:rFonts w:hint="default"/>
      </w:rPr>
    </w:lvl>
  </w:abstractNum>
  <w:abstractNum w:abstractNumId="18" w15:restartNumberingAfterBreak="0">
    <w:nsid w:val="56FC57E4"/>
    <w:multiLevelType w:val="hybridMultilevel"/>
    <w:tmpl w:val="915282F8"/>
    <w:lvl w:ilvl="0" w:tplc="0C090019">
      <w:start w:val="1"/>
      <w:numFmt w:val="lowerLetter"/>
      <w:lvlText w:val="%1."/>
      <w:lvlJc w:val="left"/>
      <w:pPr>
        <w:ind w:left="1089" w:hanging="360"/>
      </w:pPr>
    </w:lvl>
    <w:lvl w:ilvl="1" w:tplc="0C090019" w:tentative="1">
      <w:start w:val="1"/>
      <w:numFmt w:val="lowerLetter"/>
      <w:lvlText w:val="%2."/>
      <w:lvlJc w:val="left"/>
      <w:pPr>
        <w:ind w:left="1809" w:hanging="360"/>
      </w:pPr>
    </w:lvl>
    <w:lvl w:ilvl="2" w:tplc="0C09001B" w:tentative="1">
      <w:start w:val="1"/>
      <w:numFmt w:val="lowerRoman"/>
      <w:lvlText w:val="%3."/>
      <w:lvlJc w:val="right"/>
      <w:pPr>
        <w:ind w:left="2529" w:hanging="180"/>
      </w:pPr>
    </w:lvl>
    <w:lvl w:ilvl="3" w:tplc="0C09000F" w:tentative="1">
      <w:start w:val="1"/>
      <w:numFmt w:val="decimal"/>
      <w:lvlText w:val="%4."/>
      <w:lvlJc w:val="left"/>
      <w:pPr>
        <w:ind w:left="3249" w:hanging="360"/>
      </w:pPr>
    </w:lvl>
    <w:lvl w:ilvl="4" w:tplc="0C090019" w:tentative="1">
      <w:start w:val="1"/>
      <w:numFmt w:val="lowerLetter"/>
      <w:lvlText w:val="%5."/>
      <w:lvlJc w:val="left"/>
      <w:pPr>
        <w:ind w:left="3969" w:hanging="360"/>
      </w:pPr>
    </w:lvl>
    <w:lvl w:ilvl="5" w:tplc="0C09001B" w:tentative="1">
      <w:start w:val="1"/>
      <w:numFmt w:val="lowerRoman"/>
      <w:lvlText w:val="%6."/>
      <w:lvlJc w:val="right"/>
      <w:pPr>
        <w:ind w:left="4689" w:hanging="180"/>
      </w:pPr>
    </w:lvl>
    <w:lvl w:ilvl="6" w:tplc="0C09000F" w:tentative="1">
      <w:start w:val="1"/>
      <w:numFmt w:val="decimal"/>
      <w:lvlText w:val="%7."/>
      <w:lvlJc w:val="left"/>
      <w:pPr>
        <w:ind w:left="5409" w:hanging="360"/>
      </w:pPr>
    </w:lvl>
    <w:lvl w:ilvl="7" w:tplc="0C090019" w:tentative="1">
      <w:start w:val="1"/>
      <w:numFmt w:val="lowerLetter"/>
      <w:lvlText w:val="%8."/>
      <w:lvlJc w:val="left"/>
      <w:pPr>
        <w:ind w:left="6129" w:hanging="360"/>
      </w:pPr>
    </w:lvl>
    <w:lvl w:ilvl="8" w:tplc="0C09001B" w:tentative="1">
      <w:start w:val="1"/>
      <w:numFmt w:val="lowerRoman"/>
      <w:lvlText w:val="%9."/>
      <w:lvlJc w:val="right"/>
      <w:pPr>
        <w:ind w:left="6849" w:hanging="180"/>
      </w:pPr>
    </w:lvl>
  </w:abstractNum>
  <w:abstractNum w:abstractNumId="19" w15:restartNumberingAfterBreak="0">
    <w:nsid w:val="618F05FE"/>
    <w:multiLevelType w:val="hybridMultilevel"/>
    <w:tmpl w:val="1E9ED35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65456429"/>
    <w:multiLevelType w:val="multilevel"/>
    <w:tmpl w:val="F3A0EB70"/>
    <w:lvl w:ilvl="0">
      <w:start w:val="1"/>
      <w:numFmt w:val="decimal"/>
      <w:lvlText w:val="%1."/>
      <w:lvlJc w:val="left"/>
      <w:pPr>
        <w:ind w:left="360" w:hanging="360"/>
      </w:pPr>
      <w:rPr>
        <w:rFonts w:hint="default"/>
        <w:i w:val="0"/>
        <w:iCs w:val="0"/>
        <w:color w:val="auto"/>
        <w:sz w:val="22"/>
        <w:szCs w:val="22"/>
      </w:rPr>
    </w:lvl>
    <w:lvl w:ilvl="1">
      <w:start w:val="1"/>
      <w:numFmt w:val="lowerLetter"/>
      <w:lvlText w:val="%2)"/>
      <w:lvlJc w:val="left"/>
      <w:pPr>
        <w:ind w:left="927"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9F41556"/>
    <w:multiLevelType w:val="multilevel"/>
    <w:tmpl w:val="3782C61E"/>
    <w:lvl w:ilvl="0">
      <w:start w:val="1"/>
      <w:numFmt w:val="lowerLetter"/>
      <w:lvlText w:val="%1)"/>
      <w:lvlJc w:val="left"/>
      <w:pPr>
        <w:ind w:left="936" w:hanging="369"/>
      </w:pPr>
      <w:rPr>
        <w:rFonts w:hint="default"/>
        <w:i w:val="0"/>
        <w:iCs w:val="0"/>
        <w:sz w:val="22"/>
        <w:szCs w:val="22"/>
      </w:rPr>
    </w:lvl>
    <w:lvl w:ilvl="1">
      <w:start w:val="1"/>
      <w:numFmt w:val="lowerRoman"/>
      <w:lvlText w:val="%2."/>
      <w:lvlJc w:val="right"/>
      <w:pPr>
        <w:ind w:left="1296" w:hanging="360"/>
      </w:pPr>
    </w:lvl>
    <w:lvl w:ilvl="2">
      <w:start w:val="1"/>
      <w:numFmt w:val="lowerRoman"/>
      <w:lvlText w:val="%3."/>
      <w:lvlJc w:val="left"/>
      <w:pPr>
        <w:ind w:left="1674" w:hanging="369"/>
      </w:pPr>
      <w:rPr>
        <w:rFonts w:hint="default"/>
      </w:rPr>
    </w:lvl>
    <w:lvl w:ilvl="3">
      <w:start w:val="1"/>
      <w:numFmt w:val="none"/>
      <w:lvlText w:val="%4"/>
      <w:lvlJc w:val="left"/>
      <w:pPr>
        <w:ind w:left="2043" w:hanging="369"/>
      </w:pPr>
      <w:rPr>
        <w:rFonts w:hint="default"/>
      </w:rPr>
    </w:lvl>
    <w:lvl w:ilvl="4">
      <w:start w:val="1"/>
      <w:numFmt w:val="none"/>
      <w:lvlText w:val=""/>
      <w:lvlJc w:val="left"/>
      <w:pPr>
        <w:ind w:left="2412" w:hanging="369"/>
      </w:pPr>
      <w:rPr>
        <w:rFonts w:hint="default"/>
      </w:rPr>
    </w:lvl>
    <w:lvl w:ilvl="5">
      <w:start w:val="1"/>
      <w:numFmt w:val="none"/>
      <w:lvlText w:val=""/>
      <w:lvlJc w:val="left"/>
      <w:pPr>
        <w:ind w:left="2781" w:hanging="369"/>
      </w:pPr>
      <w:rPr>
        <w:rFonts w:hint="default"/>
      </w:rPr>
    </w:lvl>
    <w:lvl w:ilvl="6">
      <w:start w:val="1"/>
      <w:numFmt w:val="none"/>
      <w:lvlText w:val=""/>
      <w:lvlJc w:val="left"/>
      <w:pPr>
        <w:ind w:left="3150" w:hanging="369"/>
      </w:pPr>
      <w:rPr>
        <w:rFonts w:hint="default"/>
      </w:rPr>
    </w:lvl>
    <w:lvl w:ilvl="7">
      <w:start w:val="1"/>
      <w:numFmt w:val="none"/>
      <w:lvlText w:val=""/>
      <w:lvlJc w:val="left"/>
      <w:pPr>
        <w:ind w:left="3519" w:hanging="369"/>
      </w:pPr>
      <w:rPr>
        <w:rFonts w:hint="default"/>
      </w:rPr>
    </w:lvl>
    <w:lvl w:ilvl="8">
      <w:start w:val="1"/>
      <w:numFmt w:val="none"/>
      <w:lvlText w:val=""/>
      <w:lvlJc w:val="left"/>
      <w:pPr>
        <w:ind w:left="3888" w:hanging="369"/>
      </w:pPr>
      <w:rPr>
        <w:rFonts w:hint="default"/>
      </w:rPr>
    </w:lvl>
  </w:abstractNum>
  <w:abstractNum w:abstractNumId="22"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16cid:durableId="191578559">
    <w:abstractNumId w:val="22"/>
  </w:num>
  <w:num w:numId="2" w16cid:durableId="1695494793">
    <w:abstractNumId w:val="0"/>
  </w:num>
  <w:num w:numId="3" w16cid:durableId="1193498152">
    <w:abstractNumId w:val="11"/>
  </w:num>
  <w:num w:numId="4" w16cid:durableId="904608017">
    <w:abstractNumId w:val="7"/>
  </w:num>
  <w:num w:numId="5" w16cid:durableId="1563101622">
    <w:abstractNumId w:val="20"/>
  </w:num>
  <w:num w:numId="6" w16cid:durableId="1280532655">
    <w:abstractNumId w:val="18"/>
  </w:num>
  <w:num w:numId="7" w16cid:durableId="1518931463">
    <w:abstractNumId w:val="19"/>
  </w:num>
  <w:num w:numId="8" w16cid:durableId="1233735375">
    <w:abstractNumId w:val="17"/>
  </w:num>
  <w:num w:numId="9" w16cid:durableId="1889612487">
    <w:abstractNumId w:val="20"/>
  </w:num>
  <w:num w:numId="10" w16cid:durableId="1377244285">
    <w:abstractNumId w:val="3"/>
  </w:num>
  <w:num w:numId="11" w16cid:durableId="224799092">
    <w:abstractNumId w:val="2"/>
  </w:num>
  <w:num w:numId="12" w16cid:durableId="1250432438">
    <w:abstractNumId w:val="8"/>
  </w:num>
  <w:num w:numId="13" w16cid:durableId="803501062">
    <w:abstractNumId w:val="4"/>
  </w:num>
  <w:num w:numId="14" w16cid:durableId="1991783872">
    <w:abstractNumId w:val="14"/>
  </w:num>
  <w:num w:numId="15" w16cid:durableId="853107118">
    <w:abstractNumId w:val="6"/>
  </w:num>
  <w:num w:numId="16" w16cid:durableId="852915753">
    <w:abstractNumId w:val="21"/>
  </w:num>
  <w:num w:numId="17" w16cid:durableId="351339454">
    <w:abstractNumId w:val="12"/>
  </w:num>
  <w:num w:numId="18" w16cid:durableId="1605961248">
    <w:abstractNumId w:val="10"/>
  </w:num>
  <w:num w:numId="19" w16cid:durableId="1796749456">
    <w:abstractNumId w:val="9"/>
  </w:num>
  <w:num w:numId="20" w16cid:durableId="441413474">
    <w:abstractNumId w:val="13"/>
  </w:num>
  <w:num w:numId="21" w16cid:durableId="1766149268">
    <w:abstractNumId w:val="1"/>
  </w:num>
  <w:num w:numId="22" w16cid:durableId="1997219026">
    <w:abstractNumId w:val="16"/>
  </w:num>
  <w:num w:numId="23" w16cid:durableId="591625686">
    <w:abstractNumId w:val="15"/>
  </w:num>
  <w:num w:numId="24" w16cid:durableId="39913515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TableGridLight"/>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E"/>
    <w:rsid w:val="000001A1"/>
    <w:rsid w:val="00002287"/>
    <w:rsid w:val="000032A0"/>
    <w:rsid w:val="00007DE1"/>
    <w:rsid w:val="000131EE"/>
    <w:rsid w:val="00027643"/>
    <w:rsid w:val="000514BD"/>
    <w:rsid w:val="0005181B"/>
    <w:rsid w:val="0005366D"/>
    <w:rsid w:val="00055589"/>
    <w:rsid w:val="00057C92"/>
    <w:rsid w:val="000613B1"/>
    <w:rsid w:val="00071327"/>
    <w:rsid w:val="00081166"/>
    <w:rsid w:val="00081F58"/>
    <w:rsid w:val="00082E59"/>
    <w:rsid w:val="00090D27"/>
    <w:rsid w:val="00091B06"/>
    <w:rsid w:val="000A048E"/>
    <w:rsid w:val="000A0A47"/>
    <w:rsid w:val="000A545D"/>
    <w:rsid w:val="000A5F93"/>
    <w:rsid w:val="000C19BE"/>
    <w:rsid w:val="000C1C6B"/>
    <w:rsid w:val="000C7159"/>
    <w:rsid w:val="000D06D9"/>
    <w:rsid w:val="000D0DF9"/>
    <w:rsid w:val="000D1751"/>
    <w:rsid w:val="000D491E"/>
    <w:rsid w:val="000D6186"/>
    <w:rsid w:val="000D6789"/>
    <w:rsid w:val="000E1E4F"/>
    <w:rsid w:val="000E5C12"/>
    <w:rsid w:val="000F0014"/>
    <w:rsid w:val="000F55E7"/>
    <w:rsid w:val="00105C5F"/>
    <w:rsid w:val="00110183"/>
    <w:rsid w:val="00114BA0"/>
    <w:rsid w:val="0013156A"/>
    <w:rsid w:val="001316EC"/>
    <w:rsid w:val="0013454F"/>
    <w:rsid w:val="001345C9"/>
    <w:rsid w:val="0013463C"/>
    <w:rsid w:val="001378D0"/>
    <w:rsid w:val="0014182C"/>
    <w:rsid w:val="00142D08"/>
    <w:rsid w:val="00142E0B"/>
    <w:rsid w:val="001467BC"/>
    <w:rsid w:val="00151F81"/>
    <w:rsid w:val="00156132"/>
    <w:rsid w:val="0015695F"/>
    <w:rsid w:val="0017077A"/>
    <w:rsid w:val="00170D66"/>
    <w:rsid w:val="00170DC6"/>
    <w:rsid w:val="0017351A"/>
    <w:rsid w:val="001827C2"/>
    <w:rsid w:val="00186E6F"/>
    <w:rsid w:val="00190474"/>
    <w:rsid w:val="00197857"/>
    <w:rsid w:val="001B0CC8"/>
    <w:rsid w:val="001C0255"/>
    <w:rsid w:val="001C0F11"/>
    <w:rsid w:val="001C1ABF"/>
    <w:rsid w:val="001E434A"/>
    <w:rsid w:val="001F2A15"/>
    <w:rsid w:val="00204E35"/>
    <w:rsid w:val="0021103E"/>
    <w:rsid w:val="00216229"/>
    <w:rsid w:val="00221662"/>
    <w:rsid w:val="00222CB5"/>
    <w:rsid w:val="00223EBF"/>
    <w:rsid w:val="00226F53"/>
    <w:rsid w:val="00230379"/>
    <w:rsid w:val="00230C4C"/>
    <w:rsid w:val="00230F46"/>
    <w:rsid w:val="00231A97"/>
    <w:rsid w:val="0023381A"/>
    <w:rsid w:val="00234917"/>
    <w:rsid w:val="00237DE3"/>
    <w:rsid w:val="00243402"/>
    <w:rsid w:val="00250CB7"/>
    <w:rsid w:val="0025317B"/>
    <w:rsid w:val="002561B9"/>
    <w:rsid w:val="00261516"/>
    <w:rsid w:val="00272B0B"/>
    <w:rsid w:val="00272CBB"/>
    <w:rsid w:val="00280050"/>
    <w:rsid w:val="00296907"/>
    <w:rsid w:val="002A30D1"/>
    <w:rsid w:val="002A5A1E"/>
    <w:rsid w:val="002A6C5A"/>
    <w:rsid w:val="002A7384"/>
    <w:rsid w:val="002B2DBA"/>
    <w:rsid w:val="002B41C1"/>
    <w:rsid w:val="002B4251"/>
    <w:rsid w:val="002C07A5"/>
    <w:rsid w:val="002C086E"/>
    <w:rsid w:val="002C5D57"/>
    <w:rsid w:val="002C6C13"/>
    <w:rsid w:val="002D3EC0"/>
    <w:rsid w:val="002E177E"/>
    <w:rsid w:val="002E351B"/>
    <w:rsid w:val="002E4CCA"/>
    <w:rsid w:val="002E5A71"/>
    <w:rsid w:val="002E712A"/>
    <w:rsid w:val="00303D1F"/>
    <w:rsid w:val="0032356E"/>
    <w:rsid w:val="0032604D"/>
    <w:rsid w:val="003268F7"/>
    <w:rsid w:val="003273CF"/>
    <w:rsid w:val="00330A35"/>
    <w:rsid w:val="00334F52"/>
    <w:rsid w:val="00335559"/>
    <w:rsid w:val="003504B1"/>
    <w:rsid w:val="0035128A"/>
    <w:rsid w:val="003522E8"/>
    <w:rsid w:val="00352BB1"/>
    <w:rsid w:val="00361A48"/>
    <w:rsid w:val="0036565C"/>
    <w:rsid w:val="00371808"/>
    <w:rsid w:val="00374588"/>
    <w:rsid w:val="00374903"/>
    <w:rsid w:val="00376A5A"/>
    <w:rsid w:val="00384EC2"/>
    <w:rsid w:val="0039416C"/>
    <w:rsid w:val="00396E8B"/>
    <w:rsid w:val="003A39E1"/>
    <w:rsid w:val="003A39FE"/>
    <w:rsid w:val="003A6733"/>
    <w:rsid w:val="003A7927"/>
    <w:rsid w:val="003B10AF"/>
    <w:rsid w:val="003B3811"/>
    <w:rsid w:val="003B523D"/>
    <w:rsid w:val="003B64C4"/>
    <w:rsid w:val="003B7B80"/>
    <w:rsid w:val="003C464C"/>
    <w:rsid w:val="003C5491"/>
    <w:rsid w:val="003D32AF"/>
    <w:rsid w:val="003D63BD"/>
    <w:rsid w:val="003D6ECD"/>
    <w:rsid w:val="003D7A59"/>
    <w:rsid w:val="003F7DA8"/>
    <w:rsid w:val="00402EF9"/>
    <w:rsid w:val="004036BC"/>
    <w:rsid w:val="00404419"/>
    <w:rsid w:val="00406DCC"/>
    <w:rsid w:val="00407D3B"/>
    <w:rsid w:val="004101E6"/>
    <w:rsid w:val="00410A03"/>
    <w:rsid w:val="004111F5"/>
    <w:rsid w:val="00412531"/>
    <w:rsid w:val="0041656D"/>
    <w:rsid w:val="004201BD"/>
    <w:rsid w:val="004344E7"/>
    <w:rsid w:val="00435004"/>
    <w:rsid w:val="00447D96"/>
    <w:rsid w:val="00455651"/>
    <w:rsid w:val="00456396"/>
    <w:rsid w:val="00460B80"/>
    <w:rsid w:val="00463BE8"/>
    <w:rsid w:val="0046450A"/>
    <w:rsid w:val="00471800"/>
    <w:rsid w:val="00473F5B"/>
    <w:rsid w:val="00474D5B"/>
    <w:rsid w:val="00490047"/>
    <w:rsid w:val="00492AE6"/>
    <w:rsid w:val="004A3264"/>
    <w:rsid w:val="004B05C1"/>
    <w:rsid w:val="004B6AB8"/>
    <w:rsid w:val="004C2235"/>
    <w:rsid w:val="004C561D"/>
    <w:rsid w:val="004D5646"/>
    <w:rsid w:val="004D7688"/>
    <w:rsid w:val="004E09A7"/>
    <w:rsid w:val="004E30CC"/>
    <w:rsid w:val="004E7BFE"/>
    <w:rsid w:val="004F0479"/>
    <w:rsid w:val="004F33A8"/>
    <w:rsid w:val="004F4AA6"/>
    <w:rsid w:val="004F560A"/>
    <w:rsid w:val="004F5BB5"/>
    <w:rsid w:val="00502127"/>
    <w:rsid w:val="00503E62"/>
    <w:rsid w:val="005102AB"/>
    <w:rsid w:val="00510BCE"/>
    <w:rsid w:val="005145C4"/>
    <w:rsid w:val="00517F31"/>
    <w:rsid w:val="00522D98"/>
    <w:rsid w:val="005268BF"/>
    <w:rsid w:val="005278D2"/>
    <w:rsid w:val="005359F0"/>
    <w:rsid w:val="0053628B"/>
    <w:rsid w:val="0054350F"/>
    <w:rsid w:val="00545945"/>
    <w:rsid w:val="0055136D"/>
    <w:rsid w:val="00560540"/>
    <w:rsid w:val="005611DF"/>
    <w:rsid w:val="0056323E"/>
    <w:rsid w:val="00564FB9"/>
    <w:rsid w:val="0057289E"/>
    <w:rsid w:val="00584DDB"/>
    <w:rsid w:val="00585FD1"/>
    <w:rsid w:val="00587CF7"/>
    <w:rsid w:val="0059001F"/>
    <w:rsid w:val="005B18FD"/>
    <w:rsid w:val="005B2F67"/>
    <w:rsid w:val="005B6E13"/>
    <w:rsid w:val="005C5D99"/>
    <w:rsid w:val="005E3F3F"/>
    <w:rsid w:val="005E5356"/>
    <w:rsid w:val="005F0B50"/>
    <w:rsid w:val="005F2369"/>
    <w:rsid w:val="005F38F6"/>
    <w:rsid w:val="005F3C99"/>
    <w:rsid w:val="005F4732"/>
    <w:rsid w:val="00606C45"/>
    <w:rsid w:val="00617D03"/>
    <w:rsid w:val="00617D67"/>
    <w:rsid w:val="00622053"/>
    <w:rsid w:val="00625BF6"/>
    <w:rsid w:val="006318A8"/>
    <w:rsid w:val="00634364"/>
    <w:rsid w:val="00640D91"/>
    <w:rsid w:val="006413FA"/>
    <w:rsid w:val="006463D3"/>
    <w:rsid w:val="0065066C"/>
    <w:rsid w:val="00652C34"/>
    <w:rsid w:val="00653283"/>
    <w:rsid w:val="006537FD"/>
    <w:rsid w:val="00656C46"/>
    <w:rsid w:val="00656F47"/>
    <w:rsid w:val="0065764F"/>
    <w:rsid w:val="0066217F"/>
    <w:rsid w:val="006701E1"/>
    <w:rsid w:val="00672A68"/>
    <w:rsid w:val="0068181F"/>
    <w:rsid w:val="00686F17"/>
    <w:rsid w:val="00690360"/>
    <w:rsid w:val="00690697"/>
    <w:rsid w:val="00692118"/>
    <w:rsid w:val="006A6E80"/>
    <w:rsid w:val="006B1D13"/>
    <w:rsid w:val="006B2B83"/>
    <w:rsid w:val="006C7649"/>
    <w:rsid w:val="006D01B3"/>
    <w:rsid w:val="006E0EC3"/>
    <w:rsid w:val="006E2B5F"/>
    <w:rsid w:val="006E7B4A"/>
    <w:rsid w:val="006F1FEA"/>
    <w:rsid w:val="006F3470"/>
    <w:rsid w:val="006F5E69"/>
    <w:rsid w:val="00700EB3"/>
    <w:rsid w:val="00702411"/>
    <w:rsid w:val="00710673"/>
    <w:rsid w:val="00723BDE"/>
    <w:rsid w:val="00725B2A"/>
    <w:rsid w:val="00726031"/>
    <w:rsid w:val="0072739E"/>
    <w:rsid w:val="00735FFB"/>
    <w:rsid w:val="00736ACC"/>
    <w:rsid w:val="007421F4"/>
    <w:rsid w:val="00743ABB"/>
    <w:rsid w:val="007440F7"/>
    <w:rsid w:val="0074454B"/>
    <w:rsid w:val="00750AE0"/>
    <w:rsid w:val="0076113A"/>
    <w:rsid w:val="007623D7"/>
    <w:rsid w:val="007643F0"/>
    <w:rsid w:val="00770DD9"/>
    <w:rsid w:val="00774B4C"/>
    <w:rsid w:val="0077560D"/>
    <w:rsid w:val="00783454"/>
    <w:rsid w:val="00792822"/>
    <w:rsid w:val="007935B6"/>
    <w:rsid w:val="007A1E2C"/>
    <w:rsid w:val="007A29DB"/>
    <w:rsid w:val="007B381A"/>
    <w:rsid w:val="007B47EF"/>
    <w:rsid w:val="007C3F00"/>
    <w:rsid w:val="007C67CA"/>
    <w:rsid w:val="007D2C19"/>
    <w:rsid w:val="007D41E5"/>
    <w:rsid w:val="007E0334"/>
    <w:rsid w:val="007E17AB"/>
    <w:rsid w:val="007E18D0"/>
    <w:rsid w:val="007E60B7"/>
    <w:rsid w:val="008015ED"/>
    <w:rsid w:val="0080319E"/>
    <w:rsid w:val="00804115"/>
    <w:rsid w:val="0080536E"/>
    <w:rsid w:val="008142C7"/>
    <w:rsid w:val="00825EBF"/>
    <w:rsid w:val="0082712F"/>
    <w:rsid w:val="00834088"/>
    <w:rsid w:val="0083443D"/>
    <w:rsid w:val="00837020"/>
    <w:rsid w:val="00843C1C"/>
    <w:rsid w:val="008446E6"/>
    <w:rsid w:val="00852318"/>
    <w:rsid w:val="00854106"/>
    <w:rsid w:val="00861326"/>
    <w:rsid w:val="00866D50"/>
    <w:rsid w:val="00867137"/>
    <w:rsid w:val="00871777"/>
    <w:rsid w:val="0087312F"/>
    <w:rsid w:val="00876FEF"/>
    <w:rsid w:val="008773E5"/>
    <w:rsid w:val="0088340F"/>
    <w:rsid w:val="00892B80"/>
    <w:rsid w:val="008A0665"/>
    <w:rsid w:val="008A2AB3"/>
    <w:rsid w:val="008A6BDC"/>
    <w:rsid w:val="008A7636"/>
    <w:rsid w:val="008B1BA2"/>
    <w:rsid w:val="008B7664"/>
    <w:rsid w:val="008B7E56"/>
    <w:rsid w:val="008C182C"/>
    <w:rsid w:val="008C3DEE"/>
    <w:rsid w:val="008D20CB"/>
    <w:rsid w:val="008D5099"/>
    <w:rsid w:val="008D5EF9"/>
    <w:rsid w:val="008F1E81"/>
    <w:rsid w:val="008F202F"/>
    <w:rsid w:val="008F3F34"/>
    <w:rsid w:val="00901597"/>
    <w:rsid w:val="009045AB"/>
    <w:rsid w:val="00905566"/>
    <w:rsid w:val="009067DC"/>
    <w:rsid w:val="009114B8"/>
    <w:rsid w:val="009125C0"/>
    <w:rsid w:val="00923DF7"/>
    <w:rsid w:val="009427AA"/>
    <w:rsid w:val="00951AD8"/>
    <w:rsid w:val="00951EB3"/>
    <w:rsid w:val="00951FAB"/>
    <w:rsid w:val="0097075D"/>
    <w:rsid w:val="00990617"/>
    <w:rsid w:val="00990DBB"/>
    <w:rsid w:val="00994A4F"/>
    <w:rsid w:val="00994C1F"/>
    <w:rsid w:val="009A412F"/>
    <w:rsid w:val="009A650D"/>
    <w:rsid w:val="009A74DE"/>
    <w:rsid w:val="009C3510"/>
    <w:rsid w:val="009C47DF"/>
    <w:rsid w:val="009D1809"/>
    <w:rsid w:val="009E078F"/>
    <w:rsid w:val="009E2969"/>
    <w:rsid w:val="009E2D71"/>
    <w:rsid w:val="009E4C07"/>
    <w:rsid w:val="009F0367"/>
    <w:rsid w:val="009F140E"/>
    <w:rsid w:val="00A0033E"/>
    <w:rsid w:val="00A0041E"/>
    <w:rsid w:val="00A01A7C"/>
    <w:rsid w:val="00A04746"/>
    <w:rsid w:val="00A0559B"/>
    <w:rsid w:val="00A1160B"/>
    <w:rsid w:val="00A122AB"/>
    <w:rsid w:val="00A12F71"/>
    <w:rsid w:val="00A2526F"/>
    <w:rsid w:val="00A26C2C"/>
    <w:rsid w:val="00A27E49"/>
    <w:rsid w:val="00A32892"/>
    <w:rsid w:val="00A36A8B"/>
    <w:rsid w:val="00A4261E"/>
    <w:rsid w:val="00A645E5"/>
    <w:rsid w:val="00A648C8"/>
    <w:rsid w:val="00A64B1A"/>
    <w:rsid w:val="00A65AB3"/>
    <w:rsid w:val="00A66860"/>
    <w:rsid w:val="00A72F55"/>
    <w:rsid w:val="00A74736"/>
    <w:rsid w:val="00A74C3E"/>
    <w:rsid w:val="00A74C64"/>
    <w:rsid w:val="00A879DC"/>
    <w:rsid w:val="00A87B87"/>
    <w:rsid w:val="00A93C3E"/>
    <w:rsid w:val="00A94BCC"/>
    <w:rsid w:val="00AA2167"/>
    <w:rsid w:val="00AA7CB2"/>
    <w:rsid w:val="00AB3BEE"/>
    <w:rsid w:val="00AB7AE2"/>
    <w:rsid w:val="00AC0B97"/>
    <w:rsid w:val="00AC4678"/>
    <w:rsid w:val="00AD1C1F"/>
    <w:rsid w:val="00AD639E"/>
    <w:rsid w:val="00AF49AB"/>
    <w:rsid w:val="00AF63BF"/>
    <w:rsid w:val="00AF7A75"/>
    <w:rsid w:val="00B00DE4"/>
    <w:rsid w:val="00B02355"/>
    <w:rsid w:val="00B05216"/>
    <w:rsid w:val="00B06CA5"/>
    <w:rsid w:val="00B1156A"/>
    <w:rsid w:val="00B115A2"/>
    <w:rsid w:val="00B12041"/>
    <w:rsid w:val="00B244EC"/>
    <w:rsid w:val="00B25458"/>
    <w:rsid w:val="00B26CA9"/>
    <w:rsid w:val="00B478DE"/>
    <w:rsid w:val="00B47F5A"/>
    <w:rsid w:val="00B51968"/>
    <w:rsid w:val="00B51E7D"/>
    <w:rsid w:val="00B57F6D"/>
    <w:rsid w:val="00B62B0C"/>
    <w:rsid w:val="00B66CF4"/>
    <w:rsid w:val="00B86445"/>
    <w:rsid w:val="00B86AEC"/>
    <w:rsid w:val="00B924B6"/>
    <w:rsid w:val="00BA0F24"/>
    <w:rsid w:val="00BA1C1B"/>
    <w:rsid w:val="00BA7881"/>
    <w:rsid w:val="00BB40EE"/>
    <w:rsid w:val="00BB69F3"/>
    <w:rsid w:val="00BC31CE"/>
    <w:rsid w:val="00BC52E2"/>
    <w:rsid w:val="00BD586E"/>
    <w:rsid w:val="00BE74BB"/>
    <w:rsid w:val="00BE76F0"/>
    <w:rsid w:val="00BF237F"/>
    <w:rsid w:val="00BF7140"/>
    <w:rsid w:val="00BF7940"/>
    <w:rsid w:val="00C0103F"/>
    <w:rsid w:val="00C02AE5"/>
    <w:rsid w:val="00C043B4"/>
    <w:rsid w:val="00C118DE"/>
    <w:rsid w:val="00C2085C"/>
    <w:rsid w:val="00C20D8D"/>
    <w:rsid w:val="00C27B9F"/>
    <w:rsid w:val="00C31E8E"/>
    <w:rsid w:val="00C322D8"/>
    <w:rsid w:val="00C3252D"/>
    <w:rsid w:val="00C32993"/>
    <w:rsid w:val="00C33FDA"/>
    <w:rsid w:val="00C44AD6"/>
    <w:rsid w:val="00C4688F"/>
    <w:rsid w:val="00C47057"/>
    <w:rsid w:val="00C5495A"/>
    <w:rsid w:val="00C56A2A"/>
    <w:rsid w:val="00C65F8C"/>
    <w:rsid w:val="00C721EA"/>
    <w:rsid w:val="00C73622"/>
    <w:rsid w:val="00C77664"/>
    <w:rsid w:val="00C827DA"/>
    <w:rsid w:val="00C82C04"/>
    <w:rsid w:val="00C83D74"/>
    <w:rsid w:val="00C86C16"/>
    <w:rsid w:val="00C94BF5"/>
    <w:rsid w:val="00C96750"/>
    <w:rsid w:val="00CA3D54"/>
    <w:rsid w:val="00CA62BF"/>
    <w:rsid w:val="00CB4316"/>
    <w:rsid w:val="00CC0D65"/>
    <w:rsid w:val="00CC19F8"/>
    <w:rsid w:val="00CC44C7"/>
    <w:rsid w:val="00CC76D5"/>
    <w:rsid w:val="00CC7983"/>
    <w:rsid w:val="00CD12E6"/>
    <w:rsid w:val="00CD346C"/>
    <w:rsid w:val="00CE1ED6"/>
    <w:rsid w:val="00CE3D45"/>
    <w:rsid w:val="00CE6F1B"/>
    <w:rsid w:val="00CF2F22"/>
    <w:rsid w:val="00CF7A49"/>
    <w:rsid w:val="00CF7A50"/>
    <w:rsid w:val="00D0112D"/>
    <w:rsid w:val="00D0149F"/>
    <w:rsid w:val="00D02834"/>
    <w:rsid w:val="00D06B94"/>
    <w:rsid w:val="00D15720"/>
    <w:rsid w:val="00D167D0"/>
    <w:rsid w:val="00D20DD3"/>
    <w:rsid w:val="00D235BB"/>
    <w:rsid w:val="00D3516F"/>
    <w:rsid w:val="00D36777"/>
    <w:rsid w:val="00D37335"/>
    <w:rsid w:val="00D3756D"/>
    <w:rsid w:val="00D446A8"/>
    <w:rsid w:val="00D50C76"/>
    <w:rsid w:val="00D544D1"/>
    <w:rsid w:val="00D55F96"/>
    <w:rsid w:val="00D57125"/>
    <w:rsid w:val="00D57408"/>
    <w:rsid w:val="00D624A3"/>
    <w:rsid w:val="00D62612"/>
    <w:rsid w:val="00D62F55"/>
    <w:rsid w:val="00D76CD4"/>
    <w:rsid w:val="00D77587"/>
    <w:rsid w:val="00D775D1"/>
    <w:rsid w:val="00D80621"/>
    <w:rsid w:val="00D807FA"/>
    <w:rsid w:val="00D82E42"/>
    <w:rsid w:val="00DA14F7"/>
    <w:rsid w:val="00DA3699"/>
    <w:rsid w:val="00DA3B85"/>
    <w:rsid w:val="00DB4BB7"/>
    <w:rsid w:val="00DB7D20"/>
    <w:rsid w:val="00DC6237"/>
    <w:rsid w:val="00DD3E75"/>
    <w:rsid w:val="00DE06C0"/>
    <w:rsid w:val="00DF2153"/>
    <w:rsid w:val="00DF3E05"/>
    <w:rsid w:val="00DF7D36"/>
    <w:rsid w:val="00E000B9"/>
    <w:rsid w:val="00E01EA0"/>
    <w:rsid w:val="00E121E6"/>
    <w:rsid w:val="00E14509"/>
    <w:rsid w:val="00E200CC"/>
    <w:rsid w:val="00E2229D"/>
    <w:rsid w:val="00E3588F"/>
    <w:rsid w:val="00E37723"/>
    <w:rsid w:val="00E3776E"/>
    <w:rsid w:val="00E450AD"/>
    <w:rsid w:val="00E45CC0"/>
    <w:rsid w:val="00E4728C"/>
    <w:rsid w:val="00E51BFA"/>
    <w:rsid w:val="00E56ACF"/>
    <w:rsid w:val="00E6319E"/>
    <w:rsid w:val="00E75161"/>
    <w:rsid w:val="00E753C8"/>
    <w:rsid w:val="00E77B8C"/>
    <w:rsid w:val="00E92FA3"/>
    <w:rsid w:val="00E97A4A"/>
    <w:rsid w:val="00ED12F6"/>
    <w:rsid w:val="00ED1B2C"/>
    <w:rsid w:val="00ED30D0"/>
    <w:rsid w:val="00ED327E"/>
    <w:rsid w:val="00ED498D"/>
    <w:rsid w:val="00EF336C"/>
    <w:rsid w:val="00F01AEB"/>
    <w:rsid w:val="00F13B6E"/>
    <w:rsid w:val="00F1542C"/>
    <w:rsid w:val="00F17415"/>
    <w:rsid w:val="00F224F1"/>
    <w:rsid w:val="00F23F93"/>
    <w:rsid w:val="00F267AC"/>
    <w:rsid w:val="00F26CA8"/>
    <w:rsid w:val="00F3130F"/>
    <w:rsid w:val="00F33200"/>
    <w:rsid w:val="00F33452"/>
    <w:rsid w:val="00F40AD4"/>
    <w:rsid w:val="00F46856"/>
    <w:rsid w:val="00F47020"/>
    <w:rsid w:val="00F54AA6"/>
    <w:rsid w:val="00F60F1C"/>
    <w:rsid w:val="00F70602"/>
    <w:rsid w:val="00F8107D"/>
    <w:rsid w:val="00F81F21"/>
    <w:rsid w:val="00F8317E"/>
    <w:rsid w:val="00F92297"/>
    <w:rsid w:val="00F93899"/>
    <w:rsid w:val="00F94D44"/>
    <w:rsid w:val="00FA0421"/>
    <w:rsid w:val="00FA0F2D"/>
    <w:rsid w:val="00FA5CD7"/>
    <w:rsid w:val="00FA69DC"/>
    <w:rsid w:val="00FB0DE5"/>
    <w:rsid w:val="00FB4F58"/>
    <w:rsid w:val="00FC2697"/>
    <w:rsid w:val="00FD1C48"/>
    <w:rsid w:val="00FD2E1F"/>
    <w:rsid w:val="00FD467B"/>
    <w:rsid w:val="00FE0C2F"/>
    <w:rsid w:val="00FE1267"/>
    <w:rsid w:val="00FE21E0"/>
    <w:rsid w:val="00FE260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787BA"/>
  <w15:docId w15:val="{482308D9-A3C2-4A9A-BD60-DA3EC8B4E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DD9"/>
    <w:pPr>
      <w:spacing w:after="200"/>
    </w:pPr>
    <w:rPr>
      <w:rFonts w:ascii="Verdana" w:hAnsi="Verdana"/>
      <w:sz w:val="20"/>
      <w:lang w:eastAsia="en-US"/>
    </w:rPr>
  </w:style>
  <w:style w:type="paragraph" w:styleId="Heading1">
    <w:name w:val="heading 1"/>
    <w:basedOn w:val="Normal"/>
    <w:next w:val="Normal"/>
    <w:link w:val="Heading1Char"/>
    <w:uiPriority w:val="9"/>
    <w:qFormat/>
    <w:rsid w:val="00DF2153"/>
    <w:pPr>
      <w:pageBreakBefore/>
      <w:tabs>
        <w:tab w:val="center" w:pos="4513"/>
        <w:tab w:val="right" w:pos="9026"/>
      </w:tabs>
      <w:spacing w:after="480"/>
      <w:outlineLvl w:val="0"/>
    </w:pPr>
    <w:rPr>
      <w:b/>
      <w:color w:val="4C6968" w:themeColor="text1"/>
      <w:sz w:val="50"/>
      <w:szCs w:val="24"/>
    </w:rPr>
  </w:style>
  <w:style w:type="paragraph" w:styleId="Heading2">
    <w:name w:val="heading 2"/>
    <w:basedOn w:val="Normal"/>
    <w:next w:val="Normal"/>
    <w:link w:val="Heading2Char"/>
    <w:uiPriority w:val="9"/>
    <w:qFormat/>
    <w:rsid w:val="003268F7"/>
    <w:pPr>
      <w:keepNext/>
      <w:spacing w:before="360" w:after="240"/>
      <w:outlineLvl w:val="1"/>
    </w:pPr>
    <w:rPr>
      <w:b/>
      <w:color w:val="48555E" w:themeColor="text2"/>
      <w:sz w:val="32"/>
      <w:szCs w:val="20"/>
    </w:rPr>
  </w:style>
  <w:style w:type="paragraph" w:styleId="Heading3">
    <w:name w:val="heading 3"/>
    <w:basedOn w:val="Normal"/>
    <w:next w:val="Normal"/>
    <w:link w:val="Heading3Char"/>
    <w:uiPriority w:val="9"/>
    <w:qFormat/>
    <w:rsid w:val="003268F7"/>
    <w:pPr>
      <w:keepNext/>
      <w:spacing w:before="120" w:after="120"/>
      <w:outlineLvl w:val="2"/>
    </w:pPr>
    <w:rPr>
      <w:rFonts w:cs="Arial"/>
      <w:b/>
      <w:color w:val="48555E" w:themeColor="text2"/>
      <w:sz w:val="26"/>
    </w:rPr>
  </w:style>
  <w:style w:type="paragraph" w:styleId="Heading4">
    <w:name w:val="heading 4"/>
    <w:basedOn w:val="Normal"/>
    <w:next w:val="Normal"/>
    <w:link w:val="Heading4Char"/>
    <w:uiPriority w:val="9"/>
    <w:qFormat/>
    <w:rsid w:val="003268F7"/>
    <w:pPr>
      <w:keepNext/>
      <w:spacing w:before="120"/>
      <w:outlineLvl w:val="3"/>
    </w:pPr>
    <w:rPr>
      <w:rFonts w:cs="Arial"/>
      <w:sz w:val="22"/>
    </w:rPr>
  </w:style>
  <w:style w:type="paragraph" w:styleId="Heading5">
    <w:name w:val="heading 5"/>
    <w:basedOn w:val="Normal"/>
    <w:next w:val="Normal"/>
    <w:link w:val="Heading5Char"/>
    <w:uiPriority w:val="9"/>
    <w:unhideWhenUsed/>
    <w:rsid w:val="008015ED"/>
    <w:pPr>
      <w:keepNext/>
      <w:keepLines/>
      <w:spacing w:before="40" w:after="240"/>
      <w:outlineLvl w:val="4"/>
    </w:pPr>
    <w:rPr>
      <w:rFonts w:eastAsiaTheme="majorEastAsia" w:cstheme="majorBidi"/>
      <w:i/>
      <w:color w:val="4C6968"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CA62BF"/>
    <w:rPr>
      <w:b/>
      <w:color w:val="4C6968" w:themeColor="text1"/>
      <w:sz w:val="24"/>
    </w:rPr>
  </w:style>
  <w:style w:type="character" w:customStyle="1" w:styleId="DateChar">
    <w:name w:val="Date Char"/>
    <w:basedOn w:val="DefaultParagraphFont"/>
    <w:link w:val="Date"/>
    <w:uiPriority w:val="99"/>
    <w:rsid w:val="00CA62BF"/>
    <w:rPr>
      <w:rFonts w:ascii="Verdana" w:hAnsi="Verdana"/>
      <w:b/>
      <w:color w:val="4C6968" w:themeColor="text1"/>
      <w:sz w:val="24"/>
      <w:lang w:eastAsia="en-US"/>
    </w:rPr>
  </w:style>
  <w:style w:type="paragraph" w:styleId="Footer">
    <w:name w:val="footer"/>
    <w:basedOn w:val="Normal"/>
    <w:link w:val="FooterChar"/>
    <w:uiPriority w:val="99"/>
    <w:unhideWhenUsed/>
    <w:rsid w:val="00DE06C0"/>
    <w:pPr>
      <w:tabs>
        <w:tab w:val="center" w:pos="4513"/>
        <w:tab w:val="right" w:pos="9026"/>
      </w:tabs>
      <w:spacing w:after="0"/>
    </w:pPr>
    <w:rPr>
      <w:sz w:val="16"/>
    </w:rPr>
  </w:style>
  <w:style w:type="character" w:customStyle="1" w:styleId="FooterChar">
    <w:name w:val="Footer Char"/>
    <w:basedOn w:val="DefaultParagraphFont"/>
    <w:link w:val="Footer"/>
    <w:uiPriority w:val="99"/>
    <w:rsid w:val="00DE06C0"/>
    <w:rPr>
      <w:rFonts w:ascii="Verdana" w:hAnsi="Verdana"/>
      <w:sz w:val="16"/>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numbering" w:customStyle="1" w:styleId="KeyPoints">
    <w:name w:val="Key Points"/>
    <w:basedOn w:val="NoList"/>
    <w:uiPriority w:val="99"/>
    <w:pPr>
      <w:numPr>
        <w:numId w:val="1"/>
      </w:numPr>
    </w:pPr>
  </w:style>
  <w:style w:type="paragraph" w:customStyle="1" w:styleId="1NumberedPointsStyle">
    <w:name w:val="1. Numbered Points Style"/>
    <w:basedOn w:val="Normal"/>
    <w:uiPriority w:val="99"/>
    <w:semiHidden/>
  </w:style>
  <w:style w:type="numbering" w:customStyle="1" w:styleId="BulletList">
    <w:name w:val="Bullet List"/>
    <w:uiPriority w:val="99"/>
    <w:pPr>
      <w:numPr>
        <w:numId w:val="2"/>
      </w:numPr>
    </w:pPr>
  </w:style>
  <w:style w:type="paragraph" w:customStyle="1" w:styleId="1BulletStyleList">
    <w:name w:val="1. Bullet Style List"/>
    <w:basedOn w:val="Normal"/>
    <w:uiPriority w:val="99"/>
    <w:semiHidden/>
    <w:rPr>
      <w:rFonts w:eastAsia="Times New Roman"/>
      <w:szCs w:val="20"/>
      <w:lang w:eastAsia="en-AU"/>
    </w:rPr>
  </w:style>
  <w:style w:type="character" w:customStyle="1" w:styleId="Heading1Char">
    <w:name w:val="Heading 1 Char"/>
    <w:basedOn w:val="DefaultParagraphFont"/>
    <w:link w:val="Heading1"/>
    <w:uiPriority w:val="9"/>
    <w:rsid w:val="00DF2153"/>
    <w:rPr>
      <w:rFonts w:ascii="Verdana" w:hAnsi="Verdana"/>
      <w:b/>
      <w:color w:val="4C6968" w:themeColor="text1"/>
      <w:sz w:val="50"/>
      <w:szCs w:val="24"/>
      <w:lang w:eastAsia="en-US"/>
    </w:rPr>
  </w:style>
  <w:style w:type="character" w:customStyle="1" w:styleId="Heading2Char">
    <w:name w:val="Heading 2 Char"/>
    <w:basedOn w:val="DefaultParagraphFont"/>
    <w:link w:val="Heading2"/>
    <w:uiPriority w:val="9"/>
    <w:rsid w:val="003268F7"/>
    <w:rPr>
      <w:rFonts w:ascii="Verdana" w:hAnsi="Verdana"/>
      <w:b/>
      <w:color w:val="48555E" w:themeColor="text2"/>
      <w:sz w:val="32"/>
      <w:szCs w:val="20"/>
      <w:lang w:eastAsia="en-US"/>
    </w:rPr>
  </w:style>
  <w:style w:type="character" w:customStyle="1" w:styleId="Heading3Char">
    <w:name w:val="Heading 3 Char"/>
    <w:basedOn w:val="DefaultParagraphFont"/>
    <w:link w:val="Heading3"/>
    <w:uiPriority w:val="9"/>
    <w:rsid w:val="003268F7"/>
    <w:rPr>
      <w:rFonts w:ascii="Verdana" w:hAnsi="Verdana" w:cs="Arial"/>
      <w:b/>
      <w:color w:val="48555E" w:themeColor="text2"/>
      <w:sz w:val="26"/>
      <w:lang w:eastAsia="en-US"/>
    </w:rPr>
  </w:style>
  <w:style w:type="character" w:customStyle="1" w:styleId="Heading4Char">
    <w:name w:val="Heading 4 Char"/>
    <w:basedOn w:val="DefaultParagraphFont"/>
    <w:link w:val="Heading4"/>
    <w:uiPriority w:val="9"/>
    <w:rsid w:val="003268F7"/>
    <w:rPr>
      <w:rFonts w:ascii="Verdana" w:hAnsi="Verdana" w:cs="Arial"/>
      <w:lang w:eastAsia="en-US"/>
    </w:rPr>
  </w:style>
  <w:style w:type="paragraph" w:styleId="ListBullet">
    <w:name w:val="List Bullet"/>
    <w:basedOn w:val="Normal"/>
    <w:uiPriority w:val="99"/>
    <w:unhideWhenUsed/>
    <w:qFormat/>
    <w:rsid w:val="007C3F00"/>
    <w:pPr>
      <w:numPr>
        <w:numId w:val="4"/>
      </w:numPr>
      <w:spacing w:after="120"/>
    </w:pPr>
  </w:style>
  <w:style w:type="paragraph" w:styleId="ListBullet2">
    <w:name w:val="List Bullet 2"/>
    <w:basedOn w:val="Normal"/>
    <w:uiPriority w:val="99"/>
    <w:unhideWhenUsed/>
    <w:pPr>
      <w:numPr>
        <w:ilvl w:val="1"/>
        <w:numId w:val="4"/>
      </w:numPr>
    </w:pPr>
  </w:style>
  <w:style w:type="numbering" w:customStyle="1" w:styleId="Attach">
    <w:name w:val="Attach"/>
    <w:basedOn w:val="NoList"/>
    <w:uiPriority w:val="99"/>
    <w:pPr>
      <w:numPr>
        <w:numId w:val="3"/>
      </w:numPr>
    </w:pPr>
  </w:style>
  <w:style w:type="character" w:customStyle="1" w:styleId="Heading5Char">
    <w:name w:val="Heading 5 Char"/>
    <w:basedOn w:val="DefaultParagraphFont"/>
    <w:link w:val="Heading5"/>
    <w:uiPriority w:val="9"/>
    <w:rsid w:val="008015ED"/>
    <w:rPr>
      <w:rFonts w:ascii="Verdana" w:eastAsiaTheme="majorEastAsia" w:hAnsi="Verdana" w:cstheme="majorBidi"/>
      <w:i/>
      <w:color w:val="4C6968" w:themeColor="text1"/>
      <w:sz w:val="20"/>
      <w:lang w:eastAsia="en-US"/>
    </w:rPr>
  </w:style>
  <w:style w:type="paragraph" w:styleId="ListNumber">
    <w:name w:val="List Number"/>
    <w:basedOn w:val="Normal"/>
    <w:uiPriority w:val="99"/>
    <w:qFormat/>
    <w:pPr>
      <w:spacing w:before="120" w:after="120"/>
    </w:pPr>
  </w:style>
  <w:style w:type="paragraph" w:styleId="ListNumber2">
    <w:name w:val="List Number 2"/>
    <w:basedOn w:val="Normal"/>
    <w:uiPriority w:val="99"/>
    <w:rsid w:val="00FE0C2F"/>
    <w:pPr>
      <w:spacing w:after="120"/>
    </w:pPr>
    <w:rPr>
      <w:rFonts w:cs="Segoe UI"/>
    </w:rPr>
  </w:style>
  <w:style w:type="paragraph" w:styleId="ListNumber3">
    <w:name w:val="List Number 3"/>
    <w:basedOn w:val="Normal"/>
    <w:uiPriority w:val="99"/>
    <w:rsid w:val="00FE0C2F"/>
    <w:pPr>
      <w:spacing w:after="120"/>
    </w:pPr>
    <w:rPr>
      <w:rFonts w:cs="Segoe UI"/>
    </w:rPr>
  </w:style>
  <w:style w:type="paragraph" w:styleId="Header">
    <w:name w:val="header"/>
    <w:basedOn w:val="Normal"/>
    <w:link w:val="HeaderChar"/>
    <w:uiPriority w:val="99"/>
    <w:unhideWhenUsed/>
    <w:rsid w:val="004E09A7"/>
    <w:pPr>
      <w:tabs>
        <w:tab w:val="center" w:pos="4513"/>
        <w:tab w:val="right" w:pos="9026"/>
      </w:tabs>
      <w:spacing w:after="0"/>
    </w:pPr>
  </w:style>
  <w:style w:type="character" w:customStyle="1" w:styleId="HeaderChar">
    <w:name w:val="Header Char"/>
    <w:basedOn w:val="DefaultParagraphFont"/>
    <w:link w:val="Header"/>
    <w:uiPriority w:val="99"/>
    <w:rsid w:val="004E09A7"/>
    <w:rPr>
      <w:rFonts w:ascii="Verdana" w:hAnsi="Verdana"/>
      <w:sz w:val="20"/>
      <w:lang w:eastAsia="en-US"/>
    </w:rPr>
  </w:style>
  <w:style w:type="table" w:styleId="TableGrid">
    <w:name w:val="Table Grid"/>
    <w:basedOn w:val="TableNormal"/>
    <w:uiPriority w:val="39"/>
    <w:tblPr>
      <w:tblBorders>
        <w:top w:val="single" w:sz="4" w:space="0" w:color="4C6968" w:themeColor="text1"/>
        <w:left w:val="single" w:sz="4" w:space="0" w:color="4C6968" w:themeColor="text1"/>
        <w:bottom w:val="single" w:sz="4" w:space="0" w:color="4C6968" w:themeColor="text1"/>
        <w:right w:val="single" w:sz="4" w:space="0" w:color="4C6968" w:themeColor="text1"/>
        <w:insideH w:val="single" w:sz="4" w:space="0" w:color="4C6968" w:themeColor="text1"/>
        <w:insideV w:val="single" w:sz="4" w:space="0" w:color="4C6968" w:themeColor="text1"/>
      </w:tblBorders>
    </w:tblPr>
  </w:style>
  <w:style w:type="paragraph" w:styleId="Title">
    <w:name w:val="Title"/>
    <w:basedOn w:val="Normal"/>
    <w:next w:val="Normal"/>
    <w:link w:val="TitleChar"/>
    <w:uiPriority w:val="10"/>
    <w:qFormat/>
    <w:rsid w:val="00473F5B"/>
    <w:pPr>
      <w:spacing w:after="0"/>
      <w:contextualSpacing/>
    </w:pPr>
    <w:rPr>
      <w:rFonts w:eastAsiaTheme="majorEastAsia" w:cstheme="majorBidi"/>
      <w:b/>
      <w:color w:val="FFFFFF"/>
      <w:spacing w:val="-10"/>
      <w:kern w:val="28"/>
      <w:sz w:val="70"/>
      <w:szCs w:val="56"/>
    </w:rPr>
  </w:style>
  <w:style w:type="character" w:customStyle="1" w:styleId="TitleChar">
    <w:name w:val="Title Char"/>
    <w:basedOn w:val="DefaultParagraphFont"/>
    <w:link w:val="Title"/>
    <w:uiPriority w:val="10"/>
    <w:rsid w:val="00473F5B"/>
    <w:rPr>
      <w:rFonts w:ascii="Verdana" w:eastAsiaTheme="majorEastAsia" w:hAnsi="Verdana" w:cstheme="majorBidi"/>
      <w:b/>
      <w:color w:val="FFFFFF"/>
      <w:spacing w:val="-10"/>
      <w:kern w:val="28"/>
      <w:sz w:val="70"/>
      <w:szCs w:val="56"/>
      <w:lang w:eastAsia="en-US"/>
    </w:rPr>
  </w:style>
  <w:style w:type="character" w:styleId="CommentReference">
    <w:name w:val="annotation reference"/>
    <w:basedOn w:val="DefaultParagraphFont"/>
    <w:uiPriority w:val="99"/>
    <w:semiHidden/>
    <w:unhideWhenUsed/>
    <w:rPr>
      <w:sz w:val="16"/>
      <w:szCs w:val="16"/>
    </w:rPr>
  </w:style>
  <w:style w:type="table" w:styleId="PlainTable1">
    <w:name w:val="Plain Table 1"/>
    <w:basedOn w:val="TableNormal"/>
    <w:uiPriority w:val="41"/>
    <w:rsid w:val="007C3F00"/>
    <w:tblPr>
      <w:tblStyleRowBandSize w:val="1"/>
      <w:tblStyleColBandSize w:val="1"/>
      <w:tblBorders>
        <w:top w:val="single" w:sz="4" w:space="0" w:color="72ADC4" w:themeColor="background1" w:themeShade="BF"/>
        <w:left w:val="single" w:sz="4" w:space="0" w:color="72ADC4" w:themeColor="background1" w:themeShade="BF"/>
        <w:bottom w:val="single" w:sz="4" w:space="0" w:color="72ADC4" w:themeColor="background1" w:themeShade="BF"/>
        <w:right w:val="single" w:sz="4" w:space="0" w:color="72ADC4" w:themeColor="background1" w:themeShade="BF"/>
        <w:insideH w:val="single" w:sz="4" w:space="0" w:color="72ADC4" w:themeColor="background1" w:themeShade="BF"/>
        <w:insideV w:val="single" w:sz="4" w:space="0" w:color="72ADC4" w:themeColor="background1" w:themeShade="BF"/>
      </w:tblBorders>
    </w:tblPr>
    <w:tblStylePr w:type="firstRow">
      <w:rPr>
        <w:b/>
        <w:bCs/>
      </w:rPr>
    </w:tblStylePr>
    <w:tblStylePr w:type="lastRow">
      <w:rPr>
        <w:b/>
        <w:bCs/>
      </w:rPr>
      <w:tblPr/>
      <w:tcPr>
        <w:tcBorders>
          <w:top w:val="double" w:sz="4" w:space="0" w:color="72ADC4" w:themeColor="background1" w:themeShade="BF"/>
        </w:tcBorders>
      </w:tcPr>
    </w:tblStylePr>
    <w:tblStylePr w:type="firstCol">
      <w:rPr>
        <w:b/>
        <w:bCs/>
      </w:rPr>
    </w:tblStylePr>
    <w:tblStylePr w:type="lastCol">
      <w:rPr>
        <w:b/>
        <w:bCs/>
      </w:rPr>
    </w:tblStylePr>
    <w:tblStylePr w:type="band1Vert">
      <w:tblPr/>
      <w:tcPr>
        <w:shd w:val="clear" w:color="auto" w:fill="ACCFDC" w:themeFill="background1" w:themeFillShade="F2"/>
      </w:tcPr>
    </w:tblStylePr>
    <w:tblStylePr w:type="band1Horz">
      <w:tblPr/>
      <w:tcPr>
        <w:shd w:val="clear" w:color="auto" w:fill="ACCFDC" w:themeFill="background1" w:themeFillShade="F2"/>
      </w:tcPr>
    </w:tblStylePr>
  </w:style>
  <w:style w:type="paragraph" w:customStyle="1" w:styleId="TableHeader">
    <w:name w:val="Table Header"/>
    <w:basedOn w:val="Normal"/>
    <w:qFormat/>
    <w:rsid w:val="003268F7"/>
    <w:pPr>
      <w:spacing w:before="120" w:after="120"/>
    </w:pPr>
    <w:rPr>
      <w:b/>
      <w:color w:val="FFFFFF"/>
    </w:rPr>
  </w:style>
  <w:style w:type="paragraph" w:styleId="CommentSubject">
    <w:name w:val="annotation subject"/>
    <w:basedOn w:val="Normal"/>
    <w:next w:val="Normal"/>
    <w:link w:val="CommentSubjectChar"/>
    <w:uiPriority w:val="99"/>
    <w:semiHidden/>
    <w:unhideWhenUsed/>
    <w:rsid w:val="00CA62BF"/>
    <w:rPr>
      <w:b/>
      <w:bCs/>
      <w:szCs w:val="20"/>
    </w:rPr>
  </w:style>
  <w:style w:type="character" w:customStyle="1" w:styleId="CommentSubjectChar">
    <w:name w:val="Comment Subject Char"/>
    <w:basedOn w:val="DefaultParagraphFont"/>
    <w:link w:val="CommentSubject"/>
    <w:uiPriority w:val="99"/>
    <w:semiHidden/>
    <w:rsid w:val="00CA62BF"/>
    <w:rPr>
      <w:rFonts w:ascii="Calibri" w:hAnsi="Calibri"/>
      <w:b/>
      <w:bCs/>
      <w:sz w:val="20"/>
      <w:szCs w:val="20"/>
      <w:lang w:eastAsia="en-U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szCs w:val="24"/>
      <w:lang w:eastAsia="en-AU"/>
    </w:rPr>
  </w:style>
  <w:style w:type="paragraph" w:customStyle="1" w:styleId="TableText">
    <w:name w:val="Table Text"/>
    <w:basedOn w:val="Normal"/>
    <w:qFormat/>
    <w:rsid w:val="003268F7"/>
    <w:pPr>
      <w:spacing w:before="120" w:after="120"/>
    </w:p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Pr>
      <w:color w:val="48545E" w:themeColor="hyperlink"/>
      <w:u w:val="single"/>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sid w:val="00AA7CB2"/>
    <w:rPr>
      <w:color w:val="FFFFFF" w:themeColor="followedHyperlink"/>
      <w:u w:val="single"/>
    </w:rPr>
  </w:style>
  <w:style w:type="character" w:styleId="UnresolvedMention">
    <w:name w:val="Unresolved Mention"/>
    <w:basedOn w:val="DefaultParagraphFont"/>
    <w:uiPriority w:val="99"/>
    <w:semiHidden/>
    <w:unhideWhenUsed/>
    <w:rsid w:val="00AA7CB2"/>
    <w:rPr>
      <w:color w:val="605E5C"/>
      <w:shd w:val="clear" w:color="auto" w:fill="E1DFDD"/>
    </w:rPr>
  </w:style>
  <w:style w:type="paragraph" w:customStyle="1" w:styleId="TableHeading">
    <w:name w:val="Table Heading"/>
    <w:basedOn w:val="Normal"/>
    <w:qFormat/>
    <w:rsid w:val="003268F7"/>
    <w:pPr>
      <w:spacing w:before="240" w:after="120"/>
    </w:pPr>
    <w:rPr>
      <w:color w:val="4C6968" w:themeColor="text1"/>
    </w:rPr>
  </w:style>
  <w:style w:type="table" w:styleId="TableGridLight">
    <w:name w:val="Grid Table Light"/>
    <w:basedOn w:val="TableNormal"/>
    <w:uiPriority w:val="40"/>
    <w:rsid w:val="003268F7"/>
    <w:rPr>
      <w:rFonts w:ascii="Verdana" w:hAnsi="Verdana"/>
      <w:sz w:val="20"/>
    </w:rPr>
    <w:tblPr>
      <w:tblBorders>
        <w:top w:val="single" w:sz="4" w:space="0" w:color="48555E" w:themeColor="text2"/>
        <w:bottom w:val="single" w:sz="4" w:space="0" w:color="48555E" w:themeColor="text2"/>
        <w:insideH w:val="single" w:sz="4" w:space="0" w:color="48555E" w:themeColor="text2"/>
      </w:tblBorders>
    </w:tblPr>
    <w:tblStylePr w:type="firstRow">
      <w:tblPr/>
      <w:tcPr>
        <w:shd w:val="clear" w:color="auto" w:fill="4C6968" w:themeFill="text1"/>
      </w:tcPr>
    </w:tblStylePr>
  </w:style>
  <w:style w:type="paragraph" w:styleId="Subtitle">
    <w:name w:val="Subtitle"/>
    <w:basedOn w:val="Normal"/>
    <w:next w:val="Normal"/>
    <w:link w:val="SubtitleChar"/>
    <w:uiPriority w:val="11"/>
    <w:unhideWhenUsed/>
    <w:qFormat/>
    <w:rsid w:val="00E56ACF"/>
    <w:pPr>
      <w:numPr>
        <w:ilvl w:val="1"/>
      </w:numPr>
      <w:spacing w:before="360" w:after="160"/>
    </w:pPr>
    <w:rPr>
      <w:rFonts w:eastAsiaTheme="minorEastAsia" w:cstheme="minorBidi"/>
      <w:color w:val="FFFFFF"/>
      <w:spacing w:val="15"/>
      <w:sz w:val="30"/>
    </w:rPr>
  </w:style>
  <w:style w:type="character" w:customStyle="1" w:styleId="SubtitleChar">
    <w:name w:val="Subtitle Char"/>
    <w:basedOn w:val="DefaultParagraphFont"/>
    <w:link w:val="Subtitle"/>
    <w:uiPriority w:val="11"/>
    <w:rsid w:val="00E56ACF"/>
    <w:rPr>
      <w:rFonts w:ascii="Verdana" w:eastAsiaTheme="minorEastAsia" w:hAnsi="Verdana" w:cstheme="minorBidi"/>
      <w:color w:val="FFFFFF"/>
      <w:spacing w:val="15"/>
      <w:sz w:val="30"/>
      <w:lang w:eastAsia="en-US"/>
    </w:rPr>
  </w:style>
  <w:style w:type="paragraph" w:customStyle="1" w:styleId="Author">
    <w:name w:val="Author"/>
    <w:basedOn w:val="Normal"/>
    <w:qFormat/>
    <w:rsid w:val="00E56ACF"/>
    <w:pPr>
      <w:spacing w:before="600" w:after="120"/>
    </w:pPr>
    <w:rPr>
      <w:color w:val="FFFFFF"/>
    </w:rPr>
  </w:style>
  <w:style w:type="paragraph" w:customStyle="1" w:styleId="IntroductionParagraph">
    <w:name w:val="Introduction Paragraph"/>
    <w:basedOn w:val="Normal"/>
    <w:qFormat/>
    <w:rsid w:val="002C07A5"/>
    <w:pPr>
      <w:spacing w:after="360"/>
    </w:pPr>
    <w:rPr>
      <w:b/>
      <w:color w:val="FFFFFF"/>
      <w:sz w:val="28"/>
    </w:rPr>
  </w:style>
  <w:style w:type="paragraph" w:customStyle="1" w:styleId="NormalWhite">
    <w:name w:val="Normal White"/>
    <w:basedOn w:val="Normal"/>
    <w:qFormat/>
    <w:rsid w:val="002C07A5"/>
    <w:rPr>
      <w:color w:val="FFFFFF"/>
    </w:rPr>
  </w:style>
  <w:style w:type="paragraph" w:customStyle="1" w:styleId="FigureHeading">
    <w:name w:val="Figure Heading"/>
    <w:basedOn w:val="TableHeading"/>
    <w:qFormat/>
    <w:rsid w:val="00142E0B"/>
  </w:style>
  <w:style w:type="paragraph" w:styleId="TOC2">
    <w:name w:val="toc 2"/>
    <w:basedOn w:val="Normal"/>
    <w:next w:val="Normal"/>
    <w:autoRedefine/>
    <w:uiPriority w:val="39"/>
    <w:unhideWhenUsed/>
    <w:rsid w:val="0066217F"/>
    <w:pPr>
      <w:tabs>
        <w:tab w:val="right" w:leader="dot" w:pos="9628"/>
      </w:tabs>
      <w:spacing w:after="100"/>
      <w:ind w:left="200"/>
    </w:pPr>
    <w:rPr>
      <w:noProof/>
    </w:rPr>
  </w:style>
  <w:style w:type="paragraph" w:styleId="TOC1">
    <w:name w:val="toc 1"/>
    <w:basedOn w:val="Normal"/>
    <w:next w:val="Normal"/>
    <w:autoRedefine/>
    <w:uiPriority w:val="39"/>
    <w:unhideWhenUsed/>
    <w:rsid w:val="001C0F11"/>
    <w:pPr>
      <w:tabs>
        <w:tab w:val="right" w:leader="dot" w:pos="9628"/>
      </w:tabs>
      <w:spacing w:before="240" w:after="100"/>
    </w:pPr>
    <w:rPr>
      <w:b/>
      <w:noProof/>
      <w:color w:val="48555E" w:themeColor="text2"/>
      <w:sz w:val="24"/>
    </w:rPr>
  </w:style>
  <w:style w:type="paragraph" w:styleId="TOC3">
    <w:name w:val="toc 3"/>
    <w:basedOn w:val="Normal"/>
    <w:next w:val="Normal"/>
    <w:autoRedefine/>
    <w:uiPriority w:val="39"/>
    <w:unhideWhenUsed/>
    <w:rsid w:val="0066217F"/>
    <w:pPr>
      <w:tabs>
        <w:tab w:val="right" w:leader="dot" w:pos="9628"/>
      </w:tabs>
      <w:spacing w:after="100"/>
      <w:ind w:left="400"/>
    </w:pPr>
    <w:rPr>
      <w:noProof/>
    </w:rPr>
  </w:style>
  <w:style w:type="paragraph" w:customStyle="1" w:styleId="AppendicesHeading1">
    <w:name w:val="Appendices Heading 1"/>
    <w:basedOn w:val="Heading1"/>
    <w:qFormat/>
    <w:rsid w:val="007935B6"/>
  </w:style>
  <w:style w:type="paragraph" w:customStyle="1" w:styleId="AppendicesHeading2">
    <w:name w:val="Appendices Heading 2"/>
    <w:basedOn w:val="Heading2"/>
    <w:qFormat/>
    <w:rsid w:val="007935B6"/>
  </w:style>
  <w:style w:type="paragraph" w:customStyle="1" w:styleId="AppendicesHeading3">
    <w:name w:val="Appendices Heading 3"/>
    <w:basedOn w:val="Heading3"/>
    <w:qFormat/>
    <w:rsid w:val="007935B6"/>
  </w:style>
  <w:style w:type="paragraph" w:customStyle="1" w:styleId="AppendicesHeading4">
    <w:name w:val="Appendices Heading 4"/>
    <w:basedOn w:val="Heading4"/>
    <w:qFormat/>
    <w:rsid w:val="007935B6"/>
  </w:style>
  <w:style w:type="paragraph" w:customStyle="1" w:styleId="AppendicesHeading5">
    <w:name w:val="Appendices Heading 5"/>
    <w:basedOn w:val="Heading5"/>
    <w:qFormat/>
    <w:rsid w:val="007935B6"/>
  </w:style>
  <w:style w:type="paragraph" w:customStyle="1" w:styleId="Instructions">
    <w:name w:val="Instructions"/>
    <w:basedOn w:val="Normal"/>
    <w:qFormat/>
    <w:rsid w:val="001C0F11"/>
    <w:pPr>
      <w:pBdr>
        <w:top w:val="single" w:sz="4" w:space="1" w:color="BCD8E3" w:themeColor="background1"/>
        <w:left w:val="single" w:sz="4" w:space="4" w:color="BCD8E3" w:themeColor="background1"/>
        <w:bottom w:val="single" w:sz="4" w:space="1" w:color="BCD8E3" w:themeColor="background1"/>
        <w:right w:val="single" w:sz="4" w:space="4" w:color="BCD8E3" w:themeColor="background1"/>
      </w:pBdr>
      <w:shd w:val="clear" w:color="auto" w:fill="BCD8E3" w:themeFill="background1"/>
      <w:ind w:left="113" w:right="113"/>
    </w:pPr>
  </w:style>
  <w:style w:type="character" w:styleId="Emphasis">
    <w:name w:val="Emphasis"/>
    <w:basedOn w:val="DefaultParagraphFont"/>
    <w:uiPriority w:val="20"/>
    <w:qFormat/>
    <w:rsid w:val="00C118DE"/>
    <w:rPr>
      <w:i/>
      <w:iCs/>
    </w:rPr>
  </w:style>
  <w:style w:type="paragraph" w:styleId="CommentText">
    <w:name w:val="annotation text"/>
    <w:basedOn w:val="Normal"/>
    <w:link w:val="CommentTextChar"/>
    <w:uiPriority w:val="99"/>
    <w:semiHidden/>
    <w:unhideWhenUsed/>
    <w:rsid w:val="00C118DE"/>
    <w:pPr>
      <w:suppressAutoHyphens/>
      <w:spacing w:before="60" w:after="60"/>
    </w:pPr>
    <w:rPr>
      <w:rFonts w:ascii="Arial" w:eastAsiaTheme="minorEastAsia" w:hAnsi="Arial" w:cstheme="minorBidi"/>
      <w:szCs w:val="20"/>
      <w:lang w:eastAsia="en-GB"/>
    </w:rPr>
  </w:style>
  <w:style w:type="character" w:customStyle="1" w:styleId="CommentTextChar">
    <w:name w:val="Comment Text Char"/>
    <w:basedOn w:val="DefaultParagraphFont"/>
    <w:link w:val="CommentText"/>
    <w:uiPriority w:val="99"/>
    <w:semiHidden/>
    <w:rsid w:val="00C118DE"/>
    <w:rPr>
      <w:rFonts w:eastAsiaTheme="minorEastAsia" w:cstheme="minorBidi"/>
      <w:sz w:val="20"/>
      <w:szCs w:val="20"/>
      <w:lang w:eastAsia="en-GB"/>
    </w:rPr>
  </w:style>
  <w:style w:type="character" w:styleId="IntenseEmphasis">
    <w:name w:val="Intense Emphasis"/>
    <w:basedOn w:val="DefaultParagraphFont"/>
    <w:uiPriority w:val="21"/>
    <w:qFormat/>
    <w:rsid w:val="00216229"/>
    <w:rPr>
      <w:i/>
      <w:iCs/>
      <w:color w:val="4C6968" w:themeColor="accent1"/>
    </w:rPr>
  </w:style>
  <w:style w:type="paragraph" w:styleId="ListParagraph">
    <w:name w:val="List Paragraph"/>
    <w:basedOn w:val="Normal"/>
    <w:uiPriority w:val="34"/>
    <w:qFormat/>
    <w:rsid w:val="00C32993"/>
    <w:pPr>
      <w:suppressAutoHyphens/>
      <w:spacing w:before="60" w:after="60" w:line="280" w:lineRule="atLeast"/>
      <w:ind w:left="720"/>
      <w:contextualSpacing/>
    </w:pPr>
    <w:rPr>
      <w:rFonts w:ascii="Arial" w:eastAsiaTheme="minorEastAsia" w:hAnsi="Arial" w:cstheme="minorBidi"/>
      <w:szCs w:val="24"/>
      <w:lang w:eastAsia="en-GB"/>
    </w:rPr>
  </w:style>
  <w:style w:type="paragraph" w:styleId="Caption">
    <w:name w:val="caption"/>
    <w:basedOn w:val="Normal"/>
    <w:next w:val="Normal"/>
    <w:uiPriority w:val="35"/>
    <w:unhideWhenUsed/>
    <w:qFormat/>
    <w:rsid w:val="00C32993"/>
    <w:pPr>
      <w:suppressAutoHyphens/>
    </w:pPr>
    <w:rPr>
      <w:rFonts w:ascii="Arial" w:eastAsiaTheme="minorEastAsia" w:hAnsi="Arial" w:cstheme="minorBidi"/>
      <w:i/>
      <w:iCs/>
      <w:color w:val="48555E" w:themeColor="text2"/>
      <w:sz w:val="18"/>
      <w:szCs w:val="18"/>
      <w:lang w:eastAsia="en-GB"/>
    </w:rPr>
  </w:style>
  <w:style w:type="paragraph" w:customStyle="1" w:styleId="BoxHeading">
    <w:name w:val="Box Heading"/>
    <w:qFormat/>
    <w:rsid w:val="005F3C99"/>
    <w:pPr>
      <w:pBdr>
        <w:top w:val="single" w:sz="8" w:space="1" w:color="DEEAF1"/>
        <w:left w:val="single" w:sz="8" w:space="4" w:color="DEEAF1"/>
        <w:bottom w:val="single" w:sz="8" w:space="1" w:color="DEEAF1"/>
        <w:right w:val="single" w:sz="8" w:space="4" w:color="DEEAF1"/>
      </w:pBdr>
      <w:shd w:val="clear" w:color="auto" w:fill="DEEAF1"/>
      <w:spacing w:before="240"/>
    </w:pPr>
    <w:rPr>
      <w:rFonts w:eastAsiaTheme="minorEastAsia" w:cstheme="minorBidi"/>
      <w:b/>
      <w:bCs/>
      <w:color w:val="48555E"/>
      <w:sz w:val="28"/>
      <w:szCs w:val="28"/>
      <w:lang w:eastAsia="en-GB"/>
    </w:rPr>
  </w:style>
  <w:style w:type="paragraph" w:customStyle="1" w:styleId="Maintext">
    <w:name w:val="Main text"/>
    <w:basedOn w:val="Normal"/>
    <w:link w:val="MaintextCharChar"/>
    <w:rsid w:val="005F3C99"/>
    <w:pPr>
      <w:spacing w:after="0"/>
    </w:pPr>
    <w:rPr>
      <w:rFonts w:ascii="Arial" w:eastAsia="Times New Roman" w:hAnsi="Arial"/>
      <w:sz w:val="22"/>
      <w:szCs w:val="24"/>
      <w:lang w:eastAsia="en-AU"/>
    </w:rPr>
  </w:style>
  <w:style w:type="character" w:customStyle="1" w:styleId="MaintextCharChar">
    <w:name w:val="Main text Char Char"/>
    <w:link w:val="Maintext"/>
    <w:rsid w:val="005F3C99"/>
    <w:rPr>
      <w:rFonts w:eastAsia="Times New Roman"/>
      <w:szCs w:val="24"/>
    </w:rPr>
  </w:style>
  <w:style w:type="character" w:customStyle="1" w:styleId="cf01">
    <w:name w:val="cf01"/>
    <w:basedOn w:val="DefaultParagraphFont"/>
    <w:rsid w:val="005F3C99"/>
    <w:rPr>
      <w:rFonts w:ascii="Segoe UI" w:hAnsi="Segoe UI" w:cs="Segoe UI" w:hint="default"/>
      <w:sz w:val="18"/>
      <w:szCs w:val="18"/>
    </w:rPr>
  </w:style>
  <w:style w:type="paragraph" w:styleId="FootnoteText">
    <w:name w:val="footnote text"/>
    <w:basedOn w:val="Normal"/>
    <w:link w:val="FootnoteTextChar"/>
    <w:uiPriority w:val="99"/>
    <w:semiHidden/>
    <w:unhideWhenUsed/>
    <w:rsid w:val="005F3C99"/>
    <w:pPr>
      <w:suppressAutoHyphens/>
      <w:spacing w:after="0"/>
    </w:pPr>
    <w:rPr>
      <w:rFonts w:ascii="Arial" w:eastAsiaTheme="minorEastAsia" w:hAnsi="Arial" w:cstheme="minorBidi"/>
      <w:szCs w:val="20"/>
      <w:lang w:eastAsia="en-GB"/>
    </w:rPr>
  </w:style>
  <w:style w:type="character" w:customStyle="1" w:styleId="FootnoteTextChar">
    <w:name w:val="Footnote Text Char"/>
    <w:basedOn w:val="DefaultParagraphFont"/>
    <w:link w:val="FootnoteText"/>
    <w:uiPriority w:val="99"/>
    <w:semiHidden/>
    <w:rsid w:val="005F3C99"/>
    <w:rPr>
      <w:rFonts w:eastAsiaTheme="minorEastAsia" w:cstheme="minorBidi"/>
      <w:sz w:val="20"/>
      <w:szCs w:val="20"/>
      <w:lang w:eastAsia="en-GB"/>
    </w:rPr>
  </w:style>
  <w:style w:type="character" w:styleId="FootnoteReference">
    <w:name w:val="footnote reference"/>
    <w:basedOn w:val="DefaultParagraphFont"/>
    <w:uiPriority w:val="99"/>
    <w:semiHidden/>
    <w:unhideWhenUsed/>
    <w:rsid w:val="005F3C99"/>
    <w:rPr>
      <w:vertAlign w:val="superscript"/>
    </w:rPr>
  </w:style>
  <w:style w:type="character" w:styleId="IntenseReference">
    <w:name w:val="Intense Reference"/>
    <w:basedOn w:val="DefaultParagraphFont"/>
    <w:uiPriority w:val="32"/>
    <w:qFormat/>
    <w:rsid w:val="00471800"/>
    <w:rPr>
      <w:b/>
      <w:bCs/>
      <w:smallCaps/>
      <w:color w:val="4C6968"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03767">
      <w:bodyDiv w:val="1"/>
      <w:marLeft w:val="0"/>
      <w:marRight w:val="0"/>
      <w:marTop w:val="0"/>
      <w:marBottom w:val="0"/>
      <w:divBdr>
        <w:top w:val="none" w:sz="0" w:space="0" w:color="auto"/>
        <w:left w:val="none" w:sz="0" w:space="0" w:color="auto"/>
        <w:bottom w:val="none" w:sz="0" w:space="0" w:color="auto"/>
        <w:right w:val="none" w:sz="0" w:space="0" w:color="auto"/>
      </w:divBdr>
      <w:divsChild>
        <w:div w:id="144397795">
          <w:marLeft w:val="0"/>
          <w:marRight w:val="0"/>
          <w:marTop w:val="0"/>
          <w:marBottom w:val="0"/>
          <w:divBdr>
            <w:top w:val="none" w:sz="0" w:space="0" w:color="auto"/>
            <w:left w:val="none" w:sz="0" w:space="0" w:color="auto"/>
            <w:bottom w:val="none" w:sz="0" w:space="0" w:color="auto"/>
            <w:right w:val="none" w:sz="0" w:space="0" w:color="auto"/>
          </w:divBdr>
          <w:divsChild>
            <w:div w:id="1157264909">
              <w:marLeft w:val="0"/>
              <w:marRight w:val="0"/>
              <w:marTop w:val="0"/>
              <w:marBottom w:val="0"/>
              <w:divBdr>
                <w:top w:val="single" w:sz="6" w:space="0" w:color="666666"/>
                <w:left w:val="single" w:sz="6" w:space="0" w:color="666666"/>
                <w:bottom w:val="single" w:sz="48" w:space="0" w:color="000000"/>
                <w:right w:val="single" w:sz="6" w:space="0" w:color="666666"/>
              </w:divBdr>
              <w:divsChild>
                <w:div w:id="562184448">
                  <w:marLeft w:val="0"/>
                  <w:marRight w:val="0"/>
                  <w:marTop w:val="0"/>
                  <w:marBottom w:val="0"/>
                  <w:divBdr>
                    <w:top w:val="none" w:sz="0" w:space="0" w:color="auto"/>
                    <w:left w:val="none" w:sz="0" w:space="0" w:color="auto"/>
                    <w:bottom w:val="none" w:sz="0" w:space="0" w:color="auto"/>
                    <w:right w:val="none" w:sz="0" w:space="0" w:color="auto"/>
                  </w:divBdr>
                  <w:divsChild>
                    <w:div w:id="629476871">
                      <w:marLeft w:val="150"/>
                      <w:marRight w:val="0"/>
                      <w:marTop w:val="150"/>
                      <w:marBottom w:val="0"/>
                      <w:divBdr>
                        <w:top w:val="none" w:sz="0" w:space="0" w:color="auto"/>
                        <w:left w:val="none" w:sz="0" w:space="0" w:color="auto"/>
                        <w:bottom w:val="none" w:sz="0" w:space="0" w:color="auto"/>
                        <w:right w:val="none" w:sz="0" w:space="0" w:color="auto"/>
                      </w:divBdr>
                      <w:divsChild>
                        <w:div w:id="805513206">
                          <w:marLeft w:val="0"/>
                          <w:marRight w:val="0"/>
                          <w:marTop w:val="0"/>
                          <w:marBottom w:val="0"/>
                          <w:divBdr>
                            <w:top w:val="none" w:sz="0" w:space="0" w:color="auto"/>
                            <w:left w:val="none" w:sz="0" w:space="0" w:color="auto"/>
                            <w:bottom w:val="none" w:sz="0" w:space="0" w:color="auto"/>
                            <w:right w:val="none" w:sz="0" w:space="0" w:color="auto"/>
                          </w:divBdr>
                          <w:divsChild>
                            <w:div w:id="1205947322">
                              <w:marLeft w:val="0"/>
                              <w:marRight w:val="0"/>
                              <w:marTop w:val="0"/>
                              <w:marBottom w:val="0"/>
                              <w:divBdr>
                                <w:top w:val="none" w:sz="0" w:space="0" w:color="auto"/>
                                <w:left w:val="none" w:sz="0" w:space="0" w:color="auto"/>
                                <w:bottom w:val="none" w:sz="0" w:space="0" w:color="auto"/>
                                <w:right w:val="none" w:sz="0" w:space="0" w:color="auto"/>
                              </w:divBdr>
                              <w:divsChild>
                                <w:div w:id="1520924222">
                                  <w:marLeft w:val="0"/>
                                  <w:marRight w:val="0"/>
                                  <w:marTop w:val="0"/>
                                  <w:marBottom w:val="0"/>
                                  <w:divBdr>
                                    <w:top w:val="none" w:sz="0" w:space="0" w:color="auto"/>
                                    <w:left w:val="none" w:sz="0" w:space="0" w:color="auto"/>
                                    <w:bottom w:val="none" w:sz="0" w:space="0" w:color="auto"/>
                                    <w:right w:val="none" w:sz="0" w:space="0" w:color="auto"/>
                                  </w:divBdr>
                                  <w:divsChild>
                                    <w:div w:id="1266616800">
                                      <w:marLeft w:val="0"/>
                                      <w:marRight w:val="0"/>
                                      <w:marTop w:val="0"/>
                                      <w:marBottom w:val="0"/>
                                      <w:divBdr>
                                        <w:top w:val="none" w:sz="0" w:space="0" w:color="auto"/>
                                        <w:left w:val="none" w:sz="0" w:space="0" w:color="auto"/>
                                        <w:bottom w:val="none" w:sz="0" w:space="0" w:color="auto"/>
                                        <w:right w:val="none" w:sz="0" w:space="0" w:color="auto"/>
                                      </w:divBdr>
                                      <w:divsChild>
                                        <w:div w:id="327951791">
                                          <w:marLeft w:val="0"/>
                                          <w:marRight w:val="0"/>
                                          <w:marTop w:val="0"/>
                                          <w:marBottom w:val="0"/>
                                          <w:divBdr>
                                            <w:top w:val="none" w:sz="0" w:space="0" w:color="auto"/>
                                            <w:left w:val="none" w:sz="0" w:space="0" w:color="auto"/>
                                            <w:bottom w:val="none" w:sz="0" w:space="0" w:color="auto"/>
                                            <w:right w:val="none" w:sz="0" w:space="0" w:color="auto"/>
                                          </w:divBdr>
                                          <w:divsChild>
                                            <w:div w:id="2080905658">
                                              <w:marLeft w:val="0"/>
                                              <w:marRight w:val="0"/>
                                              <w:marTop w:val="0"/>
                                              <w:marBottom w:val="0"/>
                                              <w:divBdr>
                                                <w:top w:val="none" w:sz="0" w:space="0" w:color="auto"/>
                                                <w:left w:val="none" w:sz="0" w:space="0" w:color="auto"/>
                                                <w:bottom w:val="none" w:sz="0" w:space="0" w:color="auto"/>
                                                <w:right w:val="none" w:sz="0" w:space="0" w:color="auto"/>
                                              </w:divBdr>
                                              <w:divsChild>
                                                <w:div w:id="20988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0452024">
      <w:bodyDiv w:val="1"/>
      <w:marLeft w:val="0"/>
      <w:marRight w:val="0"/>
      <w:marTop w:val="0"/>
      <w:marBottom w:val="0"/>
      <w:divBdr>
        <w:top w:val="none" w:sz="0" w:space="0" w:color="auto"/>
        <w:left w:val="none" w:sz="0" w:space="0" w:color="auto"/>
        <w:bottom w:val="none" w:sz="0" w:space="0" w:color="auto"/>
        <w:right w:val="none" w:sz="0" w:space="0" w:color="auto"/>
      </w:divBdr>
    </w:div>
    <w:div w:id="1315914246">
      <w:bodyDiv w:val="1"/>
      <w:marLeft w:val="0"/>
      <w:marRight w:val="0"/>
      <w:marTop w:val="0"/>
      <w:marBottom w:val="0"/>
      <w:divBdr>
        <w:top w:val="none" w:sz="0" w:space="0" w:color="auto"/>
        <w:left w:val="none" w:sz="0" w:space="0" w:color="auto"/>
        <w:bottom w:val="none" w:sz="0" w:space="0" w:color="auto"/>
        <w:right w:val="none" w:sz="0" w:space="0" w:color="auto"/>
      </w:divBdr>
    </w:div>
    <w:div w:id="1346830608">
      <w:bodyDiv w:val="1"/>
      <w:marLeft w:val="0"/>
      <w:marRight w:val="0"/>
      <w:marTop w:val="0"/>
      <w:marBottom w:val="0"/>
      <w:divBdr>
        <w:top w:val="none" w:sz="0" w:space="0" w:color="auto"/>
        <w:left w:val="none" w:sz="0" w:space="0" w:color="auto"/>
        <w:bottom w:val="none" w:sz="0" w:space="0" w:color="auto"/>
        <w:right w:val="none" w:sz="0" w:space="0" w:color="auto"/>
      </w:divBdr>
    </w:div>
    <w:div w:id="1708990622">
      <w:bodyDiv w:val="1"/>
      <w:marLeft w:val="0"/>
      <w:marRight w:val="0"/>
      <w:marTop w:val="0"/>
      <w:marBottom w:val="0"/>
      <w:divBdr>
        <w:top w:val="none" w:sz="0" w:space="0" w:color="auto"/>
        <w:left w:val="none" w:sz="0" w:space="0" w:color="auto"/>
        <w:bottom w:val="none" w:sz="0" w:space="0" w:color="auto"/>
        <w:right w:val="none" w:sz="0" w:space="0" w:color="auto"/>
      </w:divBdr>
      <w:divsChild>
        <w:div w:id="986591248">
          <w:marLeft w:val="0"/>
          <w:marRight w:val="0"/>
          <w:marTop w:val="0"/>
          <w:marBottom w:val="0"/>
          <w:divBdr>
            <w:top w:val="none" w:sz="0" w:space="0" w:color="auto"/>
            <w:left w:val="none" w:sz="0" w:space="0" w:color="auto"/>
            <w:bottom w:val="none" w:sz="0" w:space="0" w:color="auto"/>
            <w:right w:val="none" w:sz="0" w:space="0" w:color="auto"/>
          </w:divBdr>
          <w:divsChild>
            <w:div w:id="1172724320">
              <w:marLeft w:val="0"/>
              <w:marRight w:val="0"/>
              <w:marTop w:val="0"/>
              <w:marBottom w:val="0"/>
              <w:divBdr>
                <w:top w:val="single" w:sz="6" w:space="0" w:color="666666"/>
                <w:left w:val="single" w:sz="6" w:space="0" w:color="666666"/>
                <w:bottom w:val="single" w:sz="48" w:space="0" w:color="000000"/>
                <w:right w:val="single" w:sz="6" w:space="0" w:color="666666"/>
              </w:divBdr>
              <w:divsChild>
                <w:div w:id="1874033384">
                  <w:marLeft w:val="0"/>
                  <w:marRight w:val="0"/>
                  <w:marTop w:val="0"/>
                  <w:marBottom w:val="0"/>
                  <w:divBdr>
                    <w:top w:val="none" w:sz="0" w:space="0" w:color="auto"/>
                    <w:left w:val="none" w:sz="0" w:space="0" w:color="auto"/>
                    <w:bottom w:val="none" w:sz="0" w:space="0" w:color="auto"/>
                    <w:right w:val="none" w:sz="0" w:space="0" w:color="auto"/>
                  </w:divBdr>
                  <w:divsChild>
                    <w:div w:id="290744654">
                      <w:marLeft w:val="150"/>
                      <w:marRight w:val="0"/>
                      <w:marTop w:val="150"/>
                      <w:marBottom w:val="0"/>
                      <w:divBdr>
                        <w:top w:val="none" w:sz="0" w:space="0" w:color="auto"/>
                        <w:left w:val="none" w:sz="0" w:space="0" w:color="auto"/>
                        <w:bottom w:val="none" w:sz="0" w:space="0" w:color="auto"/>
                        <w:right w:val="none" w:sz="0" w:space="0" w:color="auto"/>
                      </w:divBdr>
                      <w:divsChild>
                        <w:div w:id="1945720995">
                          <w:marLeft w:val="0"/>
                          <w:marRight w:val="0"/>
                          <w:marTop w:val="0"/>
                          <w:marBottom w:val="0"/>
                          <w:divBdr>
                            <w:top w:val="none" w:sz="0" w:space="0" w:color="auto"/>
                            <w:left w:val="none" w:sz="0" w:space="0" w:color="auto"/>
                            <w:bottom w:val="none" w:sz="0" w:space="0" w:color="auto"/>
                            <w:right w:val="none" w:sz="0" w:space="0" w:color="auto"/>
                          </w:divBdr>
                          <w:divsChild>
                            <w:div w:id="572086575">
                              <w:marLeft w:val="0"/>
                              <w:marRight w:val="0"/>
                              <w:marTop w:val="0"/>
                              <w:marBottom w:val="0"/>
                              <w:divBdr>
                                <w:top w:val="none" w:sz="0" w:space="0" w:color="auto"/>
                                <w:left w:val="none" w:sz="0" w:space="0" w:color="auto"/>
                                <w:bottom w:val="none" w:sz="0" w:space="0" w:color="auto"/>
                                <w:right w:val="none" w:sz="0" w:space="0" w:color="auto"/>
                              </w:divBdr>
                              <w:divsChild>
                                <w:div w:id="143010660">
                                  <w:marLeft w:val="0"/>
                                  <w:marRight w:val="0"/>
                                  <w:marTop w:val="0"/>
                                  <w:marBottom w:val="0"/>
                                  <w:divBdr>
                                    <w:top w:val="none" w:sz="0" w:space="0" w:color="auto"/>
                                    <w:left w:val="none" w:sz="0" w:space="0" w:color="auto"/>
                                    <w:bottom w:val="none" w:sz="0" w:space="0" w:color="auto"/>
                                    <w:right w:val="none" w:sz="0" w:space="0" w:color="auto"/>
                                  </w:divBdr>
                                  <w:divsChild>
                                    <w:div w:id="499203016">
                                      <w:marLeft w:val="0"/>
                                      <w:marRight w:val="0"/>
                                      <w:marTop w:val="0"/>
                                      <w:marBottom w:val="0"/>
                                      <w:divBdr>
                                        <w:top w:val="none" w:sz="0" w:space="0" w:color="auto"/>
                                        <w:left w:val="none" w:sz="0" w:space="0" w:color="auto"/>
                                        <w:bottom w:val="none" w:sz="0" w:space="0" w:color="auto"/>
                                        <w:right w:val="none" w:sz="0" w:space="0" w:color="auto"/>
                                      </w:divBdr>
                                      <w:divsChild>
                                        <w:div w:id="485636354">
                                          <w:marLeft w:val="0"/>
                                          <w:marRight w:val="0"/>
                                          <w:marTop w:val="0"/>
                                          <w:marBottom w:val="0"/>
                                          <w:divBdr>
                                            <w:top w:val="none" w:sz="0" w:space="0" w:color="auto"/>
                                            <w:left w:val="none" w:sz="0" w:space="0" w:color="auto"/>
                                            <w:bottom w:val="none" w:sz="0" w:space="0" w:color="auto"/>
                                            <w:right w:val="none" w:sz="0" w:space="0" w:color="auto"/>
                                          </w:divBdr>
                                          <w:divsChild>
                                            <w:div w:id="200362086">
                                              <w:marLeft w:val="0"/>
                                              <w:marRight w:val="0"/>
                                              <w:marTop w:val="0"/>
                                              <w:marBottom w:val="0"/>
                                              <w:divBdr>
                                                <w:top w:val="none" w:sz="0" w:space="0" w:color="auto"/>
                                                <w:left w:val="none" w:sz="0" w:space="0" w:color="auto"/>
                                                <w:bottom w:val="none" w:sz="0" w:space="0" w:color="auto"/>
                                                <w:right w:val="none" w:sz="0" w:space="0" w:color="auto"/>
                                              </w:divBdr>
                                              <w:divsChild>
                                                <w:div w:id="21397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mailto:copyright@dcceew.gov.au" TargetMode="External"/><Relationship Id="rId17" Type="http://schemas.openxmlformats.org/officeDocument/2006/relationships/hyperlink" Target="https://www.g-mwater.com.au/water-resources/ground-water/management"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bom.gov.au/water/market/documents/AWMR2019-20.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contact@igwc.gov.au"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g-mwater.com.au/downloads/gmw/Groundwater/Katunga_WSPA/TATDOC-_3469646-v1-MAP_-_KATUNGA_WSPA_-_FOR_WEBSIT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gwc.gov.au/audits" TargetMode="External"/><Relationship Id="rId22" Type="http://schemas.openxmlformats.org/officeDocument/2006/relationships/hyperlink" Target="https://www.g-mwater.com.au/downloads/gmw/Groundwater/Katunga_WSPA/20170901_4449443-v1-KATUNGA_WATER_SUPPLY_PROTECTION_AREA_GROUNDWATER_MANAGEMENT_PLAN_-_2017.pdf"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Internal%20briefing\Internal_general_briefing_template.dotx" TargetMode="External"/></Relationships>
</file>

<file path=word/theme/theme1.xml><?xml version="1.0" encoding="utf-8"?>
<a:theme xmlns:a="http://schemas.openxmlformats.org/drawingml/2006/main" name="Office Theme">
  <a:themeElements>
    <a:clrScheme name="IGWC">
      <a:dk1>
        <a:srgbClr val="4C6968"/>
      </a:dk1>
      <a:lt1>
        <a:srgbClr val="BCD8E3"/>
      </a:lt1>
      <a:dk2>
        <a:srgbClr val="48555E"/>
      </a:dk2>
      <a:lt2>
        <a:srgbClr val="E7E6E6"/>
      </a:lt2>
      <a:accent1>
        <a:srgbClr val="4C6968"/>
      </a:accent1>
      <a:accent2>
        <a:srgbClr val="48545E"/>
      </a:accent2>
      <a:accent3>
        <a:srgbClr val="BCD7E2"/>
      </a:accent3>
      <a:accent4>
        <a:srgbClr val="6E8C81"/>
      </a:accent4>
      <a:accent5>
        <a:srgbClr val="F0C88A"/>
      </a:accent5>
      <a:accent6>
        <a:srgbClr val="CE9282"/>
      </a:accent6>
      <a:hlink>
        <a:srgbClr val="48545E"/>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5" ma:contentTypeDescription="Create a new document." ma:contentTypeScope="" ma:versionID="6e48aec5def834d40ec44ff6c92fbf08">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987a2097c9261067d7968c54a9b0e15b"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65FAA1-417C-4265-A5DE-51AEE51F93AA}">
  <ds:schemaRefs>
    <ds:schemaRef ds:uri="http://schemas.openxmlformats.org/officeDocument/2006/bibliography"/>
  </ds:schemaRefs>
</ds:datastoreItem>
</file>

<file path=customXml/itemProps2.xml><?xml version="1.0" encoding="utf-8"?>
<ds:datastoreItem xmlns:ds="http://schemas.openxmlformats.org/officeDocument/2006/customXml" ds:itemID="{9F7BC9B9-BD8E-45E6-ADB2-9C267E863BDF}">
  <ds:schemaRefs>
    <ds:schemaRef ds:uri="http://schemas.microsoft.com/sharepoint/v3/contenttype/forms"/>
  </ds:schemaRefs>
</ds:datastoreItem>
</file>

<file path=customXml/itemProps3.xml><?xml version="1.0" encoding="utf-8"?>
<ds:datastoreItem xmlns:ds="http://schemas.openxmlformats.org/officeDocument/2006/customXml" ds:itemID="{D56987FB-6E0B-4B79-9924-3654C4299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728ac-f998-415c-abee-6b046fb1441e"/>
    <ds:schemaRef ds:uri="81c01dc6-2c49-4730-b140-874c95cac377"/>
    <ds:schemaRef ds:uri="d869c146-c82e-4435-92e4-da9154226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Internal_general_briefing_template</Template>
  <TotalTime>195</TotalTime>
  <Pages>25</Pages>
  <Words>5900</Words>
  <Characters>33632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Management of Groundwater – Goulburn - Murray (Groundwater) Water Resource Plan Area</vt:lpstr>
    </vt:vector>
  </TitlesOfParts>
  <Manager/>
  <Company/>
  <LinksUpToDate>false</LinksUpToDate>
  <CharactersWithSpaces>39454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of Groundwater – Goulburn - Murray (Groundwater) Water Resource Plan Area</dc:title>
  <dc:subject>
  </dc:subject>
  <dc:creator>Inspector-General of Water Compliance</dc:creator>
  <cp:keywords>
  </cp:keywords>
  <dc:description>
  </dc:description>
  <cp:revision>108</cp:revision>
  <cp:lastPrinted>2021-12-15T06:45:00Z</cp:lastPrinted>
  <dcterms:created xsi:type="dcterms:W3CDTF">2024-04-21T23:04:00Z</dcterms:created>
  <dcterms:modified xsi:type="dcterms:W3CDTF">2024-04-22T05:49:00Z</dcterms:modified>
</cp:coreProperties>
</file>