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3CA6" w14:textId="612D53C4" w:rsidR="00C508B3" w:rsidRDefault="00577F04" w:rsidP="00C508B3">
      <w:pPr>
        <w:spacing w:after="1560"/>
      </w:pPr>
      <w:r w:rsidRPr="003A6733">
        <w:rPr>
          <w:noProof/>
        </w:rPr>
        <w:drawing>
          <wp:anchor distT="0" distB="0" distL="114300" distR="114300" simplePos="0" relativeHeight="251658240" behindDoc="1" locked="0" layoutInCell="1" allowOverlap="1" wp14:anchorId="0412D461" wp14:editId="0C260EE2">
            <wp:simplePos x="0" y="0"/>
            <wp:positionH relativeFrom="column">
              <wp:posOffset>-693822</wp:posOffset>
            </wp:positionH>
            <wp:positionV relativeFrom="paragraph">
              <wp:posOffset>-920605</wp:posOffset>
            </wp:positionV>
            <wp:extent cx="7597588" cy="10751549"/>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97588" cy="10751549"/>
                    </a:xfrm>
                    <a:prstGeom prst="rect">
                      <a:avLst/>
                    </a:prstGeom>
                  </pic:spPr>
                </pic:pic>
              </a:graphicData>
            </a:graphic>
            <wp14:sizeRelH relativeFrom="page">
              <wp14:pctWidth>0</wp14:pctWidth>
            </wp14:sizeRelH>
            <wp14:sizeRelV relativeFrom="page">
              <wp14:pctHeight>0</wp14:pctHeight>
            </wp14:sizeRelV>
          </wp:anchor>
        </w:drawing>
      </w:r>
      <w:r w:rsidR="00C508B3">
        <w:rPr>
          <w:noProof/>
        </w:rPr>
        <w:drawing>
          <wp:inline distT="0" distB="0" distL="0" distR="0" wp14:anchorId="66DB3A9E" wp14:editId="1AAB9545">
            <wp:extent cx="4118317" cy="963216"/>
            <wp:effectExtent l="0" t="0" r="0"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4118317" cy="963216"/>
                    </a:xfrm>
                    <a:prstGeom prst="rect">
                      <a:avLst/>
                    </a:prstGeom>
                  </pic:spPr>
                </pic:pic>
              </a:graphicData>
            </a:graphic>
          </wp:inline>
        </w:drawing>
      </w:r>
    </w:p>
    <w:p w14:paraId="6AC18859" w14:textId="4216415C" w:rsidR="00832172" w:rsidRPr="005F01D9" w:rsidRDefault="002712F9" w:rsidP="00832172">
      <w:pPr>
        <w:pStyle w:val="Heading1"/>
        <w:rPr>
          <w:color w:val="FFFFFF"/>
        </w:rPr>
      </w:pPr>
      <w:r>
        <w:rPr>
          <w:color w:val="FFFFFF"/>
        </w:rPr>
        <w:t>Investigation</w:t>
      </w:r>
      <w:r w:rsidR="00B87586">
        <w:rPr>
          <w:color w:val="FFFFFF"/>
        </w:rPr>
        <w:t xml:space="preserve"> – T</w:t>
      </w:r>
      <w:r>
        <w:rPr>
          <w:color w:val="FFFFFF"/>
        </w:rPr>
        <w:t>rade price</w:t>
      </w:r>
      <w:r w:rsidR="00632D0D">
        <w:rPr>
          <w:color w:val="FFFFFF"/>
        </w:rPr>
        <w:t xml:space="preserve"> </w:t>
      </w:r>
      <w:r>
        <w:rPr>
          <w:color w:val="FFFFFF"/>
        </w:rPr>
        <w:t>reportin</w:t>
      </w:r>
      <w:r w:rsidR="00632D0D">
        <w:rPr>
          <w:color w:val="FFFFFF"/>
        </w:rPr>
        <w:t>g</w:t>
      </w:r>
      <w:r>
        <w:rPr>
          <w:color w:val="FFFFFF"/>
        </w:rPr>
        <w:t xml:space="preserve"> </w:t>
      </w:r>
    </w:p>
    <w:p w14:paraId="1D989CD2" w14:textId="77777777" w:rsidR="00832172" w:rsidRPr="00826D7D" w:rsidRDefault="00832172" w:rsidP="00832172">
      <w:pPr>
        <w:pStyle w:val="Author"/>
        <w:rPr>
          <w:lang w:val="es-ES"/>
        </w:rPr>
      </w:pPr>
      <w:r w:rsidRPr="00826D7D">
        <w:rPr>
          <w:lang w:val="es-ES"/>
        </w:rPr>
        <w:t>Inspector-General of</w:t>
      </w:r>
      <w:r>
        <w:rPr>
          <w:lang w:val="es-ES"/>
        </w:rPr>
        <w:t xml:space="preserve"> </w:t>
      </w:r>
      <w:r w:rsidRPr="001906F6">
        <w:t>Water</w:t>
      </w:r>
      <w:r>
        <w:rPr>
          <w:lang w:val="es-ES"/>
        </w:rPr>
        <w:t xml:space="preserve"> </w:t>
      </w:r>
      <w:r w:rsidRPr="00832172">
        <w:t>Compliance</w:t>
      </w:r>
    </w:p>
    <w:p w14:paraId="02C4D9A4" w14:textId="77FBFCB4" w:rsidR="00832172" w:rsidRDefault="00632D0D" w:rsidP="00832172">
      <w:pPr>
        <w:pStyle w:val="Date"/>
      </w:pPr>
      <w:r>
        <w:t>October</w:t>
      </w:r>
      <w:r w:rsidR="006A1909">
        <w:t xml:space="preserve"> 2023</w:t>
      </w:r>
    </w:p>
    <w:p w14:paraId="09D5EC16" w14:textId="68823FC1" w:rsidR="00DE4F51" w:rsidRPr="00DE4F51" w:rsidRDefault="00832172" w:rsidP="00DE4F51">
      <w:pPr>
        <w:pStyle w:val="Normalsmall"/>
        <w:rPr>
          <w:rFonts w:ascii="Arial" w:hAnsi="Arial" w:cs="Arial"/>
          <w:sz w:val="20"/>
          <w:szCs w:val="20"/>
        </w:rPr>
      </w:pPr>
      <w:r>
        <w:br w:type="page"/>
      </w:r>
      <w:r w:rsidR="00DE4F51" w:rsidRPr="00DE4F51">
        <w:rPr>
          <w:rFonts w:ascii="Arial" w:hAnsi="Arial" w:cs="Arial"/>
          <w:sz w:val="20"/>
          <w:szCs w:val="20"/>
        </w:rPr>
        <w:lastRenderedPageBreak/>
        <w:t>© Commonwealth of Australia 202</w:t>
      </w:r>
      <w:r w:rsidR="008A7618">
        <w:rPr>
          <w:rFonts w:ascii="Arial" w:hAnsi="Arial" w:cs="Arial"/>
          <w:sz w:val="20"/>
          <w:szCs w:val="20"/>
        </w:rPr>
        <w:t>3</w:t>
      </w:r>
    </w:p>
    <w:p w14:paraId="6ECEBA91" w14:textId="77777777" w:rsidR="00DE4F51" w:rsidRPr="00DE4F51" w:rsidRDefault="00DE4F51" w:rsidP="00DE4F51">
      <w:pPr>
        <w:rPr>
          <w:rFonts w:cs="Arial"/>
          <w:b/>
          <w:bCs/>
          <w:szCs w:val="20"/>
        </w:rPr>
      </w:pPr>
      <w:r w:rsidRPr="00DE4F51">
        <w:rPr>
          <w:rFonts w:cs="Arial"/>
          <w:b/>
          <w:bCs/>
          <w:szCs w:val="20"/>
        </w:rPr>
        <w:t>Ownership of intellectual property rights</w:t>
      </w:r>
    </w:p>
    <w:p w14:paraId="0BD83DD2" w14:textId="77777777" w:rsidR="00DE4F51" w:rsidRPr="00DE4F51" w:rsidRDefault="00DE4F51" w:rsidP="00DE4F51">
      <w:pPr>
        <w:rPr>
          <w:rFonts w:cs="Arial"/>
          <w:szCs w:val="20"/>
        </w:rPr>
      </w:pPr>
      <w:r w:rsidRPr="00DE4F51">
        <w:rPr>
          <w:rFonts w:cs="Arial"/>
          <w:szCs w:val="20"/>
        </w:rPr>
        <w:t>Unless otherwise noted, copyright (and any other intellectual property rights) in this publication is owned by the Commonwealth of Australia (referred to as the Commonwealth).</w:t>
      </w:r>
    </w:p>
    <w:p w14:paraId="01C85F8F" w14:textId="77777777" w:rsidR="00DE4F51" w:rsidRPr="00DE4F51" w:rsidRDefault="00DE4F51" w:rsidP="00DE4F51">
      <w:pPr>
        <w:rPr>
          <w:rFonts w:cs="Arial"/>
          <w:b/>
          <w:bCs/>
          <w:szCs w:val="20"/>
        </w:rPr>
      </w:pPr>
      <w:r w:rsidRPr="00DE4F51">
        <w:rPr>
          <w:rFonts w:cs="Arial"/>
          <w:b/>
          <w:bCs/>
          <w:szCs w:val="20"/>
        </w:rPr>
        <w:t>Creative Commons licence</w:t>
      </w:r>
    </w:p>
    <w:p w14:paraId="7F06A240" w14:textId="1617C9C1" w:rsidR="00DE4F51" w:rsidRPr="00DE4F51" w:rsidRDefault="00DE4F51" w:rsidP="00DE4F51">
      <w:pPr>
        <w:rPr>
          <w:rFonts w:cs="Arial"/>
          <w:szCs w:val="20"/>
        </w:rPr>
      </w:pPr>
      <w:r w:rsidRPr="00DE4F51">
        <w:rPr>
          <w:rFonts w:cs="Arial"/>
          <w:szCs w:val="20"/>
        </w:rPr>
        <w:t xml:space="preserve">All material in this publication is licensed under a Creative Commons Attribution 4.0 International Licence except content supplied by third parties, </w:t>
      </w:r>
      <w:r w:rsidR="00366619" w:rsidRPr="00DE4F51">
        <w:rPr>
          <w:rFonts w:cs="Arial"/>
          <w:szCs w:val="20"/>
        </w:rPr>
        <w:t>logos,</w:t>
      </w:r>
      <w:r w:rsidRPr="00DE4F51">
        <w:rPr>
          <w:rFonts w:cs="Arial"/>
          <w:szCs w:val="20"/>
        </w:rPr>
        <w:t xml:space="preserve"> and the Commonwealth Coat of Arms. </w:t>
      </w:r>
    </w:p>
    <w:p w14:paraId="49C937A1" w14:textId="2998CA9B" w:rsidR="00DE4F51" w:rsidRPr="00C627C6" w:rsidRDefault="00DE4F51" w:rsidP="00DE4F51">
      <w:pPr>
        <w:rPr>
          <w:rFonts w:cs="Arial"/>
          <w:szCs w:val="20"/>
        </w:rPr>
      </w:pPr>
      <w:r w:rsidRPr="00DE4F51">
        <w:rPr>
          <w:rFonts w:cs="Arial"/>
          <w:szCs w:val="20"/>
        </w:rPr>
        <w:t xml:space="preserve">Inquiries about the licence and any use of this document should be emailed to </w:t>
      </w:r>
      <w:hyperlink r:id="rId13" w:history="1">
        <w:r w:rsidRPr="00DE4F51">
          <w:rPr>
            <w:rStyle w:val="Hyperlink"/>
            <w:rFonts w:cs="Arial"/>
            <w:szCs w:val="20"/>
          </w:rPr>
          <w:t>copyright@dcceew.gov.au</w:t>
        </w:r>
      </w:hyperlink>
      <w:r w:rsidRPr="00DE4F51">
        <w:rPr>
          <w:rFonts w:cs="Arial"/>
          <w:szCs w:val="20"/>
        </w:rPr>
        <w:t>.</w:t>
      </w:r>
    </w:p>
    <w:p w14:paraId="4767FC25" w14:textId="77777777" w:rsidR="00DE4F51" w:rsidRPr="00DE4F51" w:rsidRDefault="00DE4F51" w:rsidP="00DE4F51">
      <w:pPr>
        <w:rPr>
          <w:rFonts w:cs="Arial"/>
          <w:b/>
          <w:bCs/>
          <w:szCs w:val="20"/>
        </w:rPr>
      </w:pPr>
      <w:r w:rsidRPr="00DE4F51">
        <w:rPr>
          <w:rFonts w:cs="Arial"/>
          <w:b/>
          <w:bCs/>
          <w:noProof/>
          <w:szCs w:val="20"/>
        </w:rPr>
        <w:drawing>
          <wp:inline distT="0" distB="0" distL="0" distR="0" wp14:anchorId="11EF33C2" wp14:editId="20A158DE">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B40FD6A" w14:textId="77777777" w:rsidR="00DE4F51" w:rsidRPr="00DE4F51" w:rsidRDefault="00DE4F51" w:rsidP="00DE4F51">
      <w:pPr>
        <w:rPr>
          <w:rFonts w:cs="Arial"/>
          <w:b/>
          <w:bCs/>
          <w:szCs w:val="20"/>
        </w:rPr>
      </w:pPr>
      <w:r w:rsidRPr="00DE4F51">
        <w:rPr>
          <w:rFonts w:cs="Arial"/>
          <w:b/>
          <w:bCs/>
          <w:szCs w:val="20"/>
        </w:rPr>
        <w:t>Cataloguing data</w:t>
      </w:r>
    </w:p>
    <w:p w14:paraId="0746D3E2" w14:textId="10780136" w:rsidR="00DE4F51" w:rsidRPr="00DE4F51" w:rsidRDefault="00DE4F51" w:rsidP="00DE4F51">
      <w:pPr>
        <w:rPr>
          <w:rFonts w:cs="Arial"/>
          <w:szCs w:val="20"/>
        </w:rPr>
      </w:pPr>
      <w:r w:rsidRPr="00DE4F51">
        <w:rPr>
          <w:rFonts w:cs="Arial"/>
          <w:szCs w:val="20"/>
        </w:rPr>
        <w:t>This publication (and any material sourced from it) should be attributed as: Inspector-General of Water Compliance 202</w:t>
      </w:r>
      <w:r w:rsidR="008A7618">
        <w:rPr>
          <w:rFonts w:cs="Arial"/>
          <w:szCs w:val="20"/>
        </w:rPr>
        <w:t>3</w:t>
      </w:r>
      <w:r w:rsidRPr="00DE4F51">
        <w:rPr>
          <w:rFonts w:cs="Arial"/>
          <w:szCs w:val="20"/>
        </w:rPr>
        <w:t xml:space="preserve">, </w:t>
      </w:r>
      <w:r w:rsidR="001105F5">
        <w:rPr>
          <w:rFonts w:cs="Arial"/>
          <w:i/>
          <w:iCs/>
          <w:szCs w:val="20"/>
        </w:rPr>
        <w:t>Investigation into Trade Price Reporting</w:t>
      </w:r>
      <w:r w:rsidRPr="00DE4F51">
        <w:rPr>
          <w:rFonts w:cs="Arial"/>
          <w:szCs w:val="20"/>
        </w:rPr>
        <w:t xml:space="preserve">, the Australian Government Canberra, </w:t>
      </w:r>
      <w:r w:rsidR="00067B16">
        <w:rPr>
          <w:rFonts w:cs="Arial"/>
          <w:szCs w:val="20"/>
        </w:rPr>
        <w:t>October 2023</w:t>
      </w:r>
      <w:r w:rsidRPr="00DE4F51">
        <w:rPr>
          <w:rFonts w:cs="Arial"/>
          <w:szCs w:val="20"/>
        </w:rPr>
        <w:t>. CC BY 4.0.</w:t>
      </w:r>
    </w:p>
    <w:p w14:paraId="433B28B1" w14:textId="78DD7F6C" w:rsidR="00DE4F51" w:rsidRPr="00DE4F51" w:rsidRDefault="00DE4F51" w:rsidP="00DE4F51">
      <w:pPr>
        <w:rPr>
          <w:rFonts w:cs="Arial"/>
          <w:szCs w:val="20"/>
        </w:rPr>
      </w:pPr>
      <w:r w:rsidRPr="00DE4F51">
        <w:rPr>
          <w:rFonts w:cs="Arial"/>
          <w:szCs w:val="20"/>
        </w:rPr>
        <w:t xml:space="preserve">This publication is available at </w:t>
      </w:r>
      <w:hyperlink r:id="rId15" w:history="1">
        <w:r w:rsidRPr="00DE4F51">
          <w:rPr>
            <w:rStyle w:val="Hyperlink"/>
            <w:rFonts w:cs="Arial"/>
            <w:szCs w:val="20"/>
          </w:rPr>
          <w:t>igwc.gov.au/reviews-reports</w:t>
        </w:r>
      </w:hyperlink>
      <w:r w:rsidRPr="00DE4F51">
        <w:rPr>
          <w:rFonts w:cs="Arial"/>
          <w:szCs w:val="20"/>
        </w:rPr>
        <w:t>.</w:t>
      </w:r>
    </w:p>
    <w:p w14:paraId="4F94F2DB" w14:textId="77777777" w:rsidR="00DE4F51" w:rsidRPr="00DE4F51" w:rsidRDefault="00DE4F51" w:rsidP="00DE4F51">
      <w:pPr>
        <w:rPr>
          <w:rFonts w:cs="Arial"/>
          <w:szCs w:val="20"/>
        </w:rPr>
      </w:pPr>
      <w:r w:rsidRPr="00DE4F51">
        <w:rPr>
          <w:rFonts w:cs="Arial"/>
          <w:szCs w:val="20"/>
        </w:rPr>
        <w:t>Inspector-General of Water Compliance</w:t>
      </w:r>
    </w:p>
    <w:p w14:paraId="20358C42" w14:textId="77777777" w:rsidR="00DE4F51" w:rsidRPr="00DE4F51" w:rsidRDefault="00DE4F51" w:rsidP="00DE4F51">
      <w:pPr>
        <w:rPr>
          <w:rFonts w:cs="Arial"/>
          <w:szCs w:val="20"/>
        </w:rPr>
      </w:pPr>
      <w:r w:rsidRPr="00DE4F51">
        <w:rPr>
          <w:rFonts w:cs="Arial"/>
          <w:szCs w:val="20"/>
        </w:rPr>
        <w:t>GPO Box 3090 Canberra ACT 2601</w:t>
      </w:r>
    </w:p>
    <w:p w14:paraId="16BEB14D" w14:textId="77777777" w:rsidR="00DE4F51" w:rsidRPr="00DE4F51" w:rsidRDefault="00DE4F51" w:rsidP="00DE4F51">
      <w:pPr>
        <w:rPr>
          <w:rFonts w:cs="Arial"/>
          <w:b/>
          <w:bCs/>
          <w:szCs w:val="20"/>
        </w:rPr>
      </w:pPr>
      <w:r w:rsidRPr="00DE4F51">
        <w:rPr>
          <w:rFonts w:cs="Arial"/>
          <w:b/>
          <w:bCs/>
          <w:szCs w:val="20"/>
        </w:rPr>
        <w:t>Disclaimer</w:t>
      </w:r>
    </w:p>
    <w:p w14:paraId="2CA49DDB" w14:textId="2E8498B3" w:rsidR="00DE4F51" w:rsidRPr="00DE4F51" w:rsidRDefault="00DE4F51" w:rsidP="00DE4F51">
      <w:pPr>
        <w:rPr>
          <w:rFonts w:cs="Arial"/>
          <w:szCs w:val="20"/>
        </w:rPr>
      </w:pPr>
      <w:r w:rsidRPr="00DE4F51">
        <w:rPr>
          <w:rFonts w:cs="Arial"/>
          <w:szCs w:val="20"/>
        </w:rPr>
        <w:t xml:space="preserve">The Australian Government represented by the Inspector-General of Water Compliance, has exercised due care and skill in preparing and compiling the information and data in this publication. Notwithstanding, the Inspector-General of Water Compliance, the Australian Government’s employees disclaim all liability, including liability for negligence and for any loss, damage, injury, </w:t>
      </w:r>
      <w:r w:rsidR="00366619" w:rsidRPr="00DE4F51">
        <w:rPr>
          <w:rFonts w:cs="Arial"/>
          <w:szCs w:val="20"/>
        </w:rPr>
        <w:t>expense,</w:t>
      </w:r>
      <w:r w:rsidRPr="00DE4F51">
        <w:rPr>
          <w:rFonts w:cs="Arial"/>
          <w:szCs w:val="20"/>
        </w:rPr>
        <w:t xml:space="preserve"> or cost incurred by any person </w:t>
      </w:r>
      <w:proofErr w:type="gramStart"/>
      <w:r w:rsidRPr="00DE4F51">
        <w:rPr>
          <w:rFonts w:cs="Arial"/>
          <w:szCs w:val="20"/>
        </w:rPr>
        <w:t>as a result of</w:t>
      </w:r>
      <w:proofErr w:type="gramEnd"/>
      <w:r w:rsidRPr="00DE4F51">
        <w:rPr>
          <w:rFonts w:cs="Arial"/>
          <w:szCs w:val="20"/>
        </w:rPr>
        <w:t xml:space="preserve"> accessing, </w:t>
      </w:r>
      <w:r w:rsidR="00366619" w:rsidRPr="00DE4F51">
        <w:rPr>
          <w:rFonts w:cs="Arial"/>
          <w:szCs w:val="20"/>
        </w:rPr>
        <w:t>using,</w:t>
      </w:r>
      <w:r w:rsidRPr="00DE4F51">
        <w:rPr>
          <w:rFonts w:cs="Arial"/>
          <w:szCs w:val="20"/>
        </w:rPr>
        <w:t xml:space="preserve"> or relying on any of the information or data in this publication to the maximum extent permitted by law.</w:t>
      </w:r>
    </w:p>
    <w:p w14:paraId="4248ADF4" w14:textId="77777777" w:rsidR="00DE4F51" w:rsidRPr="00DE4F51" w:rsidRDefault="00DE4F51" w:rsidP="00DE4F51">
      <w:pPr>
        <w:rPr>
          <w:rFonts w:cs="Arial"/>
          <w:b/>
          <w:bCs/>
          <w:szCs w:val="20"/>
        </w:rPr>
      </w:pPr>
      <w:r w:rsidRPr="00DE4F51">
        <w:rPr>
          <w:rFonts w:cs="Arial"/>
          <w:b/>
          <w:bCs/>
          <w:szCs w:val="20"/>
        </w:rPr>
        <w:t>Acknowledgements</w:t>
      </w:r>
    </w:p>
    <w:p w14:paraId="794649D8" w14:textId="0EFA3300" w:rsidR="00DE4F51" w:rsidRPr="00DE4F51" w:rsidRDefault="00DE4F51" w:rsidP="00DE4F51">
      <w:pPr>
        <w:rPr>
          <w:rFonts w:cs="Arial"/>
          <w:szCs w:val="20"/>
        </w:rPr>
      </w:pPr>
      <w:r w:rsidRPr="00DE4F51">
        <w:rPr>
          <w:rFonts w:cs="Arial"/>
          <w:szCs w:val="20"/>
        </w:rPr>
        <w:t xml:space="preserve">The Author pays respect to the Traditional Owners and their Nations of the Murray-Darling Basin. We acknowledge their deep cultural, social, environmental, </w:t>
      </w:r>
      <w:r w:rsidR="00366619" w:rsidRPr="00DE4F51">
        <w:rPr>
          <w:rFonts w:cs="Arial"/>
          <w:szCs w:val="20"/>
        </w:rPr>
        <w:t>spiritual,</w:t>
      </w:r>
      <w:r w:rsidRPr="00DE4F51">
        <w:rPr>
          <w:rFonts w:cs="Arial"/>
          <w:szCs w:val="20"/>
        </w:rPr>
        <w:t xml:space="preserve"> and economic connection to their lands and waters.</w:t>
      </w:r>
    </w:p>
    <w:p w14:paraId="4AF7803B" w14:textId="16DC398A" w:rsidR="00DE4F51" w:rsidRPr="00DE4F51" w:rsidRDefault="00DE4F51" w:rsidP="00DE4F51">
      <w:pPr>
        <w:rPr>
          <w:rFonts w:cs="Arial"/>
          <w:b/>
          <w:bCs/>
          <w:szCs w:val="20"/>
        </w:rPr>
      </w:pPr>
      <w:r w:rsidRPr="00DE4F51">
        <w:rPr>
          <w:rFonts w:cs="Arial"/>
          <w:szCs w:val="20"/>
        </w:rPr>
        <w:t xml:space="preserve">Aboriginal people should be aware that this publication may contain images, </w:t>
      </w:r>
      <w:r w:rsidR="00366619" w:rsidRPr="00DE4F51">
        <w:rPr>
          <w:rFonts w:cs="Arial"/>
          <w:szCs w:val="20"/>
        </w:rPr>
        <w:t>names,</w:t>
      </w:r>
      <w:r w:rsidRPr="00DE4F51">
        <w:rPr>
          <w:rFonts w:cs="Arial"/>
          <w:szCs w:val="20"/>
        </w:rPr>
        <w:t xml:space="preserve"> or quotations of deceased persons.</w:t>
      </w:r>
    </w:p>
    <w:p w14:paraId="13FF261C" w14:textId="59D8AAB2" w:rsidR="00DE4F51" w:rsidRPr="00DE4F51" w:rsidRDefault="00DE4F51" w:rsidP="00DE4F51">
      <w:pPr>
        <w:rPr>
          <w:rFonts w:cs="Arial"/>
          <w:b/>
          <w:bCs/>
          <w:szCs w:val="20"/>
        </w:rPr>
      </w:pPr>
      <w:r w:rsidRPr="00DE4F51">
        <w:rPr>
          <w:rFonts w:cs="Arial"/>
          <w:b/>
          <w:bCs/>
          <w:szCs w:val="20"/>
        </w:rPr>
        <w:t>Accessibility</w:t>
      </w:r>
    </w:p>
    <w:p w14:paraId="3E65CF5F" w14:textId="7C0EF2B8" w:rsidR="00DE4F51" w:rsidRPr="00DE4F51" w:rsidRDefault="00DE4F51" w:rsidP="00DE4F51">
      <w:pPr>
        <w:rPr>
          <w:rFonts w:cs="Arial"/>
          <w:szCs w:val="20"/>
        </w:rPr>
      </w:pPr>
      <w:r w:rsidRPr="00DE4F51">
        <w:rPr>
          <w:rFonts w:cs="Arial"/>
          <w:szCs w:val="20"/>
        </w:rPr>
        <w:t xml:space="preserve">The document and information </w:t>
      </w:r>
      <w:r w:rsidR="00F03DD0" w:rsidRPr="00DE4F51">
        <w:rPr>
          <w:rFonts w:cs="Arial"/>
          <w:szCs w:val="20"/>
        </w:rPr>
        <w:t>are</w:t>
      </w:r>
      <w:r w:rsidRPr="00DE4F51">
        <w:rPr>
          <w:rFonts w:cs="Arial"/>
          <w:szCs w:val="20"/>
        </w:rPr>
        <w:t xml:space="preserve"> available in accessible formats. On some occasions the highly technical nature of the document means that we cannot make some sections fully accessible. If you encounter accessibility problems or the document is in a format that you cannot access, please contact us.</w:t>
      </w:r>
    </w:p>
    <w:p w14:paraId="0FF43E48" w14:textId="7901C503" w:rsidR="00D800BC" w:rsidRPr="00C54468" w:rsidRDefault="00D800BC" w:rsidP="00D800BC">
      <w:pPr>
        <w:rPr>
          <w:rFonts w:ascii="Cambria" w:hAnsi="Cambria"/>
        </w:rPr>
      </w:pPr>
      <w:r w:rsidRPr="00C54468">
        <w:rPr>
          <w:rFonts w:ascii="Cambria" w:hAnsi="Cambria"/>
        </w:rPr>
        <w:br w:type="page"/>
      </w:r>
    </w:p>
    <w:p w14:paraId="697E6103" w14:textId="77777777" w:rsidR="00974A68" w:rsidRDefault="00C803B1" w:rsidP="00832172">
      <w:pPr>
        <w:pStyle w:val="TOCHeading"/>
      </w:pPr>
      <w:r>
        <w:lastRenderedPageBreak/>
        <w:t>Contents</w:t>
      </w:r>
    </w:p>
    <w:p w14:paraId="49C255DC" w14:textId="7CE96214" w:rsidR="00E12ABB" w:rsidRDefault="00C508B3">
      <w:pPr>
        <w:pStyle w:val="TOC1"/>
        <w:rPr>
          <w:rFonts w:asciiTheme="minorHAnsi" w:hAnsiTheme="minorHAnsi" w:cstheme="minorBidi"/>
          <w:b w:val="0"/>
          <w:noProof/>
          <w:color w:val="auto"/>
          <w:kern w:val="2"/>
          <w:sz w:val="22"/>
          <w:szCs w:val="22"/>
          <w:lang w:val="en-AU" w:eastAsia="en-AU"/>
          <w14:ligatures w14:val="standardContextual"/>
        </w:rPr>
      </w:pPr>
      <w:r>
        <w:fldChar w:fldCharType="begin"/>
      </w:r>
      <w:r>
        <w:instrText xml:space="preserve"> TOC \h \z \u \t "Heading 2,1,Heading 3,2" </w:instrText>
      </w:r>
      <w:r>
        <w:fldChar w:fldCharType="separate"/>
      </w:r>
      <w:hyperlink w:anchor="_Toc148421499" w:history="1">
        <w:r w:rsidR="00E12ABB" w:rsidRPr="00386C53">
          <w:rPr>
            <w:rStyle w:val="Hyperlink"/>
            <w:noProof/>
          </w:rPr>
          <w:t>Summary</w:t>
        </w:r>
        <w:r w:rsidR="00E12ABB">
          <w:rPr>
            <w:noProof/>
            <w:webHidden/>
          </w:rPr>
          <w:tab/>
        </w:r>
        <w:r w:rsidR="00E12ABB">
          <w:rPr>
            <w:noProof/>
            <w:webHidden/>
          </w:rPr>
          <w:fldChar w:fldCharType="begin"/>
        </w:r>
        <w:r w:rsidR="00E12ABB">
          <w:rPr>
            <w:noProof/>
            <w:webHidden/>
          </w:rPr>
          <w:instrText xml:space="preserve"> PAGEREF _Toc148421499 \h </w:instrText>
        </w:r>
        <w:r w:rsidR="00E12ABB">
          <w:rPr>
            <w:noProof/>
            <w:webHidden/>
          </w:rPr>
        </w:r>
        <w:r w:rsidR="00E12ABB">
          <w:rPr>
            <w:noProof/>
            <w:webHidden/>
          </w:rPr>
          <w:fldChar w:fldCharType="separate"/>
        </w:r>
        <w:r w:rsidR="0078117D">
          <w:rPr>
            <w:noProof/>
            <w:webHidden/>
          </w:rPr>
          <w:t>4</w:t>
        </w:r>
        <w:r w:rsidR="00E12ABB">
          <w:rPr>
            <w:noProof/>
            <w:webHidden/>
          </w:rPr>
          <w:fldChar w:fldCharType="end"/>
        </w:r>
      </w:hyperlink>
    </w:p>
    <w:p w14:paraId="3F64AB58" w14:textId="0B163132" w:rsidR="00E12ABB" w:rsidRDefault="00095239">
      <w:pPr>
        <w:pStyle w:val="TOC2"/>
        <w:rPr>
          <w:rFonts w:asciiTheme="minorHAnsi" w:hAnsiTheme="minorHAnsi" w:cstheme="minorBidi"/>
          <w:noProof/>
          <w:color w:val="auto"/>
          <w:kern w:val="2"/>
          <w:sz w:val="22"/>
          <w:szCs w:val="22"/>
          <w:lang w:val="en-AU" w:eastAsia="en-AU"/>
          <w14:ligatures w14:val="standardContextual"/>
        </w:rPr>
      </w:pPr>
      <w:hyperlink w:anchor="_Toc148421500" w:history="1">
        <w:r w:rsidR="00E12ABB" w:rsidRPr="00386C53">
          <w:rPr>
            <w:rStyle w:val="Hyperlink"/>
            <w:noProof/>
          </w:rPr>
          <w:t>Observations</w:t>
        </w:r>
        <w:r w:rsidR="00E12ABB">
          <w:rPr>
            <w:noProof/>
            <w:webHidden/>
          </w:rPr>
          <w:tab/>
        </w:r>
        <w:r w:rsidR="00E12ABB">
          <w:rPr>
            <w:noProof/>
            <w:webHidden/>
          </w:rPr>
          <w:fldChar w:fldCharType="begin"/>
        </w:r>
        <w:r w:rsidR="00E12ABB">
          <w:rPr>
            <w:noProof/>
            <w:webHidden/>
          </w:rPr>
          <w:instrText xml:space="preserve"> PAGEREF _Toc148421500 \h </w:instrText>
        </w:r>
        <w:r w:rsidR="00E12ABB">
          <w:rPr>
            <w:noProof/>
            <w:webHidden/>
          </w:rPr>
        </w:r>
        <w:r w:rsidR="00E12ABB">
          <w:rPr>
            <w:noProof/>
            <w:webHidden/>
          </w:rPr>
          <w:fldChar w:fldCharType="separate"/>
        </w:r>
        <w:r w:rsidR="0078117D">
          <w:rPr>
            <w:noProof/>
            <w:webHidden/>
          </w:rPr>
          <w:t>5</w:t>
        </w:r>
        <w:r w:rsidR="00E12ABB">
          <w:rPr>
            <w:noProof/>
            <w:webHidden/>
          </w:rPr>
          <w:fldChar w:fldCharType="end"/>
        </w:r>
      </w:hyperlink>
    </w:p>
    <w:p w14:paraId="140E2151" w14:textId="1806F7FC" w:rsidR="00E12ABB" w:rsidRDefault="00095239">
      <w:pPr>
        <w:pStyle w:val="TOC1"/>
        <w:rPr>
          <w:rFonts w:asciiTheme="minorHAnsi" w:hAnsiTheme="minorHAnsi" w:cstheme="minorBidi"/>
          <w:b w:val="0"/>
          <w:noProof/>
          <w:color w:val="auto"/>
          <w:kern w:val="2"/>
          <w:sz w:val="22"/>
          <w:szCs w:val="22"/>
          <w:lang w:val="en-AU" w:eastAsia="en-AU"/>
          <w14:ligatures w14:val="standardContextual"/>
        </w:rPr>
      </w:pPr>
      <w:hyperlink w:anchor="_Toc148421501" w:history="1">
        <w:r w:rsidR="00E12ABB" w:rsidRPr="00386C53">
          <w:rPr>
            <w:rStyle w:val="Hyperlink"/>
            <w:noProof/>
          </w:rPr>
          <w:t>Background</w:t>
        </w:r>
        <w:r w:rsidR="00E12ABB">
          <w:rPr>
            <w:noProof/>
            <w:webHidden/>
          </w:rPr>
          <w:tab/>
        </w:r>
        <w:r w:rsidR="00E12ABB">
          <w:rPr>
            <w:noProof/>
            <w:webHidden/>
          </w:rPr>
          <w:fldChar w:fldCharType="begin"/>
        </w:r>
        <w:r w:rsidR="00E12ABB">
          <w:rPr>
            <w:noProof/>
            <w:webHidden/>
          </w:rPr>
          <w:instrText xml:space="preserve"> PAGEREF _Toc148421501 \h </w:instrText>
        </w:r>
        <w:r w:rsidR="00E12ABB">
          <w:rPr>
            <w:noProof/>
            <w:webHidden/>
          </w:rPr>
        </w:r>
        <w:r w:rsidR="00E12ABB">
          <w:rPr>
            <w:noProof/>
            <w:webHidden/>
          </w:rPr>
          <w:fldChar w:fldCharType="separate"/>
        </w:r>
        <w:r w:rsidR="0078117D">
          <w:rPr>
            <w:noProof/>
            <w:webHidden/>
          </w:rPr>
          <w:t>7</w:t>
        </w:r>
        <w:r w:rsidR="00E12ABB">
          <w:rPr>
            <w:noProof/>
            <w:webHidden/>
          </w:rPr>
          <w:fldChar w:fldCharType="end"/>
        </w:r>
      </w:hyperlink>
    </w:p>
    <w:p w14:paraId="7D20EBCD" w14:textId="44C8E2E3" w:rsidR="00E12ABB" w:rsidRDefault="00095239">
      <w:pPr>
        <w:pStyle w:val="TOC2"/>
        <w:rPr>
          <w:rFonts w:asciiTheme="minorHAnsi" w:hAnsiTheme="minorHAnsi" w:cstheme="minorBidi"/>
          <w:noProof/>
          <w:color w:val="auto"/>
          <w:kern w:val="2"/>
          <w:sz w:val="22"/>
          <w:szCs w:val="22"/>
          <w:lang w:val="en-AU" w:eastAsia="en-AU"/>
          <w14:ligatures w14:val="standardContextual"/>
        </w:rPr>
      </w:pPr>
      <w:hyperlink w:anchor="_Toc148421502" w:history="1">
        <w:r w:rsidR="00E12ABB" w:rsidRPr="00386C53">
          <w:rPr>
            <w:rStyle w:val="Hyperlink"/>
            <w:noProof/>
            <w:lang w:eastAsia="ja-JP"/>
          </w:rPr>
          <w:t>Water trade reporting</w:t>
        </w:r>
        <w:r w:rsidR="00E12ABB">
          <w:rPr>
            <w:noProof/>
            <w:webHidden/>
          </w:rPr>
          <w:tab/>
        </w:r>
        <w:r w:rsidR="00E12ABB">
          <w:rPr>
            <w:noProof/>
            <w:webHidden/>
          </w:rPr>
          <w:fldChar w:fldCharType="begin"/>
        </w:r>
        <w:r w:rsidR="00E12ABB">
          <w:rPr>
            <w:noProof/>
            <w:webHidden/>
          </w:rPr>
          <w:instrText xml:space="preserve"> PAGEREF _Toc148421502 \h </w:instrText>
        </w:r>
        <w:r w:rsidR="00E12ABB">
          <w:rPr>
            <w:noProof/>
            <w:webHidden/>
          </w:rPr>
        </w:r>
        <w:r w:rsidR="00E12ABB">
          <w:rPr>
            <w:noProof/>
            <w:webHidden/>
          </w:rPr>
          <w:fldChar w:fldCharType="separate"/>
        </w:r>
        <w:r w:rsidR="0078117D">
          <w:rPr>
            <w:noProof/>
            <w:webHidden/>
          </w:rPr>
          <w:t>7</w:t>
        </w:r>
        <w:r w:rsidR="00E12ABB">
          <w:rPr>
            <w:noProof/>
            <w:webHidden/>
          </w:rPr>
          <w:fldChar w:fldCharType="end"/>
        </w:r>
      </w:hyperlink>
    </w:p>
    <w:p w14:paraId="73030D55" w14:textId="5DC66418" w:rsidR="00E12ABB" w:rsidRDefault="00095239">
      <w:pPr>
        <w:pStyle w:val="TOC2"/>
        <w:rPr>
          <w:rFonts w:asciiTheme="minorHAnsi" w:hAnsiTheme="minorHAnsi" w:cstheme="minorBidi"/>
          <w:noProof/>
          <w:color w:val="auto"/>
          <w:kern w:val="2"/>
          <w:sz w:val="22"/>
          <w:szCs w:val="22"/>
          <w:lang w:val="en-AU" w:eastAsia="en-AU"/>
          <w14:ligatures w14:val="standardContextual"/>
        </w:rPr>
      </w:pPr>
      <w:hyperlink w:anchor="_Toc148421503" w:history="1">
        <w:r w:rsidR="00E12ABB" w:rsidRPr="00386C53">
          <w:rPr>
            <w:rStyle w:val="Hyperlink"/>
            <w:noProof/>
            <w:lang w:eastAsia="ja-JP"/>
          </w:rPr>
          <w:t>NSW water trade reporting improvements (2021)</w:t>
        </w:r>
        <w:r w:rsidR="00E12ABB">
          <w:rPr>
            <w:noProof/>
            <w:webHidden/>
          </w:rPr>
          <w:tab/>
        </w:r>
        <w:r w:rsidR="00E12ABB">
          <w:rPr>
            <w:noProof/>
            <w:webHidden/>
          </w:rPr>
          <w:fldChar w:fldCharType="begin"/>
        </w:r>
        <w:r w:rsidR="00E12ABB">
          <w:rPr>
            <w:noProof/>
            <w:webHidden/>
          </w:rPr>
          <w:instrText xml:space="preserve"> PAGEREF _Toc148421503 \h </w:instrText>
        </w:r>
        <w:r w:rsidR="00E12ABB">
          <w:rPr>
            <w:noProof/>
            <w:webHidden/>
          </w:rPr>
        </w:r>
        <w:r w:rsidR="00E12ABB">
          <w:rPr>
            <w:noProof/>
            <w:webHidden/>
          </w:rPr>
          <w:fldChar w:fldCharType="separate"/>
        </w:r>
        <w:r w:rsidR="0078117D">
          <w:rPr>
            <w:noProof/>
            <w:webHidden/>
          </w:rPr>
          <w:t>7</w:t>
        </w:r>
        <w:r w:rsidR="00E12ABB">
          <w:rPr>
            <w:noProof/>
            <w:webHidden/>
          </w:rPr>
          <w:fldChar w:fldCharType="end"/>
        </w:r>
      </w:hyperlink>
    </w:p>
    <w:p w14:paraId="57236B71" w14:textId="17BC9550" w:rsidR="00E12ABB" w:rsidRDefault="00095239">
      <w:pPr>
        <w:pStyle w:val="TOC2"/>
        <w:rPr>
          <w:rFonts w:asciiTheme="minorHAnsi" w:hAnsiTheme="minorHAnsi" w:cstheme="minorBidi"/>
          <w:noProof/>
          <w:color w:val="auto"/>
          <w:kern w:val="2"/>
          <w:sz w:val="22"/>
          <w:szCs w:val="22"/>
          <w:lang w:val="en-AU" w:eastAsia="en-AU"/>
          <w14:ligatures w14:val="standardContextual"/>
        </w:rPr>
      </w:pPr>
      <w:hyperlink w:anchor="_Toc148421504" w:history="1">
        <w:r w:rsidR="00E12ABB" w:rsidRPr="00386C53">
          <w:rPr>
            <w:rStyle w:val="Hyperlink"/>
            <w:noProof/>
            <w:lang w:eastAsia="ja-JP"/>
          </w:rPr>
          <w:t>Legislation</w:t>
        </w:r>
        <w:r w:rsidR="00E12ABB">
          <w:rPr>
            <w:noProof/>
            <w:webHidden/>
          </w:rPr>
          <w:tab/>
        </w:r>
        <w:r w:rsidR="00E12ABB">
          <w:rPr>
            <w:noProof/>
            <w:webHidden/>
          </w:rPr>
          <w:fldChar w:fldCharType="begin"/>
        </w:r>
        <w:r w:rsidR="00E12ABB">
          <w:rPr>
            <w:noProof/>
            <w:webHidden/>
          </w:rPr>
          <w:instrText xml:space="preserve"> PAGEREF _Toc148421504 \h </w:instrText>
        </w:r>
        <w:r w:rsidR="00E12ABB">
          <w:rPr>
            <w:noProof/>
            <w:webHidden/>
          </w:rPr>
        </w:r>
        <w:r w:rsidR="00E12ABB">
          <w:rPr>
            <w:noProof/>
            <w:webHidden/>
          </w:rPr>
          <w:fldChar w:fldCharType="separate"/>
        </w:r>
        <w:r w:rsidR="0078117D">
          <w:rPr>
            <w:noProof/>
            <w:webHidden/>
          </w:rPr>
          <w:t>9</w:t>
        </w:r>
        <w:r w:rsidR="00E12ABB">
          <w:rPr>
            <w:noProof/>
            <w:webHidden/>
          </w:rPr>
          <w:fldChar w:fldCharType="end"/>
        </w:r>
      </w:hyperlink>
    </w:p>
    <w:p w14:paraId="04DDA7BE" w14:textId="241ABA84" w:rsidR="00E12ABB" w:rsidRDefault="00095239">
      <w:pPr>
        <w:pStyle w:val="TOC1"/>
        <w:rPr>
          <w:rFonts w:asciiTheme="minorHAnsi" w:hAnsiTheme="minorHAnsi" w:cstheme="minorBidi"/>
          <w:b w:val="0"/>
          <w:noProof/>
          <w:color w:val="auto"/>
          <w:kern w:val="2"/>
          <w:sz w:val="22"/>
          <w:szCs w:val="22"/>
          <w:lang w:val="en-AU" w:eastAsia="en-AU"/>
          <w14:ligatures w14:val="standardContextual"/>
        </w:rPr>
      </w:pPr>
      <w:hyperlink w:anchor="_Toc148421505" w:history="1">
        <w:r w:rsidR="00E12ABB" w:rsidRPr="00386C53">
          <w:rPr>
            <w:rStyle w:val="Hyperlink"/>
            <w:noProof/>
          </w:rPr>
          <w:t>Investigation approach</w:t>
        </w:r>
        <w:r w:rsidR="00E12ABB">
          <w:rPr>
            <w:noProof/>
            <w:webHidden/>
          </w:rPr>
          <w:tab/>
        </w:r>
        <w:r w:rsidR="00E12ABB">
          <w:rPr>
            <w:noProof/>
            <w:webHidden/>
          </w:rPr>
          <w:fldChar w:fldCharType="begin"/>
        </w:r>
        <w:r w:rsidR="00E12ABB">
          <w:rPr>
            <w:noProof/>
            <w:webHidden/>
          </w:rPr>
          <w:instrText xml:space="preserve"> PAGEREF _Toc148421505 \h </w:instrText>
        </w:r>
        <w:r w:rsidR="00E12ABB">
          <w:rPr>
            <w:noProof/>
            <w:webHidden/>
          </w:rPr>
        </w:r>
        <w:r w:rsidR="00E12ABB">
          <w:rPr>
            <w:noProof/>
            <w:webHidden/>
          </w:rPr>
          <w:fldChar w:fldCharType="separate"/>
        </w:r>
        <w:r w:rsidR="0078117D">
          <w:rPr>
            <w:noProof/>
            <w:webHidden/>
          </w:rPr>
          <w:t>10</w:t>
        </w:r>
        <w:r w:rsidR="00E12ABB">
          <w:rPr>
            <w:noProof/>
            <w:webHidden/>
          </w:rPr>
          <w:fldChar w:fldCharType="end"/>
        </w:r>
      </w:hyperlink>
    </w:p>
    <w:p w14:paraId="4678E7C2" w14:textId="24A1EDCE" w:rsidR="00E12ABB" w:rsidRDefault="00095239">
      <w:pPr>
        <w:pStyle w:val="TOC2"/>
        <w:rPr>
          <w:rFonts w:asciiTheme="minorHAnsi" w:hAnsiTheme="minorHAnsi" w:cstheme="minorBidi"/>
          <w:noProof/>
          <w:color w:val="auto"/>
          <w:kern w:val="2"/>
          <w:sz w:val="22"/>
          <w:szCs w:val="22"/>
          <w:lang w:val="en-AU" w:eastAsia="en-AU"/>
          <w14:ligatures w14:val="standardContextual"/>
        </w:rPr>
      </w:pPr>
      <w:hyperlink w:anchor="_Toc148421506" w:history="1">
        <w:r w:rsidR="00E12ABB" w:rsidRPr="00386C53">
          <w:rPr>
            <w:rStyle w:val="Hyperlink"/>
            <w:noProof/>
            <w:lang w:eastAsia="ja-JP"/>
          </w:rPr>
          <w:t>Zero-dollar trades</w:t>
        </w:r>
        <w:r w:rsidR="00E12ABB">
          <w:rPr>
            <w:noProof/>
            <w:webHidden/>
          </w:rPr>
          <w:tab/>
        </w:r>
        <w:r w:rsidR="00E12ABB">
          <w:rPr>
            <w:noProof/>
            <w:webHidden/>
          </w:rPr>
          <w:fldChar w:fldCharType="begin"/>
        </w:r>
        <w:r w:rsidR="00E12ABB">
          <w:rPr>
            <w:noProof/>
            <w:webHidden/>
          </w:rPr>
          <w:instrText xml:space="preserve"> PAGEREF _Toc148421506 \h </w:instrText>
        </w:r>
        <w:r w:rsidR="00E12ABB">
          <w:rPr>
            <w:noProof/>
            <w:webHidden/>
          </w:rPr>
        </w:r>
        <w:r w:rsidR="00E12ABB">
          <w:rPr>
            <w:noProof/>
            <w:webHidden/>
          </w:rPr>
          <w:fldChar w:fldCharType="separate"/>
        </w:r>
        <w:r w:rsidR="0078117D">
          <w:rPr>
            <w:noProof/>
            <w:webHidden/>
          </w:rPr>
          <w:t>10</w:t>
        </w:r>
        <w:r w:rsidR="00E12ABB">
          <w:rPr>
            <w:noProof/>
            <w:webHidden/>
          </w:rPr>
          <w:fldChar w:fldCharType="end"/>
        </w:r>
      </w:hyperlink>
    </w:p>
    <w:p w14:paraId="275FDF1C" w14:textId="15CB95AF" w:rsidR="00E12ABB" w:rsidRDefault="00095239">
      <w:pPr>
        <w:pStyle w:val="TOC2"/>
        <w:rPr>
          <w:rFonts w:asciiTheme="minorHAnsi" w:hAnsiTheme="minorHAnsi" w:cstheme="minorBidi"/>
          <w:noProof/>
          <w:color w:val="auto"/>
          <w:kern w:val="2"/>
          <w:sz w:val="22"/>
          <w:szCs w:val="22"/>
          <w:lang w:val="en-AU" w:eastAsia="en-AU"/>
          <w14:ligatures w14:val="standardContextual"/>
        </w:rPr>
      </w:pPr>
      <w:hyperlink w:anchor="_Toc148421507" w:history="1">
        <w:r w:rsidR="00E12ABB" w:rsidRPr="00386C53">
          <w:rPr>
            <w:rStyle w:val="Hyperlink"/>
            <w:noProof/>
            <w:lang w:eastAsia="ja-JP"/>
          </w:rPr>
          <w:t>Investigatory purpose</w:t>
        </w:r>
        <w:r w:rsidR="00E12ABB">
          <w:rPr>
            <w:noProof/>
            <w:webHidden/>
          </w:rPr>
          <w:tab/>
        </w:r>
        <w:r w:rsidR="00E12ABB">
          <w:rPr>
            <w:noProof/>
            <w:webHidden/>
          </w:rPr>
          <w:fldChar w:fldCharType="begin"/>
        </w:r>
        <w:r w:rsidR="00E12ABB">
          <w:rPr>
            <w:noProof/>
            <w:webHidden/>
          </w:rPr>
          <w:instrText xml:space="preserve"> PAGEREF _Toc148421507 \h </w:instrText>
        </w:r>
        <w:r w:rsidR="00E12ABB">
          <w:rPr>
            <w:noProof/>
            <w:webHidden/>
          </w:rPr>
        </w:r>
        <w:r w:rsidR="00E12ABB">
          <w:rPr>
            <w:noProof/>
            <w:webHidden/>
          </w:rPr>
          <w:fldChar w:fldCharType="separate"/>
        </w:r>
        <w:r w:rsidR="0078117D">
          <w:rPr>
            <w:noProof/>
            <w:webHidden/>
          </w:rPr>
          <w:t>10</w:t>
        </w:r>
        <w:r w:rsidR="00E12ABB">
          <w:rPr>
            <w:noProof/>
            <w:webHidden/>
          </w:rPr>
          <w:fldChar w:fldCharType="end"/>
        </w:r>
      </w:hyperlink>
    </w:p>
    <w:p w14:paraId="23FF02A6" w14:textId="544559E0" w:rsidR="00E12ABB" w:rsidRDefault="00095239">
      <w:pPr>
        <w:pStyle w:val="TOC1"/>
        <w:rPr>
          <w:rFonts w:asciiTheme="minorHAnsi" w:hAnsiTheme="minorHAnsi" w:cstheme="minorBidi"/>
          <w:b w:val="0"/>
          <w:noProof/>
          <w:color w:val="auto"/>
          <w:kern w:val="2"/>
          <w:sz w:val="22"/>
          <w:szCs w:val="22"/>
          <w:lang w:val="en-AU" w:eastAsia="en-AU"/>
          <w14:ligatures w14:val="standardContextual"/>
        </w:rPr>
      </w:pPr>
      <w:hyperlink w:anchor="_Toc148421508" w:history="1">
        <w:r w:rsidR="00E12ABB" w:rsidRPr="00386C53">
          <w:rPr>
            <w:rStyle w:val="Hyperlink"/>
            <w:noProof/>
          </w:rPr>
          <w:t>Compliance results</w:t>
        </w:r>
        <w:r w:rsidR="00E12ABB">
          <w:rPr>
            <w:noProof/>
            <w:webHidden/>
          </w:rPr>
          <w:tab/>
        </w:r>
        <w:r w:rsidR="00E12ABB">
          <w:rPr>
            <w:noProof/>
            <w:webHidden/>
          </w:rPr>
          <w:fldChar w:fldCharType="begin"/>
        </w:r>
        <w:r w:rsidR="00E12ABB">
          <w:rPr>
            <w:noProof/>
            <w:webHidden/>
          </w:rPr>
          <w:instrText xml:space="preserve"> PAGEREF _Toc148421508 \h </w:instrText>
        </w:r>
        <w:r w:rsidR="00E12ABB">
          <w:rPr>
            <w:noProof/>
            <w:webHidden/>
          </w:rPr>
        </w:r>
        <w:r w:rsidR="00E12ABB">
          <w:rPr>
            <w:noProof/>
            <w:webHidden/>
          </w:rPr>
          <w:fldChar w:fldCharType="separate"/>
        </w:r>
        <w:r w:rsidR="0078117D">
          <w:rPr>
            <w:noProof/>
            <w:webHidden/>
          </w:rPr>
          <w:t>11</w:t>
        </w:r>
        <w:r w:rsidR="00E12ABB">
          <w:rPr>
            <w:noProof/>
            <w:webHidden/>
          </w:rPr>
          <w:fldChar w:fldCharType="end"/>
        </w:r>
      </w:hyperlink>
    </w:p>
    <w:p w14:paraId="09156D1B" w14:textId="2631EAAB" w:rsidR="00E12ABB" w:rsidRDefault="00095239">
      <w:pPr>
        <w:pStyle w:val="TOC1"/>
        <w:rPr>
          <w:rFonts w:asciiTheme="minorHAnsi" w:hAnsiTheme="minorHAnsi" w:cstheme="minorBidi"/>
          <w:b w:val="0"/>
          <w:noProof/>
          <w:color w:val="auto"/>
          <w:kern w:val="2"/>
          <w:sz w:val="22"/>
          <w:szCs w:val="22"/>
          <w:lang w:val="en-AU" w:eastAsia="en-AU"/>
          <w14:ligatures w14:val="standardContextual"/>
        </w:rPr>
      </w:pPr>
      <w:hyperlink w:anchor="_Toc148421509" w:history="1">
        <w:r w:rsidR="00E12ABB" w:rsidRPr="00386C53">
          <w:rPr>
            <w:rStyle w:val="Hyperlink"/>
            <w:noProof/>
          </w:rPr>
          <w:t>Observations</w:t>
        </w:r>
        <w:r w:rsidR="00E12ABB">
          <w:rPr>
            <w:noProof/>
            <w:webHidden/>
          </w:rPr>
          <w:tab/>
        </w:r>
        <w:r w:rsidR="00E12ABB">
          <w:rPr>
            <w:noProof/>
            <w:webHidden/>
          </w:rPr>
          <w:fldChar w:fldCharType="begin"/>
        </w:r>
        <w:r w:rsidR="00E12ABB">
          <w:rPr>
            <w:noProof/>
            <w:webHidden/>
          </w:rPr>
          <w:instrText xml:space="preserve"> PAGEREF _Toc148421509 \h </w:instrText>
        </w:r>
        <w:r w:rsidR="00E12ABB">
          <w:rPr>
            <w:noProof/>
            <w:webHidden/>
          </w:rPr>
        </w:r>
        <w:r w:rsidR="00E12ABB">
          <w:rPr>
            <w:noProof/>
            <w:webHidden/>
          </w:rPr>
          <w:fldChar w:fldCharType="separate"/>
        </w:r>
        <w:r w:rsidR="0078117D">
          <w:rPr>
            <w:noProof/>
            <w:webHidden/>
          </w:rPr>
          <w:t>12</w:t>
        </w:r>
        <w:r w:rsidR="00E12ABB">
          <w:rPr>
            <w:noProof/>
            <w:webHidden/>
          </w:rPr>
          <w:fldChar w:fldCharType="end"/>
        </w:r>
      </w:hyperlink>
    </w:p>
    <w:p w14:paraId="16074D46" w14:textId="16DB8EAB" w:rsidR="00E12ABB" w:rsidRDefault="00095239">
      <w:pPr>
        <w:pStyle w:val="TOC2"/>
        <w:rPr>
          <w:rFonts w:asciiTheme="minorHAnsi" w:hAnsiTheme="minorHAnsi" w:cstheme="minorBidi"/>
          <w:noProof/>
          <w:color w:val="auto"/>
          <w:kern w:val="2"/>
          <w:sz w:val="22"/>
          <w:szCs w:val="22"/>
          <w:lang w:val="en-AU" w:eastAsia="en-AU"/>
          <w14:ligatures w14:val="standardContextual"/>
        </w:rPr>
      </w:pPr>
      <w:hyperlink w:anchor="_Toc148421510" w:history="1">
        <w:r w:rsidR="00E12ABB" w:rsidRPr="00386C53">
          <w:rPr>
            <w:rStyle w:val="Hyperlink"/>
            <w:noProof/>
          </w:rPr>
          <w:t>Deficiencies in the breadth of offences</w:t>
        </w:r>
        <w:r w:rsidR="00E12ABB">
          <w:rPr>
            <w:noProof/>
            <w:webHidden/>
          </w:rPr>
          <w:tab/>
        </w:r>
        <w:r w:rsidR="00E12ABB">
          <w:rPr>
            <w:noProof/>
            <w:webHidden/>
          </w:rPr>
          <w:fldChar w:fldCharType="begin"/>
        </w:r>
        <w:r w:rsidR="00E12ABB">
          <w:rPr>
            <w:noProof/>
            <w:webHidden/>
          </w:rPr>
          <w:instrText xml:space="preserve"> PAGEREF _Toc148421510 \h </w:instrText>
        </w:r>
        <w:r w:rsidR="00E12ABB">
          <w:rPr>
            <w:noProof/>
            <w:webHidden/>
          </w:rPr>
        </w:r>
        <w:r w:rsidR="00E12ABB">
          <w:rPr>
            <w:noProof/>
            <w:webHidden/>
          </w:rPr>
          <w:fldChar w:fldCharType="separate"/>
        </w:r>
        <w:r w:rsidR="0078117D">
          <w:rPr>
            <w:noProof/>
            <w:webHidden/>
          </w:rPr>
          <w:t>12</w:t>
        </w:r>
        <w:r w:rsidR="00E12ABB">
          <w:rPr>
            <w:noProof/>
            <w:webHidden/>
          </w:rPr>
          <w:fldChar w:fldCharType="end"/>
        </w:r>
      </w:hyperlink>
    </w:p>
    <w:p w14:paraId="312C2D34" w14:textId="26C80B2B" w:rsidR="00E12ABB" w:rsidRDefault="00095239">
      <w:pPr>
        <w:pStyle w:val="TOC2"/>
        <w:rPr>
          <w:rFonts w:asciiTheme="minorHAnsi" w:hAnsiTheme="minorHAnsi" w:cstheme="minorBidi"/>
          <w:noProof/>
          <w:color w:val="auto"/>
          <w:kern w:val="2"/>
          <w:sz w:val="22"/>
          <w:szCs w:val="22"/>
          <w:lang w:val="en-AU" w:eastAsia="en-AU"/>
          <w14:ligatures w14:val="standardContextual"/>
        </w:rPr>
      </w:pPr>
      <w:hyperlink w:anchor="_Toc148421511" w:history="1">
        <w:r w:rsidR="00E12ABB" w:rsidRPr="00386C53">
          <w:rPr>
            <w:rStyle w:val="Hyperlink"/>
            <w:noProof/>
          </w:rPr>
          <w:t>Data transparency and integrity</w:t>
        </w:r>
        <w:r w:rsidR="00E12ABB">
          <w:rPr>
            <w:noProof/>
            <w:webHidden/>
          </w:rPr>
          <w:tab/>
        </w:r>
        <w:r w:rsidR="00E12ABB">
          <w:rPr>
            <w:noProof/>
            <w:webHidden/>
          </w:rPr>
          <w:fldChar w:fldCharType="begin"/>
        </w:r>
        <w:r w:rsidR="00E12ABB">
          <w:rPr>
            <w:noProof/>
            <w:webHidden/>
          </w:rPr>
          <w:instrText xml:space="preserve"> PAGEREF _Toc148421511 \h </w:instrText>
        </w:r>
        <w:r w:rsidR="00E12ABB">
          <w:rPr>
            <w:noProof/>
            <w:webHidden/>
          </w:rPr>
        </w:r>
        <w:r w:rsidR="00E12ABB">
          <w:rPr>
            <w:noProof/>
            <w:webHidden/>
          </w:rPr>
          <w:fldChar w:fldCharType="separate"/>
        </w:r>
        <w:r w:rsidR="0078117D">
          <w:rPr>
            <w:noProof/>
            <w:webHidden/>
          </w:rPr>
          <w:t>12</w:t>
        </w:r>
        <w:r w:rsidR="00E12ABB">
          <w:rPr>
            <w:noProof/>
            <w:webHidden/>
          </w:rPr>
          <w:fldChar w:fldCharType="end"/>
        </w:r>
      </w:hyperlink>
    </w:p>
    <w:p w14:paraId="06CEF544" w14:textId="218D1AED" w:rsidR="00E12ABB" w:rsidRDefault="00095239">
      <w:pPr>
        <w:pStyle w:val="TOC2"/>
        <w:rPr>
          <w:rFonts w:asciiTheme="minorHAnsi" w:hAnsiTheme="minorHAnsi" w:cstheme="minorBidi"/>
          <w:noProof/>
          <w:color w:val="auto"/>
          <w:kern w:val="2"/>
          <w:sz w:val="22"/>
          <w:szCs w:val="22"/>
          <w:lang w:val="en-AU" w:eastAsia="en-AU"/>
          <w14:ligatures w14:val="standardContextual"/>
        </w:rPr>
      </w:pPr>
      <w:hyperlink w:anchor="_Toc148421512" w:history="1">
        <w:r w:rsidR="00E12ABB" w:rsidRPr="00386C53">
          <w:rPr>
            <w:rStyle w:val="Hyperlink"/>
            <w:noProof/>
          </w:rPr>
          <w:t>Low regulatory bar</w:t>
        </w:r>
        <w:r w:rsidR="00E12ABB">
          <w:rPr>
            <w:noProof/>
            <w:webHidden/>
          </w:rPr>
          <w:tab/>
        </w:r>
        <w:r w:rsidR="00E12ABB">
          <w:rPr>
            <w:noProof/>
            <w:webHidden/>
          </w:rPr>
          <w:fldChar w:fldCharType="begin"/>
        </w:r>
        <w:r w:rsidR="00E12ABB">
          <w:rPr>
            <w:noProof/>
            <w:webHidden/>
          </w:rPr>
          <w:instrText xml:space="preserve"> PAGEREF _Toc148421512 \h </w:instrText>
        </w:r>
        <w:r w:rsidR="00E12ABB">
          <w:rPr>
            <w:noProof/>
            <w:webHidden/>
          </w:rPr>
        </w:r>
        <w:r w:rsidR="00E12ABB">
          <w:rPr>
            <w:noProof/>
            <w:webHidden/>
          </w:rPr>
          <w:fldChar w:fldCharType="separate"/>
        </w:r>
        <w:r w:rsidR="0078117D">
          <w:rPr>
            <w:noProof/>
            <w:webHidden/>
          </w:rPr>
          <w:t>13</w:t>
        </w:r>
        <w:r w:rsidR="00E12ABB">
          <w:rPr>
            <w:noProof/>
            <w:webHidden/>
          </w:rPr>
          <w:fldChar w:fldCharType="end"/>
        </w:r>
      </w:hyperlink>
    </w:p>
    <w:p w14:paraId="4CA3EF38" w14:textId="12894780" w:rsidR="00E12ABB" w:rsidRDefault="00095239">
      <w:pPr>
        <w:pStyle w:val="TOC1"/>
        <w:rPr>
          <w:rFonts w:asciiTheme="minorHAnsi" w:hAnsiTheme="minorHAnsi" w:cstheme="minorBidi"/>
          <w:b w:val="0"/>
          <w:noProof/>
          <w:color w:val="auto"/>
          <w:kern w:val="2"/>
          <w:sz w:val="22"/>
          <w:szCs w:val="22"/>
          <w:lang w:val="en-AU" w:eastAsia="en-AU"/>
          <w14:ligatures w14:val="standardContextual"/>
        </w:rPr>
      </w:pPr>
      <w:hyperlink w:anchor="_Toc148421513" w:history="1">
        <w:r w:rsidR="00E12ABB" w:rsidRPr="00386C53">
          <w:rPr>
            <w:rStyle w:val="Hyperlink"/>
            <w:noProof/>
          </w:rPr>
          <w:t>Glossary</w:t>
        </w:r>
        <w:r w:rsidR="00E12ABB">
          <w:rPr>
            <w:noProof/>
            <w:webHidden/>
          </w:rPr>
          <w:tab/>
        </w:r>
        <w:r w:rsidR="00E12ABB">
          <w:rPr>
            <w:noProof/>
            <w:webHidden/>
          </w:rPr>
          <w:fldChar w:fldCharType="begin"/>
        </w:r>
        <w:r w:rsidR="00E12ABB">
          <w:rPr>
            <w:noProof/>
            <w:webHidden/>
          </w:rPr>
          <w:instrText xml:space="preserve"> PAGEREF _Toc148421513 \h </w:instrText>
        </w:r>
        <w:r w:rsidR="00E12ABB">
          <w:rPr>
            <w:noProof/>
            <w:webHidden/>
          </w:rPr>
        </w:r>
        <w:r w:rsidR="00E12ABB">
          <w:rPr>
            <w:noProof/>
            <w:webHidden/>
          </w:rPr>
          <w:fldChar w:fldCharType="separate"/>
        </w:r>
        <w:r w:rsidR="0078117D">
          <w:rPr>
            <w:noProof/>
            <w:webHidden/>
          </w:rPr>
          <w:t>14</w:t>
        </w:r>
        <w:r w:rsidR="00E12ABB">
          <w:rPr>
            <w:noProof/>
            <w:webHidden/>
          </w:rPr>
          <w:fldChar w:fldCharType="end"/>
        </w:r>
      </w:hyperlink>
    </w:p>
    <w:p w14:paraId="3CB52097" w14:textId="481D160E" w:rsidR="00C508B3" w:rsidRDefault="00C508B3" w:rsidP="00C508B3">
      <w:r>
        <w:fldChar w:fldCharType="end"/>
      </w:r>
    </w:p>
    <w:p w14:paraId="2D0CD318" w14:textId="712BF6E4" w:rsidR="00F47561" w:rsidRPr="00F47561" w:rsidRDefault="00553429" w:rsidP="00553429">
      <w:pPr>
        <w:tabs>
          <w:tab w:val="left" w:pos="1240"/>
        </w:tabs>
      </w:pPr>
      <w:r>
        <w:tab/>
      </w:r>
    </w:p>
    <w:p w14:paraId="210F0098" w14:textId="77777777" w:rsidR="00F47561" w:rsidRDefault="00F47561" w:rsidP="00F47561"/>
    <w:p w14:paraId="14768FC1" w14:textId="463768A4" w:rsidR="00F47561" w:rsidRDefault="005C32F9" w:rsidP="005C32F9">
      <w:pPr>
        <w:tabs>
          <w:tab w:val="left" w:pos="7656"/>
        </w:tabs>
      </w:pPr>
      <w:r>
        <w:tab/>
      </w:r>
    </w:p>
    <w:p w14:paraId="166CB3AE" w14:textId="1F54F85D" w:rsidR="00F47561" w:rsidRPr="00F47561" w:rsidRDefault="00F47561" w:rsidP="00C37909">
      <w:pPr>
        <w:tabs>
          <w:tab w:val="center" w:pos="4873"/>
        </w:tabs>
        <w:sectPr w:rsidR="00F47561" w:rsidRPr="00F47561" w:rsidSect="007E04C8">
          <w:headerReference w:type="default" r:id="rId16"/>
          <w:footerReference w:type="default" r:id="rId17"/>
          <w:headerReference w:type="first" r:id="rId18"/>
          <w:pgSz w:w="11906" w:h="16838"/>
          <w:pgMar w:top="1440" w:right="1080" w:bottom="1440" w:left="1080" w:header="0" w:footer="720" w:gutter="0"/>
          <w:pgNumType w:fmt="lowerRoman"/>
          <w:cols w:space="720"/>
          <w:noEndnote/>
          <w:titlePg/>
          <w:docGrid w:linePitch="326"/>
        </w:sectPr>
      </w:pPr>
      <w:r>
        <w:tab/>
      </w:r>
    </w:p>
    <w:p w14:paraId="6F178CBD" w14:textId="77777777" w:rsidR="00D800BC" w:rsidRDefault="00D800BC" w:rsidP="00BC0500">
      <w:pPr>
        <w:pStyle w:val="Heading2"/>
        <w:spacing w:after="240"/>
        <w:ind w:left="720" w:hanging="720"/>
      </w:pPr>
      <w:bookmarkStart w:id="0" w:name="_Toc430782149"/>
      <w:bookmarkStart w:id="1" w:name="_Toc85185958"/>
      <w:bookmarkStart w:id="2" w:name="_Toc95225081"/>
      <w:bookmarkStart w:id="3" w:name="_Toc95225108"/>
      <w:bookmarkStart w:id="4" w:name="_Toc95225267"/>
      <w:bookmarkStart w:id="5" w:name="_Toc95225298"/>
      <w:bookmarkStart w:id="6" w:name="_Toc95225442"/>
      <w:bookmarkStart w:id="7" w:name="_Toc95228418"/>
      <w:bookmarkStart w:id="8" w:name="_Toc95228558"/>
      <w:bookmarkStart w:id="9" w:name="_Toc107499515"/>
      <w:bookmarkStart w:id="10" w:name="_Toc148421499"/>
      <w:r>
        <w:lastRenderedPageBreak/>
        <w:t>Summary</w:t>
      </w:r>
      <w:bookmarkEnd w:id="0"/>
      <w:bookmarkEnd w:id="1"/>
      <w:bookmarkEnd w:id="2"/>
      <w:bookmarkEnd w:id="3"/>
      <w:bookmarkEnd w:id="4"/>
      <w:bookmarkEnd w:id="5"/>
      <w:bookmarkEnd w:id="6"/>
      <w:bookmarkEnd w:id="7"/>
      <w:bookmarkEnd w:id="8"/>
      <w:bookmarkEnd w:id="9"/>
      <w:bookmarkEnd w:id="10"/>
    </w:p>
    <w:p w14:paraId="0DEA22C6" w14:textId="77777777" w:rsidR="00D84F32" w:rsidRDefault="00CB7FCA" w:rsidP="00672122">
      <w:pPr>
        <w:spacing w:after="200"/>
        <w:rPr>
          <w:lang w:eastAsia="ja-JP"/>
        </w:rPr>
      </w:pPr>
      <w:r>
        <w:rPr>
          <w:lang w:eastAsia="ja-JP"/>
        </w:rPr>
        <w:t>H</w:t>
      </w:r>
      <w:r w:rsidRPr="00CB7FCA">
        <w:rPr>
          <w:lang w:eastAsia="ja-JP"/>
        </w:rPr>
        <w:t>aving clear and transparent information about water trading is important</w:t>
      </w:r>
      <w:r w:rsidR="002D2136">
        <w:rPr>
          <w:lang w:eastAsia="ja-JP"/>
        </w:rPr>
        <w:t>,</w:t>
      </w:r>
      <w:r w:rsidR="009B3E74">
        <w:rPr>
          <w:lang w:eastAsia="ja-JP"/>
        </w:rPr>
        <w:t xml:space="preserve"> it</w:t>
      </w:r>
      <w:r w:rsidR="003E449A" w:rsidRPr="003E449A">
        <w:rPr>
          <w:lang w:eastAsia="ja-JP"/>
        </w:rPr>
        <w:t xml:space="preserve"> provides clarity and transparency to people trading water</w:t>
      </w:r>
      <w:r w:rsidR="008B499C">
        <w:rPr>
          <w:lang w:eastAsia="ja-JP"/>
        </w:rPr>
        <w:t>.</w:t>
      </w:r>
      <w:r w:rsidR="0098298E">
        <w:rPr>
          <w:rStyle w:val="FootnoteReference"/>
          <w:lang w:eastAsia="ja-JP"/>
        </w:rPr>
        <w:footnoteReference w:id="2"/>
      </w:r>
      <w:r w:rsidR="008B499C">
        <w:rPr>
          <w:lang w:eastAsia="ja-JP"/>
        </w:rPr>
        <w:t xml:space="preserve"> </w:t>
      </w:r>
    </w:p>
    <w:p w14:paraId="58ECE1BD" w14:textId="77777777" w:rsidR="00DC79C4" w:rsidRDefault="003E449A" w:rsidP="00DC79C4">
      <w:pPr>
        <w:spacing w:after="200"/>
        <w:rPr>
          <w:lang w:eastAsia="ja-JP"/>
        </w:rPr>
      </w:pPr>
      <w:r w:rsidRPr="003E449A">
        <w:rPr>
          <w:lang w:eastAsia="ja-JP"/>
        </w:rPr>
        <w:t xml:space="preserve">Pricing information is </w:t>
      </w:r>
      <w:r w:rsidR="009B3E74">
        <w:rPr>
          <w:lang w:eastAsia="ja-JP"/>
        </w:rPr>
        <w:t>crucial for people involved in water markets to make well-informed decisions. Therefore,</w:t>
      </w:r>
      <w:r w:rsidR="00672122">
        <w:rPr>
          <w:lang w:eastAsia="ja-JP"/>
        </w:rPr>
        <w:t xml:space="preserve"> it is necessary to have readily available and up-to-date pricing information</w:t>
      </w:r>
      <w:r w:rsidR="008B499C">
        <w:rPr>
          <w:lang w:eastAsia="ja-JP"/>
        </w:rPr>
        <w:t>.</w:t>
      </w:r>
      <w:r w:rsidR="0040053D">
        <w:rPr>
          <w:rStyle w:val="FootnoteReference"/>
          <w:lang w:eastAsia="ja-JP"/>
        </w:rPr>
        <w:footnoteReference w:id="3"/>
      </w:r>
      <w:r w:rsidR="0034010E">
        <w:rPr>
          <w:lang w:eastAsia="ja-JP"/>
        </w:rPr>
        <w:t xml:space="preserve"> </w:t>
      </w:r>
      <w:r w:rsidR="00C16581">
        <w:rPr>
          <w:lang w:eastAsia="ja-JP"/>
        </w:rPr>
        <w:t xml:space="preserve">To </w:t>
      </w:r>
      <w:r w:rsidR="00F122D4">
        <w:rPr>
          <w:lang w:eastAsia="ja-JP"/>
        </w:rPr>
        <w:t>facilitate</w:t>
      </w:r>
      <w:r w:rsidR="004E0DB6">
        <w:rPr>
          <w:lang w:eastAsia="ja-JP"/>
        </w:rPr>
        <w:t xml:space="preserve"> this, a rule in the Basin </w:t>
      </w:r>
      <w:r w:rsidR="00F122D4">
        <w:rPr>
          <w:lang w:eastAsia="ja-JP"/>
        </w:rPr>
        <w:t>P</w:t>
      </w:r>
      <w:r w:rsidR="004E0DB6">
        <w:rPr>
          <w:lang w:eastAsia="ja-JP"/>
        </w:rPr>
        <w:t>lan</w:t>
      </w:r>
      <w:r w:rsidR="00310859">
        <w:rPr>
          <w:rStyle w:val="FootnoteReference"/>
          <w:lang w:eastAsia="ja-JP"/>
        </w:rPr>
        <w:footnoteReference w:id="4"/>
      </w:r>
      <w:r w:rsidR="004402E4">
        <w:rPr>
          <w:lang w:eastAsia="ja-JP"/>
        </w:rPr>
        <w:t xml:space="preserve"> requires anyone </w:t>
      </w:r>
      <w:r w:rsidR="000B59D9">
        <w:rPr>
          <w:lang w:eastAsia="ja-JP"/>
        </w:rPr>
        <w:t>disposing of</w:t>
      </w:r>
      <w:r w:rsidR="004402E4">
        <w:rPr>
          <w:lang w:eastAsia="ja-JP"/>
        </w:rPr>
        <w:t xml:space="preserve"> a water access right</w:t>
      </w:r>
      <w:r w:rsidR="0058603E">
        <w:rPr>
          <w:lang w:eastAsia="ja-JP"/>
        </w:rPr>
        <w:t>,</w:t>
      </w:r>
      <w:r w:rsidR="0058603E">
        <w:rPr>
          <w:rStyle w:val="FootnoteReference"/>
          <w:lang w:eastAsia="ja-JP"/>
        </w:rPr>
        <w:footnoteReference w:id="5"/>
      </w:r>
      <w:r w:rsidR="0058603E">
        <w:rPr>
          <w:lang w:eastAsia="ja-JP"/>
        </w:rPr>
        <w:t xml:space="preserve"> </w:t>
      </w:r>
      <w:r w:rsidR="004402E4">
        <w:rPr>
          <w:lang w:eastAsia="ja-JP"/>
        </w:rPr>
        <w:t>to inform the relevant authority in writing about the price they have agreed upon for the trade. They can do this on the trading application</w:t>
      </w:r>
      <w:r w:rsidR="00532047">
        <w:rPr>
          <w:rStyle w:val="FootnoteReference"/>
          <w:lang w:eastAsia="ja-JP"/>
        </w:rPr>
        <w:footnoteReference w:id="6"/>
      </w:r>
      <w:r w:rsidR="004402E4">
        <w:rPr>
          <w:lang w:eastAsia="ja-JP"/>
        </w:rPr>
        <w:t xml:space="preserve"> or registration form,</w:t>
      </w:r>
      <w:r w:rsidR="00310859">
        <w:rPr>
          <w:lang w:eastAsia="ja-JP"/>
        </w:rPr>
        <w:t xml:space="preserve"> or if there is no specific form, they must still write to the approval authority or registration authority about the trades price.</w:t>
      </w:r>
      <w:bookmarkStart w:id="11" w:name="_Hlk146706383"/>
    </w:p>
    <w:p w14:paraId="30B52F25" w14:textId="320084A1" w:rsidR="00B976D4" w:rsidRDefault="00DF3A99" w:rsidP="00DC79C4">
      <w:pPr>
        <w:spacing w:after="200"/>
        <w:rPr>
          <w:lang w:eastAsia="ja-JP"/>
        </w:rPr>
      </w:pPr>
      <w:r>
        <w:rPr>
          <w:lang w:eastAsia="ja-JP"/>
        </w:rPr>
        <w:t>A report</w:t>
      </w:r>
      <w:r w:rsidR="00B976D4">
        <w:rPr>
          <w:rStyle w:val="FootnoteReference"/>
          <w:lang w:eastAsia="ja-JP"/>
        </w:rPr>
        <w:footnoteReference w:id="7"/>
      </w:r>
      <w:r>
        <w:rPr>
          <w:lang w:eastAsia="ja-JP"/>
        </w:rPr>
        <w:t xml:space="preserve"> by the</w:t>
      </w:r>
      <w:r w:rsidR="00516DC0">
        <w:rPr>
          <w:lang w:eastAsia="ja-JP"/>
        </w:rPr>
        <w:t xml:space="preserve"> </w:t>
      </w:r>
      <w:r w:rsidR="00DD7C88">
        <w:rPr>
          <w:lang w:eastAsia="ja-JP"/>
        </w:rPr>
        <w:t xml:space="preserve">Bureau of Meteorology (the </w:t>
      </w:r>
      <w:r w:rsidR="00DD7C88" w:rsidRPr="00DD7C88">
        <w:rPr>
          <w:lang w:eastAsia="ja-JP"/>
        </w:rPr>
        <w:t>B</w:t>
      </w:r>
      <w:r w:rsidR="000518B7">
        <w:rPr>
          <w:lang w:eastAsia="ja-JP"/>
        </w:rPr>
        <w:t>ureau</w:t>
      </w:r>
      <w:r w:rsidR="00DD7C88">
        <w:rPr>
          <w:lang w:eastAsia="ja-JP"/>
        </w:rPr>
        <w:t>)</w:t>
      </w:r>
      <w:r w:rsidR="00DD7C88" w:rsidRPr="00DD7C88">
        <w:rPr>
          <w:lang w:eastAsia="ja-JP"/>
        </w:rPr>
        <w:t xml:space="preserve"> </w:t>
      </w:r>
      <w:r w:rsidR="00D069B6">
        <w:rPr>
          <w:lang w:eastAsia="ja-JP"/>
        </w:rPr>
        <w:t xml:space="preserve">in 2019/20 </w:t>
      </w:r>
      <w:r w:rsidR="00516DC0">
        <w:rPr>
          <w:lang w:eastAsia="ja-JP"/>
        </w:rPr>
        <w:t>looked at price reporting in the Murray</w:t>
      </w:r>
      <w:r w:rsidR="00D069B6">
        <w:rPr>
          <w:lang w:eastAsia="ja-JP"/>
        </w:rPr>
        <w:t>-</w:t>
      </w:r>
      <w:r w:rsidR="00516DC0">
        <w:rPr>
          <w:lang w:eastAsia="ja-JP"/>
        </w:rPr>
        <w:t xml:space="preserve">Darling </w:t>
      </w:r>
      <w:r w:rsidR="00D069B6">
        <w:rPr>
          <w:lang w:eastAsia="ja-JP"/>
        </w:rPr>
        <w:t>Basin</w:t>
      </w:r>
      <w:r w:rsidR="00AB36B5">
        <w:rPr>
          <w:lang w:eastAsia="ja-JP"/>
        </w:rPr>
        <w:t xml:space="preserve">. They found that 70% of individual surface water trades in the Northern Basin and 43% in the </w:t>
      </w:r>
      <w:r w:rsidR="000518B7">
        <w:rPr>
          <w:lang w:eastAsia="ja-JP"/>
        </w:rPr>
        <w:t>S</w:t>
      </w:r>
      <w:r w:rsidR="00AB36B5">
        <w:rPr>
          <w:lang w:eastAsia="ja-JP"/>
        </w:rPr>
        <w:t xml:space="preserve">outhern </w:t>
      </w:r>
      <w:r w:rsidR="000518B7">
        <w:rPr>
          <w:lang w:eastAsia="ja-JP"/>
        </w:rPr>
        <w:t>C</w:t>
      </w:r>
      <w:r w:rsidR="00AB36B5">
        <w:rPr>
          <w:lang w:eastAsia="ja-JP"/>
        </w:rPr>
        <w:t xml:space="preserve">onnected </w:t>
      </w:r>
      <w:r w:rsidR="000518B7">
        <w:rPr>
          <w:lang w:eastAsia="ja-JP"/>
        </w:rPr>
        <w:t>B</w:t>
      </w:r>
      <w:r w:rsidR="00AB36B5">
        <w:rPr>
          <w:lang w:eastAsia="ja-JP"/>
        </w:rPr>
        <w:t xml:space="preserve">asin did </w:t>
      </w:r>
      <w:r w:rsidR="00911DFD">
        <w:rPr>
          <w:lang w:eastAsia="ja-JP"/>
        </w:rPr>
        <w:t xml:space="preserve">not </w:t>
      </w:r>
      <w:r w:rsidR="00AB36B5">
        <w:rPr>
          <w:lang w:eastAsia="ja-JP"/>
        </w:rPr>
        <w:t>report their prices</w:t>
      </w:r>
      <w:r w:rsidR="00B976D4">
        <w:rPr>
          <w:lang w:eastAsia="ja-JP"/>
        </w:rPr>
        <w:t>.</w:t>
      </w:r>
    </w:p>
    <w:p w14:paraId="2522455A" w14:textId="6BC6FF7D" w:rsidR="002C1F75" w:rsidRDefault="00BD22E2" w:rsidP="00DC79C4">
      <w:pPr>
        <w:spacing w:after="200"/>
        <w:rPr>
          <w:lang w:eastAsia="ja-JP"/>
        </w:rPr>
      </w:pPr>
      <w:r>
        <w:rPr>
          <w:lang w:eastAsia="ja-JP"/>
        </w:rPr>
        <w:t>The IGW</w:t>
      </w:r>
      <w:r w:rsidR="006E5E75">
        <w:rPr>
          <w:lang w:eastAsia="ja-JP"/>
        </w:rPr>
        <w:t>C</w:t>
      </w:r>
      <w:r>
        <w:rPr>
          <w:lang w:eastAsia="ja-JP"/>
        </w:rPr>
        <w:t xml:space="preserve"> </w:t>
      </w:r>
      <w:r w:rsidR="006E5E75">
        <w:rPr>
          <w:lang w:eastAsia="ja-JP"/>
        </w:rPr>
        <w:t>Strategic</w:t>
      </w:r>
      <w:r>
        <w:rPr>
          <w:lang w:eastAsia="ja-JP"/>
        </w:rPr>
        <w:t xml:space="preserve"> Plan sets the long-term priorities and </w:t>
      </w:r>
      <w:r w:rsidR="006E5E75">
        <w:rPr>
          <w:lang w:eastAsia="ja-JP"/>
        </w:rPr>
        <w:t>outcomes</w:t>
      </w:r>
      <w:r>
        <w:rPr>
          <w:lang w:eastAsia="ja-JP"/>
        </w:rPr>
        <w:t xml:space="preserve"> for the </w:t>
      </w:r>
      <w:r w:rsidR="006E5E75">
        <w:rPr>
          <w:lang w:eastAsia="ja-JP"/>
        </w:rPr>
        <w:t>Inspector-General</w:t>
      </w:r>
      <w:r>
        <w:rPr>
          <w:lang w:eastAsia="ja-JP"/>
        </w:rPr>
        <w:t xml:space="preserve"> of Water Compliance</w:t>
      </w:r>
      <w:r w:rsidR="006E5E75">
        <w:rPr>
          <w:lang w:eastAsia="ja-JP"/>
        </w:rPr>
        <w:t>, including ensuring</w:t>
      </w:r>
      <w:r w:rsidR="008D16BF">
        <w:rPr>
          <w:lang w:eastAsia="ja-JP"/>
        </w:rPr>
        <w:t xml:space="preserve"> people follow the law</w:t>
      </w:r>
      <w:r w:rsidR="006E5E75">
        <w:rPr>
          <w:lang w:eastAsia="ja-JP"/>
        </w:rPr>
        <w:t>.</w:t>
      </w:r>
    </w:p>
    <w:p w14:paraId="0C0FD20C" w14:textId="77777777" w:rsidR="008D16BF" w:rsidRPr="00D8146F" w:rsidRDefault="008D16BF" w:rsidP="008D16BF">
      <w:pPr>
        <w:keepNext/>
        <w:spacing w:after="0"/>
        <w:rPr>
          <w:rFonts w:cs="Arial"/>
          <w:bCs/>
          <w:color w:val="44546A" w:themeColor="text2"/>
          <w:sz w:val="4"/>
          <w:szCs w:val="4"/>
        </w:rPr>
      </w:pPr>
      <w:r w:rsidRPr="00527E06">
        <w:rPr>
          <w:rFonts w:cs="Arial"/>
          <w:b/>
          <w:noProof/>
          <w:color w:val="44546A" w:themeColor="text2"/>
          <w:sz w:val="26"/>
          <w:lang w:val="en-US" w:eastAsia="ja-JP"/>
        </w:rPr>
        <w:drawing>
          <wp:inline distT="0" distB="0" distL="0" distR="0" wp14:anchorId="55F9D034" wp14:editId="6BB53D6B">
            <wp:extent cx="433070" cy="433070"/>
            <wp:effectExtent l="0" t="0" r="0" b="508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555314" name="Picture 32">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33070" cy="433070"/>
                    </a:xfrm>
                    <a:prstGeom prst="rect">
                      <a:avLst/>
                    </a:prstGeom>
                    <a:noFill/>
                  </pic:spPr>
                </pic:pic>
              </a:graphicData>
            </a:graphic>
          </wp:inline>
        </w:drawing>
      </w:r>
      <w:bookmarkStart w:id="12" w:name="_Hlk142055573"/>
      <w:r w:rsidRPr="00527E06">
        <w:rPr>
          <w:rFonts w:cs="Arial"/>
          <w:b/>
          <w:color w:val="44546A" w:themeColor="text2"/>
          <w:sz w:val="26"/>
        </w:rPr>
        <w:t xml:space="preserve">Ensure </w:t>
      </w:r>
      <w:proofErr w:type="spellStart"/>
      <w:r w:rsidRPr="00527E06">
        <w:rPr>
          <w:rFonts w:cs="Arial"/>
          <w:b/>
          <w:color w:val="44546A" w:themeColor="text2"/>
          <w:sz w:val="26"/>
        </w:rPr>
        <w:t>it</w:t>
      </w:r>
      <w:r>
        <w:rPr>
          <w:rFonts w:cs="Arial"/>
          <w:b/>
          <w:color w:val="44546A" w:themeColor="text2"/>
          <w:sz w:val="26"/>
        </w:rPr>
        <w:t>’</w:t>
      </w:r>
      <w:r w:rsidRPr="00527E06">
        <w:rPr>
          <w:rFonts w:cs="Arial"/>
          <w:b/>
          <w:color w:val="44546A" w:themeColor="text2"/>
          <w:sz w:val="26"/>
        </w:rPr>
        <w:t>s</w:t>
      </w:r>
      <w:proofErr w:type="spellEnd"/>
      <w:r w:rsidRPr="00AA4E85">
        <w:rPr>
          <w:b/>
        </w:rPr>
        <w:t xml:space="preserve"> </w:t>
      </w:r>
      <w:proofErr w:type="gramStart"/>
      <w:r w:rsidRPr="00527E06">
        <w:rPr>
          <w:rFonts w:cs="Arial"/>
          <w:b/>
          <w:color w:val="44546A" w:themeColor="text2"/>
          <w:sz w:val="26"/>
        </w:rPr>
        <w:t>lawful</w:t>
      </w:r>
      <w:proofErr w:type="gramEnd"/>
    </w:p>
    <w:bookmarkEnd w:id="12"/>
    <w:p w14:paraId="342499E8" w14:textId="77777777" w:rsidR="002C1F75" w:rsidRDefault="002C1F75" w:rsidP="002C1F75">
      <w:pPr>
        <w:keepNext/>
        <w:spacing w:after="0"/>
        <w:rPr>
          <w:rFonts w:cs="Arial"/>
          <w:b/>
          <w:color w:val="44546A" w:themeColor="text2"/>
          <w:sz w:val="26"/>
        </w:rPr>
      </w:pPr>
      <w:r>
        <w:rPr>
          <w:noProof/>
          <w:lang w:val="en-US" w:eastAsia="ja-JP"/>
        </w:rPr>
        <mc:AlternateContent>
          <mc:Choice Requires="wps">
            <w:drawing>
              <wp:inline distT="0" distB="0" distL="0" distR="0" wp14:anchorId="13C61C8E" wp14:editId="32423A78">
                <wp:extent cx="2970530" cy="591886"/>
                <wp:effectExtent l="0" t="0" r="1270" b="0"/>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591886"/>
                        </a:xfrm>
                        <a:prstGeom prst="rect">
                          <a:avLst/>
                        </a:prstGeom>
                        <a:solidFill>
                          <a:srgbClr val="43545C"/>
                        </a:solidFill>
                        <a:ln>
                          <a:noFill/>
                        </a:ln>
                      </wps:spPr>
                      <wps:txbx>
                        <w:txbxContent>
                          <w:p w14:paraId="3BAC8560" w14:textId="77777777" w:rsidR="002C1F75" w:rsidRPr="006411A3" w:rsidRDefault="002C1F75" w:rsidP="002C1F75">
                            <w:pPr>
                              <w:spacing w:before="120" w:after="120" w:line="238" w:lineRule="exact"/>
                              <w:ind w:left="74"/>
                              <w:textAlignment w:val="baseline"/>
                              <w:rPr>
                                <w:rFonts w:eastAsia="Arial"/>
                                <w:color w:val="FFFFFF"/>
                                <w:szCs w:val="20"/>
                                <w:shd w:val="solid" w:color="43545C" w:fill="43545C"/>
                              </w:rPr>
                            </w:pPr>
                            <w:r w:rsidRPr="006411A3">
                              <w:rPr>
                                <w:rFonts w:eastAsia="Arial"/>
                                <w:b/>
                                <w:color w:val="FFFFFF"/>
                                <w:spacing w:val="-11"/>
                                <w:szCs w:val="20"/>
                                <w:shd w:val="solid" w:color="43545C" w:fill="43545C"/>
                              </w:rPr>
                              <w:t xml:space="preserve">OUTCOME 1: </w:t>
                            </w:r>
                            <w:r w:rsidRPr="006411A3">
                              <w:rPr>
                                <w:rFonts w:eastAsia="Arial"/>
                                <w:color w:val="FFFFFF"/>
                                <w:szCs w:val="20"/>
                                <w:shd w:val="solid" w:color="43545C" w:fill="43545C"/>
                              </w:rPr>
                              <w:t>Ensure Basin water managers and users meet their obligations under the Water Act 2007 and the Basin Plan.</w:t>
                            </w:r>
                          </w:p>
                          <w:p w14:paraId="6485852C" w14:textId="77777777" w:rsidR="002C1F75" w:rsidRPr="00E85253" w:rsidRDefault="002C1F75" w:rsidP="002C1F75">
                            <w:pPr>
                              <w:spacing w:before="137" w:after="184" w:line="260" w:lineRule="exact"/>
                              <w:ind w:right="936"/>
                              <w:textAlignment w:val="baseline"/>
                              <w:rPr>
                                <w:rFonts w:eastAsia="Arial"/>
                                <w:color w:val="FFFFFF"/>
                                <w:sz w:val="18"/>
                                <w:szCs w:val="20"/>
                                <w:shd w:val="solid" w:color="43545C" w:fill="43545C"/>
                              </w:rPr>
                            </w:pPr>
                          </w:p>
                        </w:txbxContent>
                      </wps:txbx>
                      <wps:bodyPr rot="0" vert="horz" wrap="square" lIns="0" tIns="0" rIns="0" bIns="0" anchor="t" anchorCtr="0" upright="1"/>
                    </wps:wsp>
                  </a:graphicData>
                </a:graphic>
              </wp:inline>
            </w:drawing>
          </mc:Choice>
          <mc:Fallback>
            <w:pict>
              <v:shapetype w14:anchorId="13C61C8E" id="_x0000_t202" coordsize="21600,21600" o:spt="202" path="m,l,21600r21600,l21600,xe">
                <v:stroke joinstyle="miter"/>
                <v:path gradientshapeok="t" o:connecttype="rect"/>
              </v:shapetype>
              <v:shape id="Text Box 10" o:spid="_x0000_s1026" type="#_x0000_t202" alt="&quot;&quot;" style="width:233.9pt;height: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" fillcolor="#43545c" stroked="f">
                <v:textbox inset="0,0,0,0">
                  <w:txbxContent>
                    <w:p w14:paraId="3BAC8560" w14:textId="77777777" w:rsidR="002C1F75" w:rsidRPr="006411A3" w:rsidRDefault="002C1F75" w:rsidP="002C1F75">
                      <w:pPr>
                        <w:spacing w:before="120" w:after="120" w:line="238" w:lineRule="exact"/>
                        <w:ind w:left="74"/>
                        <w:textAlignment w:val="baseline"/>
                        <w:rPr>
                          <w:rFonts w:eastAsia="Arial"/>
                          <w:color w:val="FFFFFF"/>
                          <w:szCs w:val="20"/>
                          <w:shd w:val="solid" w:color="43545C" w:fill="43545C"/>
                        </w:rPr>
                      </w:pPr>
                      <w:r w:rsidRPr="006411A3">
                        <w:rPr>
                          <w:rFonts w:eastAsia="Arial"/>
                          <w:b/>
                          <w:color w:val="FFFFFF"/>
                          <w:spacing w:val="-11"/>
                          <w:szCs w:val="20"/>
                          <w:shd w:val="solid" w:color="43545C" w:fill="43545C"/>
                        </w:rPr>
                        <w:t xml:space="preserve">OUTCOME 1: </w:t>
                      </w:r>
                      <w:r w:rsidRPr="006411A3">
                        <w:rPr>
                          <w:rFonts w:eastAsia="Arial"/>
                          <w:color w:val="FFFFFF"/>
                          <w:szCs w:val="20"/>
                          <w:shd w:val="solid" w:color="43545C" w:fill="43545C"/>
                        </w:rPr>
                        <w:t>Ensure Basin water managers and users meet their obligations under the Water Act 2007 and the Basin Plan.</w:t>
                      </w:r>
                    </w:p>
                    <w:p w14:paraId="6485852C" w14:textId="77777777" w:rsidR="002C1F75" w:rsidRPr="00E85253" w:rsidRDefault="002C1F75" w:rsidP="002C1F75">
                      <w:pPr>
                        <w:spacing w:before="137" w:after="184" w:line="260" w:lineRule="exact"/>
                        <w:ind w:right="936"/>
                        <w:textAlignment w:val="baseline"/>
                        <w:rPr>
                          <w:rFonts w:eastAsia="Arial"/>
                          <w:color w:val="FFFFFF"/>
                          <w:sz w:val="18"/>
                          <w:szCs w:val="20"/>
                          <w:shd w:val="solid" w:color="43545C" w:fill="43545C"/>
                        </w:rPr>
                      </w:pPr>
                    </w:p>
                  </w:txbxContent>
                </v:textbox>
                <w10:anchorlock/>
              </v:shape>
            </w:pict>
          </mc:Fallback>
        </mc:AlternateContent>
      </w:r>
    </w:p>
    <w:p w14:paraId="7B3129FA" w14:textId="77777777" w:rsidR="002C1F75" w:rsidRPr="002D520E" w:rsidRDefault="002C1F75" w:rsidP="002C1F75">
      <w:pPr>
        <w:keepNext/>
        <w:spacing w:after="0"/>
        <w:rPr>
          <w:rFonts w:cs="Arial"/>
          <w:b/>
          <w:color w:val="44546A" w:themeColor="text2"/>
        </w:rPr>
      </w:pPr>
      <w:r>
        <w:rPr>
          <w:noProof/>
          <w:lang w:val="en-US" w:eastAsia="ja-JP"/>
        </w:rPr>
        <mc:AlternateContent>
          <mc:Choice Requires="wps">
            <w:drawing>
              <wp:inline distT="0" distB="0" distL="0" distR="0" wp14:anchorId="31C9E0FD" wp14:editId="081032B7">
                <wp:extent cx="2970530" cy="975815"/>
                <wp:effectExtent l="0" t="0" r="1270" b="0"/>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70530" cy="975815"/>
                        </a:xfrm>
                        <a:prstGeom prst="flowChartOffpageConnector">
                          <a:avLst/>
                        </a:prstGeom>
                        <a:solidFill>
                          <a:srgbClr val="D1D2D5"/>
                        </a:solidFill>
                        <a:ln w="6350">
                          <a:noFill/>
                        </a:ln>
                      </wps:spPr>
                      <wps:txbx>
                        <w:txbxContent>
                          <w:p w14:paraId="0F7EC506" w14:textId="77777777" w:rsidR="002C1F75" w:rsidRPr="00620B44" w:rsidRDefault="002C1F75" w:rsidP="002C1F75">
                            <w:pPr>
                              <w:jc w:val="center"/>
                              <w:rPr>
                                <w:rFonts w:cs="Arial"/>
                                <w:sz w:val="18"/>
                                <w:szCs w:val="18"/>
                              </w:rPr>
                            </w:pPr>
                            <w:r w:rsidRPr="00620B44">
                              <w:rPr>
                                <w:rFonts w:cs="Arial"/>
                                <w:sz w:val="18"/>
                                <w:szCs w:val="18"/>
                              </w:rPr>
                              <w:t>These are fundamental activities to increase accountability and meet the Inspector-Genera</w:t>
                            </w:r>
                            <w:r w:rsidRPr="00620B44">
                              <w:rPr>
                                <w:rFonts w:cs="Arial"/>
                                <w:spacing w:val="-4"/>
                                <w:sz w:val="18"/>
                                <w:szCs w:val="18"/>
                              </w:rPr>
                              <w:t>l’s</w:t>
                            </w:r>
                            <w:r w:rsidRPr="00620B44">
                              <w:rPr>
                                <w:rFonts w:cs="Arial"/>
                                <w:sz w:val="18"/>
                                <w:szCs w:val="18"/>
                              </w:rPr>
                              <w:t xml:space="preserve"> legislated remit and drive improvements in the compliance with obligations under the </w:t>
                            </w:r>
                            <w:r w:rsidRPr="00620B44">
                              <w:rPr>
                                <w:rFonts w:cs="Arial"/>
                                <w:i/>
                                <w:iCs/>
                                <w:sz w:val="18"/>
                                <w:szCs w:val="18"/>
                              </w:rPr>
                              <w:t xml:space="preserve">Water Act 2007 </w:t>
                            </w:r>
                            <w:r w:rsidRPr="00620B44">
                              <w:rPr>
                                <w:rFonts w:cs="Arial"/>
                                <w:sz w:val="18"/>
                                <w:szCs w:val="18"/>
                              </w:rPr>
                              <w:t>and the Basin Plan.</w:t>
                            </w:r>
                          </w:p>
                        </w:txbxContent>
                      </wps:txbx>
                      <wps:bodyPr rot="0" spcFirstLastPara="0" vertOverflow="overflow" horzOverflow="overflow" vert="horz" wrap="square" lIns="0" tIns="36000" rIns="0" bIns="0" numCol="1" spcCol="0" rtlCol="0" fromWordArt="0" anchor="t" anchorCtr="0" forceAA="0" compatLnSpc="1">
                        <a:prstTxWarp prst="textNoShape">
                          <a:avLst/>
                        </a:prstTxWarp>
                      </wps:bodyPr>
                    </wps:wsp>
                  </a:graphicData>
                </a:graphic>
              </wp:inline>
            </w:drawing>
          </mc:Choice>
          <mc:Fallback>
            <w:pict>
              <v:shapetype w14:anchorId="31C9E0FD" id="_x0000_t177" coordsize="21600,21600" o:spt="177" path="m,l21600,r,17255l10800,21600,,17255xe">
                <v:stroke joinstyle="miter"/>
                <v:path gradientshapeok="t" o:connecttype="rect" textboxrect="0,0,21600,17255"/>
              </v:shapetype>
              <v:shape id="Text Box 12" o:spid="_x0000_s1027" type="#_x0000_t177" alt="&quot;&quot;" style="width:233.9pt;height:7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" fillcolor="#d1d2d5" stroked="f" strokeweight=".5pt">
                <v:textbox inset="0,1mm,0,0">
                  <w:txbxContent>
                    <w:p w14:paraId="0F7EC506" w14:textId="77777777" w:rsidR="002C1F75" w:rsidRPr="00620B44" w:rsidRDefault="002C1F75" w:rsidP="002C1F75">
                      <w:pPr>
                        <w:jc w:val="center"/>
                        <w:rPr>
                          <w:rFonts w:cs="Arial"/>
                          <w:sz w:val="18"/>
                          <w:szCs w:val="18"/>
                        </w:rPr>
                      </w:pPr>
                      <w:r w:rsidRPr="00620B44">
                        <w:rPr>
                          <w:rFonts w:cs="Arial"/>
                          <w:sz w:val="18"/>
                          <w:szCs w:val="18"/>
                        </w:rPr>
                        <w:t>These are fundamental activities to increase accountability and meet the Inspector-Genera</w:t>
                      </w:r>
                      <w:r w:rsidRPr="00620B44">
                        <w:rPr>
                          <w:rFonts w:cs="Arial"/>
                          <w:spacing w:val="-4"/>
                          <w:sz w:val="18"/>
                          <w:szCs w:val="18"/>
                        </w:rPr>
                        <w:t>l’s</w:t>
                      </w:r>
                      <w:r w:rsidRPr="00620B44">
                        <w:rPr>
                          <w:rFonts w:cs="Arial"/>
                          <w:sz w:val="18"/>
                          <w:szCs w:val="18"/>
                        </w:rPr>
                        <w:t xml:space="preserve"> legislated remit and drive improvements in the compliance with obligations under the </w:t>
                      </w:r>
                      <w:r w:rsidRPr="00620B44">
                        <w:rPr>
                          <w:rFonts w:cs="Arial"/>
                          <w:i/>
                          <w:iCs/>
                          <w:sz w:val="18"/>
                          <w:szCs w:val="18"/>
                        </w:rPr>
                        <w:t xml:space="preserve">Water Act 2007 </w:t>
                      </w:r>
                      <w:r w:rsidRPr="00620B44">
                        <w:rPr>
                          <w:rFonts w:cs="Arial"/>
                          <w:sz w:val="18"/>
                          <w:szCs w:val="18"/>
                        </w:rPr>
                        <w:t>and the Basin Plan.</w:t>
                      </w:r>
                    </w:p>
                  </w:txbxContent>
                </v:textbox>
                <w10:anchorlock/>
              </v:shape>
            </w:pict>
          </mc:Fallback>
        </mc:AlternateContent>
      </w:r>
    </w:p>
    <w:p w14:paraId="2395BC3E" w14:textId="77777777" w:rsidR="002C1F75" w:rsidRDefault="002C1F75" w:rsidP="00DC79C4">
      <w:pPr>
        <w:spacing w:after="200"/>
        <w:rPr>
          <w:lang w:eastAsia="ja-JP"/>
        </w:rPr>
      </w:pPr>
    </w:p>
    <w:p w14:paraId="7DB6607C" w14:textId="5D48A94A" w:rsidR="00DC79C4" w:rsidRDefault="009609EF" w:rsidP="0020603E">
      <w:pPr>
        <w:rPr>
          <w:lang w:eastAsia="ja-JP"/>
        </w:rPr>
      </w:pPr>
      <w:bookmarkStart w:id="13" w:name="_Hlk146706333"/>
      <w:bookmarkEnd w:id="11"/>
      <w:r>
        <w:rPr>
          <w:lang w:eastAsia="ja-JP"/>
        </w:rPr>
        <w:t xml:space="preserve">The </w:t>
      </w:r>
      <w:r w:rsidR="00A925EB">
        <w:rPr>
          <w:lang w:eastAsia="ja-JP"/>
        </w:rPr>
        <w:t>IGWC Regulatory Policy</w:t>
      </w:r>
      <w:r w:rsidR="00BF5B21">
        <w:rPr>
          <w:rStyle w:val="FootnoteReference"/>
          <w:lang w:eastAsia="ja-JP"/>
        </w:rPr>
        <w:footnoteReference w:id="8"/>
      </w:r>
      <w:r w:rsidR="002E04B6">
        <w:rPr>
          <w:lang w:eastAsia="ja-JP"/>
        </w:rPr>
        <w:t xml:space="preserve"> explains the detailed functions, </w:t>
      </w:r>
      <w:r w:rsidR="009D5C50" w:rsidRPr="009D5C50">
        <w:rPr>
          <w:lang w:eastAsia="ja-JP"/>
        </w:rPr>
        <w:t>role,</w:t>
      </w:r>
      <w:r w:rsidR="009D5C50">
        <w:rPr>
          <w:lang w:eastAsia="ja-JP"/>
        </w:rPr>
        <w:t xml:space="preserve"> </w:t>
      </w:r>
      <w:r w:rsidR="002E04B6">
        <w:rPr>
          <w:lang w:eastAsia="ja-JP"/>
        </w:rPr>
        <w:t xml:space="preserve">jurisdiction, </w:t>
      </w:r>
      <w:proofErr w:type="gramStart"/>
      <w:r w:rsidR="000130B2">
        <w:rPr>
          <w:lang w:eastAsia="ja-JP"/>
        </w:rPr>
        <w:t>powers</w:t>
      </w:r>
      <w:proofErr w:type="gramEnd"/>
      <w:r w:rsidR="000130B2">
        <w:rPr>
          <w:lang w:eastAsia="ja-JP"/>
        </w:rPr>
        <w:t xml:space="preserve"> and approach of the Inspector-General.</w:t>
      </w:r>
      <w:r w:rsidR="00452906">
        <w:rPr>
          <w:lang w:eastAsia="ja-JP"/>
        </w:rPr>
        <w:t xml:space="preserve"> </w:t>
      </w:r>
      <w:r w:rsidR="0056425F">
        <w:rPr>
          <w:lang w:eastAsia="ja-JP"/>
        </w:rPr>
        <w:t xml:space="preserve">Relevantly, the Inspector-General takes a risk-based approach to compliance and enforcement. </w:t>
      </w:r>
      <w:r w:rsidR="00005B45" w:rsidRPr="00D011F8">
        <w:rPr>
          <w:lang w:eastAsia="ja-JP"/>
        </w:rPr>
        <w:t xml:space="preserve">The Inspector-General of Water Compliance (IGWC) is a role with </w:t>
      </w:r>
      <w:r w:rsidR="00005B45">
        <w:rPr>
          <w:lang w:eastAsia="ja-JP"/>
        </w:rPr>
        <w:lastRenderedPageBreak/>
        <w:t>investigation</w:t>
      </w:r>
      <w:r w:rsidR="00005B45">
        <w:rPr>
          <w:rStyle w:val="FootnoteReference"/>
          <w:lang w:eastAsia="ja-JP"/>
        </w:rPr>
        <w:footnoteReference w:id="9"/>
      </w:r>
      <w:r w:rsidR="00005B45" w:rsidRPr="00D011F8">
        <w:rPr>
          <w:lang w:eastAsia="ja-JP"/>
        </w:rPr>
        <w:t xml:space="preserve"> </w:t>
      </w:r>
      <w:r w:rsidR="00005B45">
        <w:rPr>
          <w:lang w:eastAsia="ja-JP"/>
        </w:rPr>
        <w:t>and enforcement powers</w:t>
      </w:r>
      <w:r w:rsidR="00005B45">
        <w:rPr>
          <w:rStyle w:val="FootnoteReference"/>
          <w:lang w:eastAsia="ja-JP"/>
        </w:rPr>
        <w:footnoteReference w:id="10"/>
      </w:r>
      <w:r w:rsidR="00005B45">
        <w:rPr>
          <w:lang w:eastAsia="ja-JP"/>
        </w:rPr>
        <w:t xml:space="preserve"> under the Water Act of 2007 (</w:t>
      </w:r>
      <w:proofErr w:type="spellStart"/>
      <w:r w:rsidR="00005B45">
        <w:rPr>
          <w:lang w:eastAsia="ja-JP"/>
        </w:rPr>
        <w:t>Cth</w:t>
      </w:r>
      <w:proofErr w:type="spellEnd"/>
      <w:r w:rsidR="00005B45">
        <w:rPr>
          <w:lang w:eastAsia="ja-JP"/>
        </w:rPr>
        <w:t>)</w:t>
      </w:r>
      <w:r w:rsidR="00005B45" w:rsidRPr="007E4A49">
        <w:rPr>
          <w:lang w:eastAsia="ja-JP"/>
        </w:rPr>
        <w:t>.</w:t>
      </w:r>
      <w:r w:rsidR="00005B45" w:rsidRPr="00D011F8">
        <w:rPr>
          <w:lang w:eastAsia="ja-JP"/>
        </w:rPr>
        <w:t xml:space="preserve"> </w:t>
      </w:r>
      <w:bookmarkEnd w:id="13"/>
      <w:r w:rsidR="00005B45" w:rsidRPr="00D011F8">
        <w:rPr>
          <w:lang w:eastAsia="ja-JP"/>
        </w:rPr>
        <w:t xml:space="preserve">These powers allow the IGWC to assess </w:t>
      </w:r>
      <w:r w:rsidR="00005B45">
        <w:rPr>
          <w:lang w:eastAsia="ja-JP"/>
        </w:rPr>
        <w:t>how well people follow the Basin Plan</w:t>
      </w:r>
      <w:r w:rsidR="00005B45">
        <w:rPr>
          <w:rStyle w:val="FootnoteReference"/>
          <w:lang w:eastAsia="ja-JP"/>
        </w:rPr>
        <w:footnoteReference w:id="11"/>
      </w:r>
      <w:r w:rsidR="00005B45">
        <w:rPr>
          <w:lang w:eastAsia="ja-JP"/>
        </w:rPr>
        <w:t xml:space="preserve"> and Water Act and take actions to ensure compliance with these laws.</w:t>
      </w:r>
      <w:r w:rsidR="00454E71">
        <w:rPr>
          <w:lang w:eastAsia="ja-JP"/>
        </w:rPr>
        <w:t xml:space="preserve"> </w:t>
      </w:r>
    </w:p>
    <w:p w14:paraId="15BD0AF8" w14:textId="0899574A" w:rsidR="009F46C1" w:rsidRDefault="009F46C1" w:rsidP="0020603E">
      <w:pPr>
        <w:rPr>
          <w:lang w:eastAsia="ja-JP"/>
        </w:rPr>
      </w:pPr>
      <w:r w:rsidRPr="002B5F1A">
        <w:rPr>
          <w:lang w:eastAsia="ja-JP"/>
        </w:rPr>
        <w:t>The IGWC establishes an annual workplan</w:t>
      </w:r>
      <w:r w:rsidR="00E31F88" w:rsidRPr="002B5F1A">
        <w:rPr>
          <w:rStyle w:val="FootnoteReference"/>
          <w:lang w:eastAsia="ja-JP"/>
        </w:rPr>
        <w:footnoteReference w:id="12"/>
      </w:r>
      <w:r w:rsidRPr="002B5F1A">
        <w:rPr>
          <w:lang w:eastAsia="ja-JP"/>
        </w:rPr>
        <w:t xml:space="preserve"> which is designed to respond to current and emerging risks and challenges affecting water compliance. Priority 1 for the 2022-23 annual workplan was trade enforcement</w:t>
      </w:r>
      <w:r w:rsidR="0020603E" w:rsidRPr="002B5F1A">
        <w:rPr>
          <w:lang w:eastAsia="ja-JP"/>
        </w:rPr>
        <w:t>, with a commitment to undertaking investigations into compliance with the Basin Plan Water Trading Rules and taking enforcement action as appropriate</w:t>
      </w:r>
      <w:r w:rsidR="004E37E9" w:rsidRPr="002B5F1A">
        <w:rPr>
          <w:lang w:eastAsia="ja-JP"/>
        </w:rPr>
        <w:t>.</w:t>
      </w:r>
      <w:r w:rsidR="004E37E9">
        <w:rPr>
          <w:lang w:eastAsia="ja-JP"/>
        </w:rPr>
        <w:t xml:space="preserve"> </w:t>
      </w:r>
    </w:p>
    <w:p w14:paraId="04BA572B" w14:textId="77777777" w:rsidR="00235C26" w:rsidRDefault="00235C26" w:rsidP="0020603E">
      <w:pPr>
        <w:rPr>
          <w:lang w:eastAsia="ja-JP"/>
        </w:rPr>
      </w:pPr>
    </w:p>
    <w:p w14:paraId="4FC1AC2A" w14:textId="4FBB7082" w:rsidR="00235C26" w:rsidRPr="002F20F7" w:rsidRDefault="00235C26" w:rsidP="002F20F7">
      <w:pPr>
        <w:spacing w:after="120"/>
        <w:rPr>
          <w:b/>
          <w:bCs/>
          <w:lang w:eastAsia="ja-JP"/>
        </w:rPr>
      </w:pPr>
      <w:r w:rsidRPr="002F20F7">
        <w:rPr>
          <w:b/>
          <w:bCs/>
          <w:lang w:eastAsia="ja-JP"/>
        </w:rPr>
        <w:t>Table 1: IGWC Work Plan 2022/23</w:t>
      </w:r>
    </w:p>
    <w:tbl>
      <w:tblPr>
        <w:tblStyle w:val="TableGrid10"/>
        <w:tblW w:w="9923" w:type="dxa"/>
        <w:tblLook w:val="04A0" w:firstRow="1" w:lastRow="0" w:firstColumn="1" w:lastColumn="0" w:noHBand="0" w:noVBand="1"/>
      </w:tblPr>
      <w:tblGrid>
        <w:gridCol w:w="2552"/>
        <w:gridCol w:w="7371"/>
      </w:tblGrid>
      <w:tr w:rsidR="0078117D" w:rsidRPr="0078117D" w14:paraId="6E6ED662" w14:textId="77777777" w:rsidTr="007811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auto"/>
          </w:tcPr>
          <w:p w14:paraId="51601768" w14:textId="77777777" w:rsidR="0078117D" w:rsidRPr="0078117D" w:rsidRDefault="0078117D" w:rsidP="0078117D">
            <w:pPr>
              <w:suppressAutoHyphens w:val="0"/>
              <w:spacing w:before="120" w:after="120" w:line="260" w:lineRule="exact"/>
              <w:rPr>
                <w:rFonts w:ascii="Roc Grotesk Medium" w:hAnsi="Roc Grotesk Medium" w:cs="Times New Roman"/>
                <w:b/>
                <w:bCs/>
              </w:rPr>
            </w:pPr>
            <w:r w:rsidRPr="0078117D">
              <w:rPr>
                <w:rFonts w:ascii="Roc Grotesk" w:hAnsi="Roc Grotesk" w:cs="Times New Roman"/>
                <w:b/>
                <w:color w:val="48555E"/>
              </w:rPr>
              <w:t>Priority 1: Trade enforcement</w:t>
            </w:r>
          </w:p>
        </w:tc>
      </w:tr>
      <w:tr w:rsidR="0078117D" w:rsidRPr="0078117D" w14:paraId="45F454B7" w14:textId="77777777" w:rsidTr="007129FD">
        <w:trPr>
          <w:cantSplit/>
        </w:trPr>
        <w:tc>
          <w:tcPr>
            <w:cnfStyle w:val="001000000000" w:firstRow="0" w:lastRow="0" w:firstColumn="1" w:lastColumn="0" w:oddVBand="0" w:evenVBand="0" w:oddHBand="0" w:evenHBand="0" w:firstRowFirstColumn="0" w:firstRowLastColumn="0" w:lastRowFirstColumn="0" w:lastRowLastColumn="0"/>
            <w:tcW w:w="2552" w:type="dxa"/>
          </w:tcPr>
          <w:p w14:paraId="2D236A22" w14:textId="77777777" w:rsidR="0078117D" w:rsidRPr="0078117D" w:rsidRDefault="0078117D" w:rsidP="0078117D">
            <w:pPr>
              <w:suppressAutoHyphens w:val="0"/>
              <w:spacing w:before="120" w:after="120" w:line="260" w:lineRule="exact"/>
              <w:rPr>
                <w:rFonts w:ascii="Roc Grotesk" w:hAnsi="Roc Grotesk" w:cs="Times New Roman"/>
              </w:rPr>
            </w:pPr>
            <w:r w:rsidRPr="0078117D">
              <w:rPr>
                <w:rFonts w:ascii="Roc Grotesk" w:hAnsi="Roc Grotesk" w:cs="Times New Roman"/>
              </w:rPr>
              <w:t>Why it’s a priority</w:t>
            </w:r>
          </w:p>
        </w:tc>
        <w:tc>
          <w:tcPr>
            <w:tcW w:w="7371" w:type="dxa"/>
          </w:tcPr>
          <w:p w14:paraId="42AB6FFF" w14:textId="77777777" w:rsidR="0078117D" w:rsidRPr="0078117D" w:rsidRDefault="0078117D" w:rsidP="0078117D">
            <w:pPr>
              <w:suppressAutoHyphens w:val="0"/>
              <w:spacing w:before="120" w:after="120" w:line="260" w:lineRule="exact"/>
              <w:cnfStyle w:val="000000000000" w:firstRow="0" w:lastRow="0" w:firstColumn="0" w:lastColumn="0" w:oddVBand="0" w:evenVBand="0" w:oddHBand="0" w:evenHBand="0" w:firstRowFirstColumn="0" w:firstRowLastColumn="0" w:lastRowFirstColumn="0" w:lastRowLastColumn="0"/>
              <w:rPr>
                <w:rFonts w:ascii="Roc Grotesk" w:hAnsi="Roc Grotesk" w:cs="Times New Roman"/>
              </w:rPr>
            </w:pPr>
            <w:r w:rsidRPr="0078117D">
              <w:rPr>
                <w:rFonts w:ascii="Roc Grotesk" w:hAnsi="Roc Grotesk" w:cs="Times New Roman"/>
              </w:rPr>
              <w:t>The heathy operation of the water market relies on transparent, accurate and timely reporting of data. Water market compliance and enforcement are predominantly the domain of Basin states, however the Inspector-General has a limited role to enforce rules within the Basin Plan. The ACCC’s final inquiry report demonstrated that significant improvements are needed across all aspects of water market regulation and a concerted effort is required by all levels of government and regulators.</w:t>
            </w:r>
          </w:p>
        </w:tc>
      </w:tr>
      <w:tr w:rsidR="0078117D" w:rsidRPr="0078117D" w14:paraId="4D7EC50A" w14:textId="77777777" w:rsidTr="007129FD">
        <w:trPr>
          <w:cantSplit/>
        </w:trPr>
        <w:tc>
          <w:tcPr>
            <w:cnfStyle w:val="001000000000" w:firstRow="0" w:lastRow="0" w:firstColumn="1" w:lastColumn="0" w:oddVBand="0" w:evenVBand="0" w:oddHBand="0" w:evenHBand="0" w:firstRowFirstColumn="0" w:firstRowLastColumn="0" w:lastRowFirstColumn="0" w:lastRowLastColumn="0"/>
            <w:tcW w:w="2552" w:type="dxa"/>
          </w:tcPr>
          <w:p w14:paraId="4962CA78" w14:textId="77777777" w:rsidR="0078117D" w:rsidRPr="0078117D" w:rsidRDefault="0078117D" w:rsidP="0078117D">
            <w:pPr>
              <w:suppressAutoHyphens w:val="0"/>
              <w:spacing w:before="120" w:after="120" w:line="260" w:lineRule="exact"/>
              <w:rPr>
                <w:rFonts w:ascii="Roc Grotesk" w:hAnsi="Roc Grotesk" w:cs="Times New Roman"/>
              </w:rPr>
            </w:pPr>
            <w:r w:rsidRPr="0078117D">
              <w:rPr>
                <w:rFonts w:ascii="Roc Grotesk" w:hAnsi="Roc Grotesk" w:cs="Times New Roman"/>
              </w:rPr>
              <w:t>Inspector-General’s desired outcome</w:t>
            </w:r>
          </w:p>
        </w:tc>
        <w:tc>
          <w:tcPr>
            <w:tcW w:w="7371" w:type="dxa"/>
          </w:tcPr>
          <w:p w14:paraId="6DFE3D33" w14:textId="77777777" w:rsidR="0078117D" w:rsidRPr="0078117D" w:rsidRDefault="0078117D" w:rsidP="0078117D">
            <w:pPr>
              <w:suppressAutoHyphens w:val="0"/>
              <w:spacing w:before="120" w:after="120" w:line="260" w:lineRule="exact"/>
              <w:cnfStyle w:val="000000000000" w:firstRow="0" w:lastRow="0" w:firstColumn="0" w:lastColumn="0" w:oddVBand="0" w:evenVBand="0" w:oddHBand="0" w:evenHBand="0" w:firstRowFirstColumn="0" w:firstRowLastColumn="0" w:lastRowFirstColumn="0" w:lastRowLastColumn="0"/>
              <w:rPr>
                <w:rFonts w:ascii="Roc Grotesk" w:hAnsi="Roc Grotesk" w:cs="Times New Roman"/>
              </w:rPr>
            </w:pPr>
            <w:r w:rsidRPr="0078117D">
              <w:rPr>
                <w:rFonts w:ascii="Roc Grotesk" w:hAnsi="Roc Grotesk" w:cs="Times New Roman"/>
              </w:rPr>
              <w:t>The regulated water community understand the rules and comply with them.</w:t>
            </w:r>
          </w:p>
        </w:tc>
      </w:tr>
      <w:tr w:rsidR="0078117D" w:rsidRPr="0078117D" w14:paraId="1BC9AA64" w14:textId="77777777" w:rsidTr="007129FD">
        <w:trPr>
          <w:cantSplit/>
        </w:trPr>
        <w:tc>
          <w:tcPr>
            <w:cnfStyle w:val="001000000000" w:firstRow="0" w:lastRow="0" w:firstColumn="1" w:lastColumn="0" w:oddVBand="0" w:evenVBand="0" w:oddHBand="0" w:evenHBand="0" w:firstRowFirstColumn="0" w:firstRowLastColumn="0" w:lastRowFirstColumn="0" w:lastRowLastColumn="0"/>
            <w:tcW w:w="2552" w:type="dxa"/>
          </w:tcPr>
          <w:p w14:paraId="1359DFAF" w14:textId="77777777" w:rsidR="0078117D" w:rsidRPr="0078117D" w:rsidRDefault="0078117D" w:rsidP="0078117D">
            <w:pPr>
              <w:suppressAutoHyphens w:val="0"/>
              <w:spacing w:before="120" w:after="120" w:line="260" w:lineRule="exact"/>
              <w:rPr>
                <w:rFonts w:ascii="Roc Grotesk" w:hAnsi="Roc Grotesk" w:cs="Times New Roman"/>
              </w:rPr>
            </w:pPr>
            <w:r w:rsidRPr="0078117D">
              <w:rPr>
                <w:rFonts w:ascii="Roc Grotesk" w:hAnsi="Roc Grotesk" w:cs="Times New Roman"/>
              </w:rPr>
              <w:t>What the</w:t>
            </w:r>
            <w:r w:rsidRPr="0078117D">
              <w:rPr>
                <w:rFonts w:ascii="Roc Grotesk" w:hAnsi="Roc Grotesk" w:cs="Times New Roman"/>
              </w:rPr>
              <w:br/>
              <w:t>Inspector-General will do</w:t>
            </w:r>
          </w:p>
        </w:tc>
        <w:tc>
          <w:tcPr>
            <w:tcW w:w="7371" w:type="dxa"/>
          </w:tcPr>
          <w:p w14:paraId="79E70840" w14:textId="77777777" w:rsidR="0078117D" w:rsidRPr="0078117D" w:rsidRDefault="0078117D" w:rsidP="0078117D">
            <w:pPr>
              <w:tabs>
                <w:tab w:val="num" w:pos="227"/>
              </w:tabs>
              <w:suppressAutoHyphens w:val="0"/>
              <w:spacing w:before="120" w:after="240" w:line="260" w:lineRule="exact"/>
              <w:ind w:left="227" w:hanging="227"/>
              <w:contextualSpacing/>
              <w:cnfStyle w:val="000000000000" w:firstRow="0" w:lastRow="0" w:firstColumn="0" w:lastColumn="0" w:oddVBand="0" w:evenVBand="0" w:oddHBand="0" w:evenHBand="0" w:firstRowFirstColumn="0" w:firstRowLastColumn="0" w:lastRowFirstColumn="0" w:lastRowLastColumn="0"/>
              <w:rPr>
                <w:rFonts w:ascii="Roc Grotesk" w:hAnsi="Roc Grotesk" w:cs="Times New Roman"/>
              </w:rPr>
            </w:pPr>
            <w:r w:rsidRPr="0078117D">
              <w:rPr>
                <w:rFonts w:ascii="Roc Grotesk" w:hAnsi="Roc Grotesk" w:cs="Times New Roman"/>
              </w:rPr>
              <w:t>Focus on provisions in the Water Act and the Basin Plan which require the price of a trade to be reported.</w:t>
            </w:r>
          </w:p>
          <w:p w14:paraId="2F346AA0" w14:textId="77777777" w:rsidR="0078117D" w:rsidRPr="0078117D" w:rsidRDefault="0078117D" w:rsidP="0078117D">
            <w:pPr>
              <w:tabs>
                <w:tab w:val="num" w:pos="227"/>
              </w:tabs>
              <w:suppressAutoHyphens w:val="0"/>
              <w:spacing w:before="120" w:after="240" w:line="260" w:lineRule="exact"/>
              <w:ind w:left="227" w:hanging="227"/>
              <w:contextualSpacing/>
              <w:cnfStyle w:val="000000000000" w:firstRow="0" w:lastRow="0" w:firstColumn="0" w:lastColumn="0" w:oddVBand="0" w:evenVBand="0" w:oddHBand="0" w:evenHBand="0" w:firstRowFirstColumn="0" w:firstRowLastColumn="0" w:lastRowFirstColumn="0" w:lastRowLastColumn="0"/>
              <w:rPr>
                <w:rFonts w:ascii="Roc Grotesk" w:hAnsi="Roc Grotesk" w:cs="Times New Roman"/>
              </w:rPr>
            </w:pPr>
            <w:r w:rsidRPr="0078117D">
              <w:rPr>
                <w:rFonts w:ascii="Roc Grotesk" w:hAnsi="Roc Grotesk" w:cs="Times New Roman"/>
              </w:rPr>
              <w:t xml:space="preserve">Publish one audit report in relation to compliance with trade disclosure obligations under the Murray-Darling Basin Plan. </w:t>
            </w:r>
          </w:p>
          <w:p w14:paraId="08EB3AD8" w14:textId="77777777" w:rsidR="0078117D" w:rsidRPr="0078117D" w:rsidRDefault="0078117D" w:rsidP="0078117D">
            <w:pPr>
              <w:tabs>
                <w:tab w:val="num" w:pos="227"/>
              </w:tabs>
              <w:suppressAutoHyphens w:val="0"/>
              <w:spacing w:before="120" w:after="240" w:line="260" w:lineRule="exact"/>
              <w:ind w:left="227" w:hanging="227"/>
              <w:contextualSpacing/>
              <w:cnfStyle w:val="000000000000" w:firstRow="0" w:lastRow="0" w:firstColumn="0" w:lastColumn="0" w:oddVBand="0" w:evenVBand="0" w:oddHBand="0" w:evenHBand="0" w:firstRowFirstColumn="0" w:firstRowLastColumn="0" w:lastRowFirstColumn="0" w:lastRowLastColumn="0"/>
              <w:rPr>
                <w:rFonts w:ascii="Roc Grotesk" w:hAnsi="Roc Grotesk" w:cs="Times New Roman"/>
              </w:rPr>
            </w:pPr>
            <w:r w:rsidRPr="0078117D">
              <w:rPr>
                <w:rFonts w:ascii="Roc Grotesk" w:hAnsi="Roc Grotesk" w:cs="Times New Roman"/>
              </w:rPr>
              <w:t>Publish one audit report in relation to trade accounting and compliance.</w:t>
            </w:r>
          </w:p>
          <w:p w14:paraId="433D2538" w14:textId="77777777" w:rsidR="0078117D" w:rsidRPr="0078117D" w:rsidRDefault="0078117D" w:rsidP="0078117D">
            <w:pPr>
              <w:tabs>
                <w:tab w:val="num" w:pos="227"/>
              </w:tabs>
              <w:suppressAutoHyphens w:val="0"/>
              <w:spacing w:before="120" w:after="240" w:line="260" w:lineRule="exact"/>
              <w:ind w:left="227" w:hanging="227"/>
              <w:contextualSpacing/>
              <w:cnfStyle w:val="000000000000" w:firstRow="0" w:lastRow="0" w:firstColumn="0" w:lastColumn="0" w:oddVBand="0" w:evenVBand="0" w:oddHBand="0" w:evenHBand="0" w:firstRowFirstColumn="0" w:firstRowLastColumn="0" w:lastRowFirstColumn="0" w:lastRowLastColumn="0"/>
              <w:rPr>
                <w:rFonts w:ascii="Roc Grotesk" w:hAnsi="Roc Grotesk" w:cs="Times New Roman"/>
              </w:rPr>
            </w:pPr>
            <w:r w:rsidRPr="0078117D">
              <w:rPr>
                <w:rFonts w:ascii="Roc Grotesk" w:hAnsi="Roc Grotesk" w:cs="Times New Roman"/>
              </w:rPr>
              <w:t>Undertake investigations into compliance with the Basin Plan Water Trading Rules and take enforcement action as appropriate.</w:t>
            </w:r>
          </w:p>
        </w:tc>
      </w:tr>
    </w:tbl>
    <w:p w14:paraId="48D8F9AF" w14:textId="77777777" w:rsidR="0078117D" w:rsidRDefault="0078117D" w:rsidP="0020603E">
      <w:pPr>
        <w:rPr>
          <w:lang w:eastAsia="ja-JP"/>
        </w:rPr>
      </w:pPr>
    </w:p>
    <w:p w14:paraId="579C7318" w14:textId="79A7CA01" w:rsidR="00C51074" w:rsidRDefault="00AC48F5" w:rsidP="00D800BC">
      <w:pPr>
        <w:rPr>
          <w:lang w:eastAsia="ja-JP"/>
        </w:rPr>
      </w:pPr>
      <w:r>
        <w:rPr>
          <w:lang w:eastAsia="ja-JP"/>
        </w:rPr>
        <w:t>Th</w:t>
      </w:r>
      <w:r w:rsidR="00185B2B">
        <w:rPr>
          <w:lang w:eastAsia="ja-JP"/>
        </w:rPr>
        <w:t>e</w:t>
      </w:r>
      <w:r>
        <w:rPr>
          <w:lang w:eastAsia="ja-JP"/>
        </w:rPr>
        <w:t xml:space="preserve"> </w:t>
      </w:r>
      <w:r w:rsidR="00933C25">
        <w:rPr>
          <w:lang w:eastAsia="ja-JP"/>
        </w:rPr>
        <w:t>l</w:t>
      </w:r>
      <w:r w:rsidRPr="00AC48F5">
        <w:rPr>
          <w:lang w:eastAsia="ja-JP"/>
        </w:rPr>
        <w:t xml:space="preserve">ack of price reporting </w:t>
      </w:r>
      <w:r w:rsidR="00933C25">
        <w:rPr>
          <w:lang w:eastAsia="ja-JP"/>
        </w:rPr>
        <w:t>in the</w:t>
      </w:r>
      <w:r w:rsidRPr="00AC48F5">
        <w:rPr>
          <w:lang w:eastAsia="ja-JP"/>
        </w:rPr>
        <w:t xml:space="preserve"> </w:t>
      </w:r>
      <w:r w:rsidR="00933C25">
        <w:rPr>
          <w:lang w:eastAsia="ja-JP"/>
        </w:rPr>
        <w:t>N</w:t>
      </w:r>
      <w:r w:rsidRPr="00AC48F5">
        <w:rPr>
          <w:lang w:eastAsia="ja-JP"/>
        </w:rPr>
        <w:t xml:space="preserve">orthern </w:t>
      </w:r>
      <w:r>
        <w:rPr>
          <w:lang w:eastAsia="ja-JP"/>
        </w:rPr>
        <w:t>B</w:t>
      </w:r>
      <w:r w:rsidRPr="00AC48F5">
        <w:rPr>
          <w:lang w:eastAsia="ja-JP"/>
        </w:rPr>
        <w:t>asin</w:t>
      </w:r>
      <w:r w:rsidR="000E33BA">
        <w:rPr>
          <w:lang w:eastAsia="ja-JP"/>
        </w:rPr>
        <w:t>, especially in the</w:t>
      </w:r>
      <w:bookmarkStart w:id="15" w:name="_Hlk146900934"/>
      <w:r>
        <w:rPr>
          <w:lang w:eastAsia="ja-JP"/>
        </w:rPr>
        <w:t xml:space="preserve"> </w:t>
      </w:r>
      <w:r w:rsidR="005346B3">
        <w:rPr>
          <w:lang w:eastAsia="ja-JP"/>
        </w:rPr>
        <w:t>New South Wales (</w:t>
      </w:r>
      <w:r w:rsidRPr="00AC48F5">
        <w:rPr>
          <w:lang w:eastAsia="ja-JP"/>
        </w:rPr>
        <w:t>NSW</w:t>
      </w:r>
      <w:r w:rsidR="005346B3">
        <w:rPr>
          <w:lang w:eastAsia="ja-JP"/>
        </w:rPr>
        <w:t>)</w:t>
      </w:r>
      <w:r w:rsidRPr="00AC48F5">
        <w:rPr>
          <w:lang w:eastAsia="ja-JP"/>
        </w:rPr>
        <w:t xml:space="preserve"> Macquarie </w:t>
      </w:r>
      <w:r w:rsidR="00883B42">
        <w:rPr>
          <w:lang w:eastAsia="ja-JP"/>
        </w:rPr>
        <w:t>region</w:t>
      </w:r>
      <w:r w:rsidR="005A4BD5">
        <w:rPr>
          <w:rStyle w:val="FootnoteReference"/>
          <w:lang w:eastAsia="ja-JP"/>
        </w:rPr>
        <w:footnoteReference w:id="13"/>
      </w:r>
      <w:r w:rsidR="00883B42">
        <w:rPr>
          <w:lang w:eastAsia="ja-JP"/>
        </w:rPr>
        <w:t xml:space="preserve">, </w:t>
      </w:r>
      <w:r w:rsidR="002C5965">
        <w:rPr>
          <w:lang w:eastAsia="ja-JP"/>
        </w:rPr>
        <w:t>was highlighted by analysis</w:t>
      </w:r>
      <w:r w:rsidR="005B634E">
        <w:rPr>
          <w:lang w:eastAsia="ja-JP"/>
        </w:rPr>
        <w:t xml:space="preserve"> a</w:t>
      </w:r>
      <w:r w:rsidR="00883B42">
        <w:rPr>
          <w:lang w:eastAsia="ja-JP"/>
        </w:rPr>
        <w:t xml:space="preserve">s a </w:t>
      </w:r>
      <w:r w:rsidR="00185B2B">
        <w:rPr>
          <w:lang w:eastAsia="ja-JP"/>
        </w:rPr>
        <w:t>risk to market transparency</w:t>
      </w:r>
      <w:r w:rsidR="005B634E">
        <w:rPr>
          <w:lang w:eastAsia="ja-JP"/>
        </w:rPr>
        <w:t xml:space="preserve"> which warranted further proactive investigation</w:t>
      </w:r>
      <w:r w:rsidR="00883B42">
        <w:rPr>
          <w:lang w:eastAsia="ja-JP"/>
        </w:rPr>
        <w:t xml:space="preserve">. As a result, an investigation focused on trades with $0 reported prices </w:t>
      </w:r>
      <w:bookmarkEnd w:id="15"/>
      <w:r w:rsidR="00E004AF">
        <w:rPr>
          <w:lang w:eastAsia="ja-JP"/>
        </w:rPr>
        <w:t xml:space="preserve">in </w:t>
      </w:r>
      <w:bookmarkStart w:id="16" w:name="_Hlk146893174"/>
      <w:r w:rsidR="00E004AF">
        <w:rPr>
          <w:lang w:eastAsia="ja-JP"/>
        </w:rPr>
        <w:t xml:space="preserve">the </w:t>
      </w:r>
      <w:r w:rsidR="00C51074">
        <w:rPr>
          <w:lang w:eastAsia="ja-JP"/>
        </w:rPr>
        <w:t>NSW Macquarie</w:t>
      </w:r>
      <w:bookmarkEnd w:id="16"/>
      <w:r w:rsidR="00967D34">
        <w:rPr>
          <w:lang w:eastAsia="ja-JP"/>
        </w:rPr>
        <w:t xml:space="preserve"> region</w:t>
      </w:r>
      <w:r w:rsidR="00C51074">
        <w:rPr>
          <w:lang w:eastAsia="ja-JP"/>
        </w:rPr>
        <w:t>.</w:t>
      </w:r>
      <w:r w:rsidR="00325B5F" w:rsidRPr="00E33F8B">
        <w:rPr>
          <w:lang w:eastAsia="ja-JP"/>
        </w:rPr>
        <w:t xml:space="preserve"> The primary focus was</w:t>
      </w:r>
      <w:r w:rsidR="00E33F8B" w:rsidRPr="00E33F8B">
        <w:rPr>
          <w:lang w:eastAsia="ja-JP"/>
        </w:rPr>
        <w:t xml:space="preserve"> on the</w:t>
      </w:r>
      <w:r w:rsidR="00325B5F" w:rsidRPr="00E33F8B">
        <w:rPr>
          <w:lang w:eastAsia="ja-JP"/>
        </w:rPr>
        <w:t xml:space="preserve"> responsibility for making sure individuals report prices as required by section 12.48 of the Basin Plan.</w:t>
      </w:r>
    </w:p>
    <w:p w14:paraId="42814E64" w14:textId="77777777" w:rsidR="00DF4074" w:rsidRDefault="00DF4074">
      <w:pPr>
        <w:suppressAutoHyphens w:val="0"/>
        <w:spacing w:before="0" w:after="0" w:line="240" w:lineRule="auto"/>
        <w:rPr>
          <w:rFonts w:cs="Roc Grotesk Medium"/>
          <w:b/>
          <w:color w:val="47555E"/>
          <w:sz w:val="36"/>
          <w:szCs w:val="26"/>
          <w:lang w:val="en-US"/>
        </w:rPr>
      </w:pPr>
      <w:bookmarkStart w:id="17" w:name="_Toc95225083"/>
      <w:bookmarkStart w:id="18" w:name="_Toc95225110"/>
      <w:bookmarkStart w:id="19" w:name="_Toc95225269"/>
      <w:bookmarkStart w:id="20" w:name="_Toc95225300"/>
      <w:bookmarkStart w:id="21" w:name="_Toc95225444"/>
      <w:bookmarkStart w:id="22" w:name="_Toc95228420"/>
      <w:bookmarkStart w:id="23" w:name="_Toc95228560"/>
      <w:bookmarkStart w:id="24" w:name="_Toc107499516"/>
      <w:bookmarkStart w:id="25" w:name="_Toc148421500"/>
      <w:r>
        <w:br w:type="page"/>
      </w:r>
    </w:p>
    <w:p w14:paraId="0399B3E2" w14:textId="52E551D6" w:rsidR="00D800BC" w:rsidRDefault="003E449A" w:rsidP="00682325">
      <w:pPr>
        <w:pStyle w:val="Heading3"/>
      </w:pPr>
      <w:r>
        <w:lastRenderedPageBreak/>
        <w:t>Observat</w:t>
      </w:r>
      <w:r w:rsidR="00D800BC">
        <w:t>ion</w:t>
      </w:r>
      <w:bookmarkStart w:id="26" w:name="_Toc430782150"/>
      <w:bookmarkStart w:id="27" w:name="_Toc85185959"/>
      <w:bookmarkEnd w:id="17"/>
      <w:bookmarkEnd w:id="18"/>
      <w:bookmarkEnd w:id="19"/>
      <w:bookmarkEnd w:id="20"/>
      <w:bookmarkEnd w:id="21"/>
      <w:bookmarkEnd w:id="22"/>
      <w:bookmarkEnd w:id="23"/>
      <w:bookmarkEnd w:id="24"/>
      <w:r>
        <w:t>s</w:t>
      </w:r>
      <w:bookmarkEnd w:id="25"/>
    </w:p>
    <w:p w14:paraId="37936833" w14:textId="5DB0ACE5" w:rsidR="00772E7E" w:rsidRDefault="00CF696E" w:rsidP="00D800BC">
      <w:r>
        <w:t xml:space="preserve">The investigations </w:t>
      </w:r>
      <w:r w:rsidR="003F20F5">
        <w:t>into</w:t>
      </w:r>
      <w:r>
        <w:t xml:space="preserve"> </w:t>
      </w:r>
      <w:r w:rsidR="00B41DEB">
        <w:t xml:space="preserve">a limited </w:t>
      </w:r>
      <w:r w:rsidR="003F20F5">
        <w:t xml:space="preserve">sample of </w:t>
      </w:r>
      <w:proofErr w:type="gramStart"/>
      <w:r w:rsidR="00EE0722">
        <w:t xml:space="preserve">a </w:t>
      </w:r>
      <w:r w:rsidR="00B41DEB">
        <w:t>number</w:t>
      </w:r>
      <w:r>
        <w:t xml:space="preserve"> of</w:t>
      </w:r>
      <w:proofErr w:type="gramEnd"/>
      <w:r>
        <w:t xml:space="preserve"> </w:t>
      </w:r>
      <w:bookmarkStart w:id="28" w:name="_Hlk146893858"/>
      <w:r>
        <w:t xml:space="preserve">zero-dollar </w:t>
      </w:r>
      <w:r w:rsidR="0046249B">
        <w:t xml:space="preserve">water </w:t>
      </w:r>
      <w:r>
        <w:t xml:space="preserve">allocation trades </w:t>
      </w:r>
      <w:bookmarkStart w:id="29" w:name="_Hlk146893698"/>
      <w:bookmarkEnd w:id="28"/>
      <w:r>
        <w:t xml:space="preserve">in the NSW Macquarie </w:t>
      </w:r>
      <w:r w:rsidR="001D514D">
        <w:t>during</w:t>
      </w:r>
      <w:r>
        <w:t xml:space="preserve"> 2021/22 </w:t>
      </w:r>
      <w:bookmarkEnd w:id="29"/>
      <w:r>
        <w:t xml:space="preserve">did not </w:t>
      </w:r>
      <w:r w:rsidR="001D514D">
        <w:t xml:space="preserve">uncover </w:t>
      </w:r>
      <w:r w:rsidR="00123E34">
        <w:t xml:space="preserve">evidence of </w:t>
      </w:r>
      <w:r w:rsidR="001D514D">
        <w:t xml:space="preserve">any non-compliance </w:t>
      </w:r>
      <w:r w:rsidR="00094DAC">
        <w:t xml:space="preserve">with </w:t>
      </w:r>
      <w:r w:rsidR="00094DAC" w:rsidRPr="00A051EC">
        <w:t>section 12.48</w:t>
      </w:r>
      <w:r w:rsidR="00094DAC">
        <w:t xml:space="preserve"> of the Basin Plan. </w:t>
      </w:r>
      <w:r w:rsidR="00B35322">
        <w:t>H</w:t>
      </w:r>
      <w:r w:rsidR="00094DAC">
        <w:t>owever</w:t>
      </w:r>
      <w:r w:rsidR="00B35322">
        <w:t xml:space="preserve">, these investigations did reveal certain limitations </w:t>
      </w:r>
      <w:r w:rsidR="005B7D1F">
        <w:t>in the legislation governing water trade price reporting.</w:t>
      </w:r>
    </w:p>
    <w:p w14:paraId="58DD2143" w14:textId="77777777" w:rsidR="0058603E" w:rsidRDefault="00761B82" w:rsidP="0058603E">
      <w:r>
        <w:t>W</w:t>
      </w:r>
      <w:r w:rsidR="005B7D1F">
        <w:t xml:space="preserve">hile these limitations do not indicate non-compliance </w:t>
      </w:r>
      <w:r>
        <w:t xml:space="preserve">with the Basin Plan or Water Act, it’s advisable for legislators to consider addressing these weaknesses </w:t>
      </w:r>
      <w:r w:rsidR="00EE7587">
        <w:t>to</w:t>
      </w:r>
      <w:r>
        <w:t xml:space="preserve"> achieve </w:t>
      </w:r>
      <w:r w:rsidR="00EE7587">
        <w:t>two</w:t>
      </w:r>
      <w:r>
        <w:t xml:space="preserve"> important goals</w:t>
      </w:r>
      <w:r w:rsidR="00EE7587">
        <w:t xml:space="preserve">: </w:t>
      </w:r>
    </w:p>
    <w:p w14:paraId="4C55EEBF" w14:textId="1861AF9B" w:rsidR="0058603E" w:rsidRPr="002E27D3" w:rsidRDefault="00D75415" w:rsidP="00321C2F">
      <w:pPr>
        <w:pStyle w:val="ListParagraph"/>
        <w:numPr>
          <w:ilvl w:val="0"/>
          <w:numId w:val="26"/>
        </w:numPr>
        <w:spacing w:before="60" w:after="60"/>
        <w:rPr>
          <w:rFonts w:ascii="Arial" w:hAnsi="Arial" w:cs="Arial"/>
          <w:sz w:val="20"/>
          <w:szCs w:val="20"/>
        </w:rPr>
      </w:pPr>
      <w:r w:rsidRPr="002E27D3">
        <w:rPr>
          <w:rFonts w:ascii="Arial" w:hAnsi="Arial" w:cs="Arial"/>
          <w:i/>
          <w:iCs/>
          <w:sz w:val="20"/>
          <w:szCs w:val="20"/>
        </w:rPr>
        <w:t>G</w:t>
      </w:r>
      <w:r w:rsidR="008C73E9" w:rsidRPr="002E27D3">
        <w:rPr>
          <w:rFonts w:ascii="Arial" w:hAnsi="Arial" w:cs="Arial"/>
          <w:i/>
          <w:iCs/>
          <w:sz w:val="20"/>
          <w:szCs w:val="20"/>
        </w:rPr>
        <w:t>reater public confidence</w:t>
      </w:r>
      <w:r w:rsidR="008C73E9" w:rsidRPr="002E27D3">
        <w:rPr>
          <w:rFonts w:ascii="Arial" w:hAnsi="Arial" w:cs="Arial"/>
          <w:sz w:val="20"/>
          <w:szCs w:val="20"/>
        </w:rPr>
        <w:t xml:space="preserve">: to </w:t>
      </w:r>
      <w:r w:rsidR="007B406C" w:rsidRPr="002E27D3">
        <w:rPr>
          <w:rFonts w:ascii="Arial" w:hAnsi="Arial" w:cs="Arial"/>
          <w:sz w:val="20"/>
          <w:szCs w:val="20"/>
        </w:rPr>
        <w:t>instil</w:t>
      </w:r>
      <w:r w:rsidR="008C73E9" w:rsidRPr="002E27D3">
        <w:rPr>
          <w:rFonts w:ascii="Arial" w:hAnsi="Arial" w:cs="Arial"/>
          <w:sz w:val="20"/>
          <w:szCs w:val="20"/>
        </w:rPr>
        <w:t xml:space="preserve"> greater confidence in the public regarding the water </w:t>
      </w:r>
      <w:r w:rsidR="006327C0" w:rsidRPr="002E27D3">
        <w:rPr>
          <w:rFonts w:ascii="Arial" w:hAnsi="Arial" w:cs="Arial"/>
          <w:sz w:val="20"/>
          <w:szCs w:val="20"/>
        </w:rPr>
        <w:br/>
      </w:r>
      <w:r w:rsidR="008C73E9" w:rsidRPr="002E27D3">
        <w:rPr>
          <w:rFonts w:ascii="Arial" w:hAnsi="Arial" w:cs="Arial"/>
          <w:sz w:val="20"/>
          <w:szCs w:val="20"/>
        </w:rPr>
        <w:t>market.</w:t>
      </w:r>
    </w:p>
    <w:p w14:paraId="5C2B9FC5" w14:textId="43432A4D" w:rsidR="008E127C" w:rsidRPr="002E27D3" w:rsidRDefault="007B406C" w:rsidP="00321C2F">
      <w:pPr>
        <w:pStyle w:val="ListParagraph"/>
        <w:numPr>
          <w:ilvl w:val="0"/>
          <w:numId w:val="26"/>
        </w:numPr>
        <w:spacing w:before="60" w:after="60"/>
        <w:rPr>
          <w:rFonts w:ascii="Arial" w:hAnsi="Arial" w:cs="Arial"/>
          <w:sz w:val="20"/>
          <w:szCs w:val="20"/>
        </w:rPr>
      </w:pPr>
      <w:r w:rsidRPr="002E27D3">
        <w:rPr>
          <w:rFonts w:ascii="Arial" w:hAnsi="Arial" w:cs="Arial"/>
          <w:i/>
          <w:iCs/>
          <w:sz w:val="20"/>
          <w:szCs w:val="20"/>
        </w:rPr>
        <w:t>Effective contribution to Basin Plan outcomes</w:t>
      </w:r>
      <w:r w:rsidRPr="002E27D3">
        <w:rPr>
          <w:rFonts w:ascii="Arial" w:hAnsi="Arial" w:cs="Arial"/>
          <w:sz w:val="20"/>
          <w:szCs w:val="20"/>
        </w:rPr>
        <w:t xml:space="preserve">: to ensure that compliance arrangements </w:t>
      </w:r>
      <w:r w:rsidR="006327C0" w:rsidRPr="002E27D3">
        <w:rPr>
          <w:rFonts w:ascii="Arial" w:hAnsi="Arial" w:cs="Arial"/>
          <w:sz w:val="20"/>
          <w:szCs w:val="20"/>
        </w:rPr>
        <w:br/>
      </w:r>
      <w:r w:rsidRPr="002E27D3">
        <w:rPr>
          <w:rFonts w:ascii="Arial" w:hAnsi="Arial" w:cs="Arial"/>
          <w:sz w:val="20"/>
          <w:szCs w:val="20"/>
        </w:rPr>
        <w:t>effectively contribute to achieving the goals of the Basin Plan.</w:t>
      </w:r>
    </w:p>
    <w:p w14:paraId="63F36F61" w14:textId="2C6743B1" w:rsidR="00D800BC" w:rsidRDefault="0081402B" w:rsidP="00D970DE">
      <w:pPr>
        <w:spacing w:after="200"/>
        <w:rPr>
          <w:b/>
          <w:bCs/>
          <w:sz w:val="24"/>
        </w:rPr>
      </w:pPr>
      <w:r>
        <w:rPr>
          <w:b/>
          <w:bCs/>
          <w:sz w:val="24"/>
        </w:rPr>
        <w:t>Table</w:t>
      </w:r>
      <w:r w:rsidR="0058426F">
        <w:rPr>
          <w:b/>
          <w:bCs/>
          <w:sz w:val="24"/>
        </w:rPr>
        <w:t xml:space="preserve"> </w:t>
      </w:r>
      <w:r w:rsidR="002F20F7">
        <w:rPr>
          <w:b/>
          <w:bCs/>
          <w:sz w:val="24"/>
        </w:rPr>
        <w:t>2</w:t>
      </w:r>
      <w:r w:rsidR="0058426F">
        <w:rPr>
          <w:b/>
          <w:bCs/>
          <w:sz w:val="24"/>
        </w:rPr>
        <w:t xml:space="preserve">: </w:t>
      </w:r>
      <w:r w:rsidR="004663A4">
        <w:rPr>
          <w:b/>
          <w:bCs/>
          <w:sz w:val="24"/>
        </w:rPr>
        <w:t>Observations</w:t>
      </w:r>
    </w:p>
    <w:tbl>
      <w:tblPr>
        <w:tblStyle w:val="TableGrid"/>
        <w:tblW w:w="9209" w:type="dxa"/>
        <w:tblLook w:val="04A0" w:firstRow="1" w:lastRow="0" w:firstColumn="1" w:lastColumn="0" w:noHBand="0" w:noVBand="1"/>
      </w:tblPr>
      <w:tblGrid>
        <w:gridCol w:w="4248"/>
        <w:gridCol w:w="4961"/>
      </w:tblGrid>
      <w:tr w:rsidR="00413C46" w14:paraId="16188A98" w14:textId="77777777" w:rsidTr="00107256">
        <w:tc>
          <w:tcPr>
            <w:tcW w:w="4248" w:type="dxa"/>
            <w:shd w:val="clear" w:color="auto" w:fill="538135" w:themeFill="accent6" w:themeFillShade="BF"/>
          </w:tcPr>
          <w:p w14:paraId="36631FD3" w14:textId="77777777" w:rsidR="00413C46" w:rsidRPr="002319FF" w:rsidRDefault="00413C46" w:rsidP="002220C9">
            <w:pPr>
              <w:rPr>
                <w:b/>
                <w:bCs/>
                <w:color w:val="FFFFFF" w:themeColor="background1"/>
                <w:sz w:val="24"/>
              </w:rPr>
            </w:pPr>
            <w:r w:rsidRPr="002319FF">
              <w:rPr>
                <w:b/>
                <w:bCs/>
                <w:color w:val="FFFFFF" w:themeColor="background1"/>
              </w:rPr>
              <w:t>Issue</w:t>
            </w:r>
          </w:p>
        </w:tc>
        <w:tc>
          <w:tcPr>
            <w:tcW w:w="4961" w:type="dxa"/>
            <w:shd w:val="clear" w:color="auto" w:fill="538135" w:themeFill="accent6" w:themeFillShade="BF"/>
          </w:tcPr>
          <w:p w14:paraId="13C8B6C6" w14:textId="433FE4DA" w:rsidR="00413C46" w:rsidRPr="002319FF" w:rsidRDefault="000267E0" w:rsidP="002220C9">
            <w:pPr>
              <w:rPr>
                <w:b/>
                <w:bCs/>
                <w:color w:val="FFFFFF" w:themeColor="background1"/>
                <w:sz w:val="24"/>
              </w:rPr>
            </w:pPr>
            <w:r>
              <w:rPr>
                <w:rFonts w:eastAsia="Calibri" w:cs="Arial"/>
                <w:b/>
                <w:color w:val="FFFFFF" w:themeColor="background1"/>
              </w:rPr>
              <w:t>IGWC suggested n</w:t>
            </w:r>
            <w:r w:rsidR="00413C46" w:rsidRPr="002319FF">
              <w:rPr>
                <w:rFonts w:eastAsia="Calibri" w:cs="Arial"/>
                <w:b/>
                <w:color w:val="FFFFFF" w:themeColor="background1"/>
              </w:rPr>
              <w:t>ext steps</w:t>
            </w:r>
          </w:p>
        </w:tc>
      </w:tr>
      <w:tr w:rsidR="00ED7964" w14:paraId="02881318" w14:textId="77777777" w:rsidTr="00107256">
        <w:tc>
          <w:tcPr>
            <w:tcW w:w="4248" w:type="dxa"/>
          </w:tcPr>
          <w:p w14:paraId="26659249" w14:textId="09B53B2C" w:rsidR="00ED7964" w:rsidRDefault="00ED7964" w:rsidP="00ED7964">
            <w:r w:rsidRPr="00886E21">
              <w:t xml:space="preserve">1. </w:t>
            </w:r>
            <w:r>
              <w:rPr>
                <w:i/>
                <w:iCs/>
              </w:rPr>
              <w:t>Deficiencies in the breadth of offences</w:t>
            </w:r>
            <w:r>
              <w:t xml:space="preserve">: </w:t>
            </w:r>
          </w:p>
          <w:p w14:paraId="1B6416C3" w14:textId="3A739FC3" w:rsidR="00ED7964" w:rsidRPr="00886E21" w:rsidRDefault="0058552D" w:rsidP="002220C9">
            <w:r w:rsidRPr="007374AB">
              <w:t xml:space="preserve">As a result of these investigations the IGWC </w:t>
            </w:r>
            <w:r>
              <w:t xml:space="preserve">believes that the existing statutory requirements for trade price reporting do not support enforcement outcomes. </w:t>
            </w:r>
            <w:r w:rsidRPr="00EE0453">
              <w:t>Section 12.48</w:t>
            </w:r>
            <w:r w:rsidRPr="00774BA0">
              <w:t xml:space="preserve"> of the Basin </w:t>
            </w:r>
            <w:r>
              <w:t>P</w:t>
            </w:r>
            <w:r w:rsidRPr="00774BA0">
              <w:t>lan is</w:t>
            </w:r>
            <w:r>
              <w:t xml:space="preserve"> too</w:t>
            </w:r>
            <w:r w:rsidRPr="00774BA0">
              <w:t xml:space="preserve"> narrow, focusing</w:t>
            </w:r>
            <w:r>
              <w:t xml:space="preserve"> solely </w:t>
            </w:r>
            <w:r w:rsidRPr="00774BA0">
              <w:t xml:space="preserve">on </w:t>
            </w:r>
            <w:r>
              <w:t xml:space="preserve">the ‘agreed’ trade price and the seller or </w:t>
            </w:r>
            <w:r w:rsidRPr="00774BA0">
              <w:t>‘disposer’</w:t>
            </w:r>
            <w:r>
              <w:t xml:space="preserve"> of water. This observation is consistent with the ACCC’s findings and recommendations from their Murray-Darling Basin water markets inquiry.</w:t>
            </w:r>
          </w:p>
        </w:tc>
        <w:tc>
          <w:tcPr>
            <w:tcW w:w="4961" w:type="dxa"/>
          </w:tcPr>
          <w:p w14:paraId="76F0242B" w14:textId="77777777" w:rsidR="0058552D" w:rsidRPr="00A763D6" w:rsidRDefault="0058552D" w:rsidP="0058552D">
            <w:pPr>
              <w:rPr>
                <w:rFonts w:cs="Arial"/>
              </w:rPr>
            </w:pPr>
            <w:r w:rsidRPr="000D1138">
              <w:rPr>
                <w:rFonts w:cs="Arial"/>
                <w:i/>
                <w:iCs/>
                <w:u w:val="single"/>
              </w:rPr>
              <w:t>Obligation for accuracy</w:t>
            </w:r>
          </w:p>
          <w:p w14:paraId="75A88C6A" w14:textId="77777777" w:rsidR="0058552D" w:rsidRPr="00914E73" w:rsidRDefault="0058552D" w:rsidP="0058552D">
            <w:pPr>
              <w:rPr>
                <w:rFonts w:cs="Arial"/>
              </w:rPr>
            </w:pPr>
            <w:r>
              <w:rPr>
                <w:rFonts w:cs="Arial"/>
              </w:rPr>
              <w:t>C</w:t>
            </w:r>
            <w:r w:rsidRPr="00914E73">
              <w:rPr>
                <w:rFonts w:cs="Arial"/>
              </w:rPr>
              <w:t xml:space="preserve">onsider </w:t>
            </w:r>
            <w:r>
              <w:rPr>
                <w:rFonts w:cs="Arial"/>
              </w:rPr>
              <w:t xml:space="preserve">amending the legislation so that parties to a trade (buyer and seller) are </w:t>
            </w:r>
            <w:r w:rsidRPr="00914E73">
              <w:rPr>
                <w:rFonts w:cs="Arial"/>
              </w:rPr>
              <w:t xml:space="preserve">responsible for </w:t>
            </w:r>
            <w:r>
              <w:rPr>
                <w:rFonts w:cs="Arial"/>
              </w:rPr>
              <w:t xml:space="preserve">reporting water trade information including price, accurately. To support future investigations, there should be a requirement to keep sufficient and necessary information that supports the price paid and reasons for trade. </w:t>
            </w:r>
          </w:p>
          <w:p w14:paraId="69C9ECA3" w14:textId="77777777" w:rsidR="00ED7964" w:rsidRPr="000D1138" w:rsidRDefault="00ED7964" w:rsidP="002220C9">
            <w:pPr>
              <w:rPr>
                <w:rFonts w:cs="Arial"/>
                <w:i/>
                <w:iCs/>
                <w:u w:val="single"/>
              </w:rPr>
            </w:pPr>
          </w:p>
        </w:tc>
      </w:tr>
      <w:tr w:rsidR="00413C46" w14:paraId="6E475F3F" w14:textId="77777777" w:rsidTr="00107256">
        <w:tc>
          <w:tcPr>
            <w:tcW w:w="4248" w:type="dxa"/>
          </w:tcPr>
          <w:p w14:paraId="71B97977" w14:textId="0ADD23C1" w:rsidR="007E0A74" w:rsidRDefault="00ED7964" w:rsidP="002220C9">
            <w:r>
              <w:t>2</w:t>
            </w:r>
            <w:r w:rsidR="00413C46" w:rsidRPr="00886E21">
              <w:t xml:space="preserve">. </w:t>
            </w:r>
            <w:bookmarkStart w:id="30" w:name="_Hlk146981240"/>
            <w:r w:rsidR="00413C46" w:rsidRPr="00AA0028">
              <w:rPr>
                <w:i/>
                <w:iCs/>
              </w:rPr>
              <w:t>Data transparency and integrity</w:t>
            </w:r>
            <w:bookmarkEnd w:id="30"/>
            <w:r w:rsidR="00413C46">
              <w:t xml:space="preserve">: </w:t>
            </w:r>
          </w:p>
          <w:p w14:paraId="2CA5984A" w14:textId="1353A713" w:rsidR="00413C46" w:rsidRPr="00886E21" w:rsidRDefault="00BD2EEE" w:rsidP="00D2163A">
            <w:r>
              <w:t>It is extremely difficult for investigators to access trade data. Once data is provided, it lacks the robustness required to conduct further enquiries. There is no chain of custody attached to data, without this information, the quality and integrity of data cannot be guaranteed.</w:t>
            </w:r>
          </w:p>
        </w:tc>
        <w:tc>
          <w:tcPr>
            <w:tcW w:w="4961" w:type="dxa"/>
          </w:tcPr>
          <w:p w14:paraId="360921AA" w14:textId="77777777" w:rsidR="00413C46" w:rsidRDefault="009134AA" w:rsidP="0058552D">
            <w:pPr>
              <w:rPr>
                <w:rFonts w:cs="Arial"/>
                <w:i/>
                <w:iCs/>
                <w:u w:val="single"/>
              </w:rPr>
            </w:pPr>
            <w:r w:rsidRPr="009134AA">
              <w:rPr>
                <w:rFonts w:cs="Arial"/>
                <w:i/>
                <w:iCs/>
                <w:u w:val="single"/>
              </w:rPr>
              <w:t>Obligation for maintenance of data integrity</w:t>
            </w:r>
          </w:p>
          <w:p w14:paraId="2F6C7168" w14:textId="53DF50C1" w:rsidR="00354FC1" w:rsidRPr="00354FC1" w:rsidRDefault="00354FC1" w:rsidP="0058552D">
            <w:pPr>
              <w:rPr>
                <w:rFonts w:cs="Arial"/>
              </w:rPr>
            </w:pPr>
            <w:r>
              <w:rPr>
                <w:rFonts w:cs="Arial"/>
              </w:rPr>
              <w:t>Trade data should be consolidated in a central database</w:t>
            </w:r>
            <w:r w:rsidR="00676BED">
              <w:rPr>
                <w:rFonts w:cs="Arial"/>
              </w:rPr>
              <w:t xml:space="preserve"> that is readily accessible to the regulator. Consideration should be given to </w:t>
            </w:r>
            <w:r w:rsidR="00B914E8">
              <w:rPr>
                <w:rFonts w:cs="Arial"/>
              </w:rPr>
              <w:t xml:space="preserve">amending legislation to ensure continued integrity of </w:t>
            </w:r>
            <w:r w:rsidR="00534434">
              <w:rPr>
                <w:rFonts w:cs="Arial"/>
              </w:rPr>
              <w:t>data throughout its lifecycle, from submission to arrival at the database.</w:t>
            </w:r>
            <w:r w:rsidR="00676BED">
              <w:rPr>
                <w:rFonts w:cs="Arial"/>
              </w:rPr>
              <w:t xml:space="preserve"> </w:t>
            </w:r>
          </w:p>
        </w:tc>
      </w:tr>
      <w:tr w:rsidR="00413C46" w14:paraId="6AB589B0" w14:textId="77777777" w:rsidTr="00107256">
        <w:tc>
          <w:tcPr>
            <w:tcW w:w="4248" w:type="dxa"/>
          </w:tcPr>
          <w:p w14:paraId="05CA79C5" w14:textId="0D7EFA1A" w:rsidR="007E0A74" w:rsidRDefault="00ED7964" w:rsidP="002220C9">
            <w:r>
              <w:t>3</w:t>
            </w:r>
            <w:r w:rsidR="00413C46">
              <w:t xml:space="preserve">. </w:t>
            </w:r>
            <w:r w:rsidR="00413C46" w:rsidRPr="00AA0028">
              <w:rPr>
                <w:i/>
                <w:iCs/>
              </w:rPr>
              <w:t>Low regulatory bar</w:t>
            </w:r>
            <w:r w:rsidR="00413C46">
              <w:t xml:space="preserve">: </w:t>
            </w:r>
          </w:p>
          <w:p w14:paraId="205AF239" w14:textId="77777777" w:rsidR="00413C46" w:rsidRDefault="007E0A74" w:rsidP="002220C9">
            <w:r>
              <w:t>C</w:t>
            </w:r>
            <w:r w:rsidR="00413C46" w:rsidRPr="00FA0F7B">
              <w:t>urrent</w:t>
            </w:r>
            <w:r w:rsidR="00413C46">
              <w:t>ly, section 73</w:t>
            </w:r>
            <w:proofErr w:type="gramStart"/>
            <w:r w:rsidR="00413C46">
              <w:t>G(</w:t>
            </w:r>
            <w:proofErr w:type="gramEnd"/>
            <w:r w:rsidR="00413C46">
              <w:t>2) of the Water Act allows individuals to provide a ‘reasonable excuse‘</w:t>
            </w:r>
            <w:r>
              <w:t xml:space="preserve"> </w:t>
            </w:r>
            <w:r w:rsidR="00413C46">
              <w:t>f</w:t>
            </w:r>
            <w:r>
              <w:t>or</w:t>
            </w:r>
            <w:r w:rsidR="00413C46">
              <w:t xml:space="preserve"> conduct that would otherwise contravene section 73G(1). This is seen as a</w:t>
            </w:r>
            <w:r w:rsidR="00413C46" w:rsidRPr="00A66725">
              <w:t xml:space="preserve"> low regulatory bar</w:t>
            </w:r>
            <w:r w:rsidR="00413C46">
              <w:t>.</w:t>
            </w:r>
          </w:p>
          <w:p w14:paraId="431DE421" w14:textId="60B64B4A" w:rsidR="00B44C13" w:rsidRPr="00886E21" w:rsidRDefault="00B44C13" w:rsidP="002220C9">
            <w:r>
              <w:t>There is no requirement to verify claims</w:t>
            </w:r>
            <w:r w:rsidR="00796290">
              <w:t>.</w:t>
            </w:r>
          </w:p>
        </w:tc>
        <w:tc>
          <w:tcPr>
            <w:tcW w:w="4961" w:type="dxa"/>
          </w:tcPr>
          <w:p w14:paraId="7526D2F6" w14:textId="35DE5916" w:rsidR="00413C46" w:rsidRDefault="00413C46" w:rsidP="002220C9">
            <w:pPr>
              <w:rPr>
                <w:rFonts w:cs="Arial"/>
              </w:rPr>
            </w:pPr>
            <w:r w:rsidRPr="000D1138">
              <w:rPr>
                <w:rFonts w:cs="Arial"/>
                <w:i/>
                <w:iCs/>
                <w:u w:val="single"/>
              </w:rPr>
              <w:t>Review threshold</w:t>
            </w:r>
          </w:p>
          <w:p w14:paraId="6D7810CA" w14:textId="017BC493" w:rsidR="00413C46" w:rsidRPr="00914E73" w:rsidRDefault="00914E73" w:rsidP="00914E73">
            <w:pPr>
              <w:rPr>
                <w:rFonts w:cs="Arial"/>
              </w:rPr>
            </w:pPr>
            <w:r>
              <w:rPr>
                <w:rFonts w:cs="Arial"/>
              </w:rPr>
              <w:t>R</w:t>
            </w:r>
            <w:r w:rsidR="00413C46" w:rsidRPr="00914E73">
              <w:rPr>
                <w:rFonts w:cs="Arial"/>
              </w:rPr>
              <w:t>e-evaluate the threshold for what constitutes a ‘reasonable excuse ‘and consider applying a more detailed and stringent test for exemption.</w:t>
            </w:r>
          </w:p>
          <w:p w14:paraId="1A298669" w14:textId="77777777" w:rsidR="00413C46" w:rsidRDefault="00413C46" w:rsidP="00914E73">
            <w:pPr>
              <w:rPr>
                <w:rFonts w:cs="Arial"/>
              </w:rPr>
            </w:pPr>
            <w:r w:rsidRPr="00914E73">
              <w:rPr>
                <w:rFonts w:cs="Arial"/>
              </w:rPr>
              <w:t>Alternatively, remove the exemption.</w:t>
            </w:r>
            <w:r w:rsidR="00D508C8">
              <w:rPr>
                <w:rFonts w:cs="Arial"/>
              </w:rPr>
              <w:t xml:space="preserve"> </w:t>
            </w:r>
            <w:r w:rsidR="00F85762">
              <w:rPr>
                <w:rFonts w:cs="Arial"/>
              </w:rPr>
              <w:t>In support of this</w:t>
            </w:r>
            <w:r w:rsidR="00613566">
              <w:rPr>
                <w:rFonts w:cs="Arial"/>
              </w:rPr>
              <w:t xml:space="preserve"> position</w:t>
            </w:r>
            <w:r w:rsidR="00F85762">
              <w:rPr>
                <w:rFonts w:cs="Arial"/>
              </w:rPr>
              <w:t>,</w:t>
            </w:r>
            <w:r w:rsidR="00B92443">
              <w:rPr>
                <w:rFonts w:cs="Arial"/>
              </w:rPr>
              <w:t xml:space="preserve"> </w:t>
            </w:r>
            <w:r w:rsidR="00B00E63">
              <w:rPr>
                <w:rFonts w:cs="Arial"/>
              </w:rPr>
              <w:t xml:space="preserve">statutory and common law principles already exist </w:t>
            </w:r>
            <w:r w:rsidR="009930A9">
              <w:rPr>
                <w:rFonts w:cs="Arial"/>
              </w:rPr>
              <w:t>to provide a person with a right of reply.</w:t>
            </w:r>
          </w:p>
          <w:p w14:paraId="3229051A" w14:textId="0941292C" w:rsidR="007D1181" w:rsidRPr="00914E73" w:rsidRDefault="007D1181" w:rsidP="00914E73">
            <w:pPr>
              <w:rPr>
                <w:rFonts w:cs="Arial"/>
              </w:rPr>
            </w:pPr>
            <w:r>
              <w:rPr>
                <w:rFonts w:cs="Arial"/>
              </w:rPr>
              <w:t>Furthermore, verification of non-commercial trade purpose should be required.</w:t>
            </w:r>
          </w:p>
        </w:tc>
      </w:tr>
    </w:tbl>
    <w:p w14:paraId="40A4C67A" w14:textId="4E7BE8E1" w:rsidR="00413C46" w:rsidRDefault="00EC467D" w:rsidP="009A171B">
      <w:pPr>
        <w:spacing w:after="0"/>
        <w:rPr>
          <w:szCs w:val="20"/>
        </w:rPr>
      </w:pPr>
      <w:r w:rsidRPr="00EC467D">
        <w:rPr>
          <w:szCs w:val="20"/>
        </w:rPr>
        <w:lastRenderedPageBreak/>
        <w:t>These proposed changes aim to enhance transparency, data integrity, and compliance within the water market.</w:t>
      </w:r>
      <w:r>
        <w:rPr>
          <w:szCs w:val="20"/>
        </w:rPr>
        <w:t xml:space="preserve"> </w:t>
      </w:r>
    </w:p>
    <w:p w14:paraId="579B67B9" w14:textId="7DE1BF79" w:rsidR="00D92E53" w:rsidRDefault="00D92E53" w:rsidP="00D970DE">
      <w:pPr>
        <w:spacing w:after="200"/>
        <w:rPr>
          <w:szCs w:val="20"/>
        </w:rPr>
      </w:pPr>
      <w:r>
        <w:rPr>
          <w:szCs w:val="20"/>
        </w:rPr>
        <w:t xml:space="preserve">These investigations form </w:t>
      </w:r>
      <w:r w:rsidR="008334C4">
        <w:rPr>
          <w:szCs w:val="20"/>
        </w:rPr>
        <w:t xml:space="preserve">a case study into </w:t>
      </w:r>
      <w:r w:rsidR="009B5F8D">
        <w:rPr>
          <w:szCs w:val="20"/>
        </w:rPr>
        <w:t xml:space="preserve">one of </w:t>
      </w:r>
      <w:r w:rsidR="00B91158">
        <w:rPr>
          <w:szCs w:val="20"/>
        </w:rPr>
        <w:t xml:space="preserve">the </w:t>
      </w:r>
      <w:r w:rsidR="00F4071D">
        <w:rPr>
          <w:szCs w:val="20"/>
        </w:rPr>
        <w:t xml:space="preserve">deficiencies in integrity regulation </w:t>
      </w:r>
      <w:r w:rsidR="00215F47">
        <w:rPr>
          <w:szCs w:val="20"/>
        </w:rPr>
        <w:t>regarding Basin water markets. The next steps, outlined herein</w:t>
      </w:r>
      <w:r w:rsidR="009B5F8D">
        <w:rPr>
          <w:szCs w:val="20"/>
        </w:rPr>
        <w:t xml:space="preserve">, </w:t>
      </w:r>
      <w:r w:rsidR="00C055CA">
        <w:rPr>
          <w:szCs w:val="20"/>
        </w:rPr>
        <w:t xml:space="preserve">seek to </w:t>
      </w:r>
      <w:r w:rsidR="00A01031">
        <w:rPr>
          <w:szCs w:val="20"/>
        </w:rPr>
        <w:t>clarify,</w:t>
      </w:r>
      <w:r w:rsidR="00C055CA">
        <w:rPr>
          <w:szCs w:val="20"/>
        </w:rPr>
        <w:t xml:space="preserve"> and enforce participants</w:t>
      </w:r>
      <w:r w:rsidR="004F397B">
        <w:rPr>
          <w:szCs w:val="20"/>
        </w:rPr>
        <w:t>’</w:t>
      </w:r>
      <w:r w:rsidR="00293648">
        <w:rPr>
          <w:szCs w:val="20"/>
        </w:rPr>
        <w:t xml:space="preserve"> roles and responsibilities</w:t>
      </w:r>
      <w:r w:rsidR="009B5F8D" w:rsidRPr="009B5F8D">
        <w:t xml:space="preserve"> </w:t>
      </w:r>
      <w:r w:rsidR="00A9288E">
        <w:t xml:space="preserve">in the </w:t>
      </w:r>
      <w:r w:rsidR="009B5F8D" w:rsidRPr="009B5F8D">
        <w:rPr>
          <w:szCs w:val="20"/>
        </w:rPr>
        <w:t>Basin water market</w:t>
      </w:r>
      <w:r w:rsidR="00293648">
        <w:rPr>
          <w:szCs w:val="20"/>
        </w:rPr>
        <w:t>.</w:t>
      </w:r>
      <w:r w:rsidR="00BD2CB7">
        <w:rPr>
          <w:szCs w:val="20"/>
        </w:rPr>
        <w:t xml:space="preserve"> </w:t>
      </w:r>
    </w:p>
    <w:p w14:paraId="1427D728" w14:textId="0CFB4621" w:rsidR="00BD2CB7" w:rsidRPr="00EC467D" w:rsidRDefault="00BD2CB7" w:rsidP="00D970DE">
      <w:pPr>
        <w:spacing w:after="200"/>
        <w:rPr>
          <w:szCs w:val="20"/>
        </w:rPr>
      </w:pPr>
      <w:r>
        <w:rPr>
          <w:szCs w:val="20"/>
        </w:rPr>
        <w:t xml:space="preserve">For a more extensive look at Basin market reform </w:t>
      </w:r>
      <w:r w:rsidR="00F61360">
        <w:rPr>
          <w:szCs w:val="20"/>
        </w:rPr>
        <w:t>objectives</w:t>
      </w:r>
      <w:r w:rsidR="006F1635">
        <w:rPr>
          <w:szCs w:val="20"/>
        </w:rPr>
        <w:t>, see</w:t>
      </w:r>
      <w:r w:rsidR="00F61360">
        <w:rPr>
          <w:szCs w:val="20"/>
        </w:rPr>
        <w:t xml:space="preserve"> </w:t>
      </w:r>
      <w:hyperlink r:id="rId20" w:history="1">
        <w:r w:rsidR="00F61360" w:rsidRPr="006F1635">
          <w:rPr>
            <w:rStyle w:val="Hyperlink"/>
            <w:szCs w:val="20"/>
          </w:rPr>
          <w:t>Water Market reform: final roadmap report</w:t>
        </w:r>
      </w:hyperlink>
      <w:r w:rsidR="00B5041B">
        <w:rPr>
          <w:szCs w:val="20"/>
        </w:rPr>
        <w:t>.</w:t>
      </w:r>
    </w:p>
    <w:p w14:paraId="6334ADB5" w14:textId="7B08619F" w:rsidR="00D800BC" w:rsidRDefault="00D95B78" w:rsidP="00D800BC">
      <w:pPr>
        <w:pStyle w:val="Heading2"/>
        <w:ind w:left="720" w:hanging="720"/>
      </w:pPr>
      <w:bookmarkStart w:id="31" w:name="_Toc148421501"/>
      <w:bookmarkEnd w:id="26"/>
      <w:bookmarkEnd w:id="27"/>
      <w:r>
        <w:lastRenderedPageBreak/>
        <w:t>Background</w:t>
      </w:r>
      <w:bookmarkEnd w:id="31"/>
    </w:p>
    <w:p w14:paraId="76F8D49D" w14:textId="2C7D855F" w:rsidR="00D800BC" w:rsidRPr="00826BBE" w:rsidRDefault="00560AC5" w:rsidP="003C0842">
      <w:pPr>
        <w:pStyle w:val="Heading3"/>
        <w:rPr>
          <w:lang w:eastAsia="ja-JP"/>
        </w:rPr>
      </w:pPr>
      <w:bookmarkStart w:id="32" w:name="_Toc107499518"/>
      <w:bookmarkStart w:id="33" w:name="_Toc148421502"/>
      <w:bookmarkStart w:id="34" w:name="_Hlk146698129"/>
      <w:r>
        <w:rPr>
          <w:lang w:eastAsia="ja-JP"/>
        </w:rPr>
        <w:t>Water trade reporting</w:t>
      </w:r>
      <w:bookmarkEnd w:id="32"/>
      <w:bookmarkEnd w:id="33"/>
    </w:p>
    <w:bookmarkEnd w:id="34"/>
    <w:p w14:paraId="73832BA8" w14:textId="54E19260" w:rsidR="00703B47" w:rsidRDefault="00A5791F" w:rsidP="00A5791F">
      <w:pPr>
        <w:rPr>
          <w:lang w:eastAsia="ja-JP"/>
        </w:rPr>
      </w:pPr>
      <w:r>
        <w:rPr>
          <w:lang w:eastAsia="ja-JP"/>
        </w:rPr>
        <w:t>Water trade play</w:t>
      </w:r>
      <w:r w:rsidR="00BC0597">
        <w:rPr>
          <w:lang w:eastAsia="ja-JP"/>
        </w:rPr>
        <w:t>s</w:t>
      </w:r>
      <w:r>
        <w:rPr>
          <w:lang w:eastAsia="ja-JP"/>
        </w:rPr>
        <w:t xml:space="preserve"> a crucial role in managing water scarcity in the</w:t>
      </w:r>
      <w:r w:rsidR="0039239A">
        <w:rPr>
          <w:lang w:eastAsia="ja-JP"/>
        </w:rPr>
        <w:t xml:space="preserve"> Murray</w:t>
      </w:r>
      <w:r w:rsidR="00EF6889">
        <w:rPr>
          <w:lang w:eastAsia="ja-JP"/>
        </w:rPr>
        <w:t>-</w:t>
      </w:r>
      <w:r w:rsidR="0039239A">
        <w:rPr>
          <w:lang w:eastAsia="ja-JP"/>
        </w:rPr>
        <w:t>Darling Basin</w:t>
      </w:r>
      <w:r>
        <w:rPr>
          <w:lang w:eastAsia="ja-JP"/>
        </w:rPr>
        <w:t>.</w:t>
      </w:r>
      <w:r w:rsidR="00703B47">
        <w:rPr>
          <w:lang w:eastAsia="ja-JP"/>
        </w:rPr>
        <w:t xml:space="preserve"> It’s essential to provide accurate and timely price information to make these markets work effectively.</w:t>
      </w:r>
      <w:r w:rsidR="0015127A">
        <w:rPr>
          <w:rStyle w:val="FootnoteReference"/>
          <w:lang w:eastAsia="ja-JP"/>
        </w:rPr>
        <w:footnoteReference w:id="14"/>
      </w:r>
    </w:p>
    <w:p w14:paraId="3405E97E" w14:textId="23D99267" w:rsidR="0081159F" w:rsidRDefault="00703B47" w:rsidP="00A5791F">
      <w:r>
        <w:rPr>
          <w:lang w:eastAsia="ja-JP"/>
        </w:rPr>
        <w:t>Accurate and publicly assessable price information ensures that all participants in the market have equal access</w:t>
      </w:r>
      <w:r w:rsidR="0086042A">
        <w:rPr>
          <w:lang w:eastAsia="ja-JP"/>
        </w:rPr>
        <w:t xml:space="preserve"> to essential data. This helps people make informed decisions about investing in water and using it based on their specific needs.</w:t>
      </w:r>
      <w:r w:rsidR="0081159F">
        <w:rPr>
          <w:rStyle w:val="FootnoteReference"/>
          <w:lang w:eastAsia="ja-JP"/>
        </w:rPr>
        <w:footnoteReference w:id="15"/>
      </w:r>
    </w:p>
    <w:p w14:paraId="33D7FBA5" w14:textId="6BFAFEFB" w:rsidR="003B7277" w:rsidRDefault="00026EE7" w:rsidP="00D800BC">
      <w:pPr>
        <w:rPr>
          <w:lang w:eastAsia="ja-JP"/>
        </w:rPr>
      </w:pPr>
      <w:r>
        <w:rPr>
          <w:lang w:eastAsia="ja-JP"/>
        </w:rPr>
        <w:t xml:space="preserve">In </w:t>
      </w:r>
      <w:r w:rsidR="006C4E66">
        <w:rPr>
          <w:lang w:eastAsia="ja-JP"/>
        </w:rPr>
        <w:t>2018</w:t>
      </w:r>
      <w:r w:rsidR="00D83E68">
        <w:rPr>
          <w:lang w:eastAsia="ja-JP"/>
        </w:rPr>
        <w:t>,</w:t>
      </w:r>
      <w:r w:rsidR="006C4E66">
        <w:rPr>
          <w:lang w:eastAsia="ja-JP"/>
        </w:rPr>
        <w:t xml:space="preserve"> </w:t>
      </w:r>
      <w:r w:rsidR="006A4634">
        <w:rPr>
          <w:lang w:eastAsia="ja-JP"/>
        </w:rPr>
        <w:t xml:space="preserve">the Murray-Darling Basin Authority </w:t>
      </w:r>
      <w:r w:rsidR="006C4E66">
        <w:rPr>
          <w:lang w:eastAsia="ja-JP"/>
        </w:rPr>
        <w:t xml:space="preserve">conducted </w:t>
      </w:r>
      <w:r w:rsidR="00D150A5">
        <w:rPr>
          <w:lang w:eastAsia="ja-JP"/>
        </w:rPr>
        <w:t>a two</w:t>
      </w:r>
      <w:r w:rsidR="00952D49">
        <w:rPr>
          <w:lang w:eastAsia="ja-JP"/>
        </w:rPr>
        <w:t xml:space="preserve">-part </w:t>
      </w:r>
      <w:r w:rsidR="006C4E66">
        <w:rPr>
          <w:lang w:eastAsia="ja-JP"/>
        </w:rPr>
        <w:t>audit</w:t>
      </w:r>
      <w:r w:rsidR="005A3C63">
        <w:rPr>
          <w:rStyle w:val="FootnoteReference"/>
          <w:lang w:eastAsia="ja-JP"/>
        </w:rPr>
        <w:footnoteReference w:id="16"/>
      </w:r>
      <w:r w:rsidR="006C4E66">
        <w:rPr>
          <w:lang w:eastAsia="ja-JP"/>
        </w:rPr>
        <w:t xml:space="preserve"> </w:t>
      </w:r>
      <w:r w:rsidR="00D83E68">
        <w:rPr>
          <w:lang w:eastAsia="ja-JP"/>
        </w:rPr>
        <w:t xml:space="preserve">to evaluate how well </w:t>
      </w:r>
      <w:r w:rsidR="007173F0">
        <w:rPr>
          <w:lang w:eastAsia="ja-JP"/>
        </w:rPr>
        <w:t>trade</w:t>
      </w:r>
      <w:r w:rsidR="00D83E68">
        <w:rPr>
          <w:lang w:eastAsia="ja-JP"/>
        </w:rPr>
        <w:t xml:space="preserve"> price reporting </w:t>
      </w:r>
      <w:r w:rsidR="00335656">
        <w:rPr>
          <w:lang w:eastAsia="ja-JP"/>
        </w:rPr>
        <w:t>was</w:t>
      </w:r>
      <w:r w:rsidR="0058603E">
        <w:rPr>
          <w:lang w:eastAsia="ja-JP"/>
        </w:rPr>
        <w:t xml:space="preserve"> operating</w:t>
      </w:r>
      <w:r w:rsidR="00152527">
        <w:rPr>
          <w:lang w:eastAsia="ja-JP"/>
        </w:rPr>
        <w:t xml:space="preserve">. </w:t>
      </w:r>
    </w:p>
    <w:p w14:paraId="66F35634" w14:textId="1714C3FE" w:rsidR="00D83E68" w:rsidRDefault="00836A5B" w:rsidP="00D800BC">
      <w:pPr>
        <w:rPr>
          <w:lang w:eastAsia="ja-JP"/>
        </w:rPr>
      </w:pPr>
      <w:r>
        <w:rPr>
          <w:lang w:eastAsia="ja-JP"/>
        </w:rPr>
        <w:t>Part 1 of the</w:t>
      </w:r>
      <w:r w:rsidR="00152527">
        <w:rPr>
          <w:lang w:eastAsia="ja-JP"/>
        </w:rPr>
        <w:t xml:space="preserve"> audit found that Basin States didn’t have strong enough processes to collect and produce comprehensive and accurate price information. Several issues contributed to this problem, including</w:t>
      </w:r>
      <w:r w:rsidR="00165D8B">
        <w:rPr>
          <w:lang w:eastAsia="ja-JP"/>
        </w:rPr>
        <w:t>:</w:t>
      </w:r>
    </w:p>
    <w:p w14:paraId="50713C36" w14:textId="5A59D173" w:rsidR="00B13DB4" w:rsidRPr="00180A39" w:rsidRDefault="00B13DB4" w:rsidP="008234B5">
      <w:pPr>
        <w:pStyle w:val="ListParagraph"/>
        <w:numPr>
          <w:ilvl w:val="0"/>
          <w:numId w:val="15"/>
        </w:numPr>
        <w:spacing w:before="60" w:after="60"/>
        <w:rPr>
          <w:rFonts w:ascii="Arial" w:hAnsi="Arial" w:cs="Arial"/>
          <w:sz w:val="20"/>
          <w:szCs w:val="20"/>
          <w:lang w:eastAsia="ja-JP"/>
        </w:rPr>
      </w:pPr>
      <w:r w:rsidRPr="00180A39">
        <w:rPr>
          <w:rFonts w:ascii="Arial" w:hAnsi="Arial" w:cs="Arial"/>
          <w:sz w:val="20"/>
          <w:szCs w:val="20"/>
          <w:lang w:eastAsia="ja-JP"/>
        </w:rPr>
        <w:t>not all jurisdictions ma</w:t>
      </w:r>
      <w:r w:rsidR="0058603E" w:rsidRPr="00180A39">
        <w:rPr>
          <w:rFonts w:ascii="Arial" w:hAnsi="Arial" w:cs="Arial"/>
          <w:sz w:val="20"/>
          <w:szCs w:val="20"/>
          <w:lang w:eastAsia="ja-JP"/>
        </w:rPr>
        <w:t>ke</w:t>
      </w:r>
      <w:r w:rsidRPr="00180A39">
        <w:rPr>
          <w:rFonts w:ascii="Arial" w:hAnsi="Arial" w:cs="Arial"/>
          <w:sz w:val="20"/>
          <w:szCs w:val="20"/>
          <w:lang w:eastAsia="ja-JP"/>
        </w:rPr>
        <w:t xml:space="preserve"> price reporting mandatory.</w:t>
      </w:r>
    </w:p>
    <w:p w14:paraId="2892205D" w14:textId="1EF8EB6C" w:rsidR="00B13DB4" w:rsidRPr="00180A39" w:rsidRDefault="0058603E" w:rsidP="008234B5">
      <w:pPr>
        <w:pStyle w:val="ListParagraph"/>
        <w:numPr>
          <w:ilvl w:val="0"/>
          <w:numId w:val="15"/>
        </w:numPr>
        <w:spacing w:before="60" w:after="60"/>
        <w:rPr>
          <w:rFonts w:ascii="Arial" w:hAnsi="Arial" w:cs="Arial"/>
          <w:sz w:val="20"/>
          <w:szCs w:val="20"/>
          <w:lang w:eastAsia="ja-JP"/>
        </w:rPr>
      </w:pPr>
      <w:r w:rsidRPr="00180A39">
        <w:rPr>
          <w:rFonts w:ascii="Arial" w:hAnsi="Arial" w:cs="Arial"/>
          <w:sz w:val="20"/>
          <w:szCs w:val="20"/>
          <w:lang w:eastAsia="ja-JP"/>
        </w:rPr>
        <w:t>s</w:t>
      </w:r>
      <w:r w:rsidR="00B13DB4" w:rsidRPr="00180A39">
        <w:rPr>
          <w:rFonts w:ascii="Arial" w:hAnsi="Arial" w:cs="Arial"/>
          <w:sz w:val="20"/>
          <w:szCs w:val="20"/>
          <w:lang w:eastAsia="ja-JP"/>
        </w:rPr>
        <w:t>ome trades were approved without reporting the prices.</w:t>
      </w:r>
    </w:p>
    <w:p w14:paraId="75E41710" w14:textId="17042E10" w:rsidR="00E83359" w:rsidRPr="00180A39" w:rsidRDefault="0058603E" w:rsidP="008234B5">
      <w:pPr>
        <w:pStyle w:val="ListParagraph"/>
        <w:numPr>
          <w:ilvl w:val="0"/>
          <w:numId w:val="15"/>
        </w:numPr>
        <w:spacing w:before="60" w:after="60"/>
        <w:rPr>
          <w:rFonts w:ascii="Arial" w:hAnsi="Arial" w:cs="Arial"/>
          <w:sz w:val="20"/>
          <w:szCs w:val="20"/>
          <w:lang w:eastAsia="ja-JP"/>
        </w:rPr>
      </w:pPr>
      <w:r w:rsidRPr="00180A39">
        <w:rPr>
          <w:rFonts w:ascii="Arial" w:hAnsi="Arial" w:cs="Arial"/>
          <w:sz w:val="20"/>
          <w:szCs w:val="20"/>
          <w:lang w:eastAsia="ja-JP"/>
        </w:rPr>
        <w:t>r</w:t>
      </w:r>
      <w:r w:rsidR="00B13DB4" w:rsidRPr="00180A39">
        <w:rPr>
          <w:rFonts w:ascii="Arial" w:hAnsi="Arial" w:cs="Arial"/>
          <w:sz w:val="20"/>
          <w:szCs w:val="20"/>
          <w:lang w:eastAsia="ja-JP"/>
        </w:rPr>
        <w:t>eported price information wasn’t always validated for accuracy.</w:t>
      </w:r>
    </w:p>
    <w:p w14:paraId="7E889324" w14:textId="77777777" w:rsidR="004B1D72" w:rsidRDefault="003B7277" w:rsidP="00865547">
      <w:pPr>
        <w:rPr>
          <w:lang w:eastAsia="ja-JP"/>
        </w:rPr>
      </w:pPr>
      <w:r>
        <w:rPr>
          <w:lang w:eastAsia="ja-JP"/>
        </w:rPr>
        <w:t>Part 2 of the audit, conducted by Deloitte</w:t>
      </w:r>
      <w:r w:rsidR="004B1D72">
        <w:rPr>
          <w:lang w:eastAsia="ja-JP"/>
        </w:rPr>
        <w:t>, uncovered a range of issues including:</w:t>
      </w:r>
    </w:p>
    <w:p w14:paraId="5579F00F" w14:textId="77777777" w:rsidR="00CD5B26" w:rsidRPr="00180A39" w:rsidRDefault="00CD5B26" w:rsidP="008234B5">
      <w:pPr>
        <w:pStyle w:val="ListParagraph"/>
        <w:numPr>
          <w:ilvl w:val="0"/>
          <w:numId w:val="27"/>
        </w:numPr>
        <w:spacing w:before="60" w:after="60"/>
        <w:rPr>
          <w:rFonts w:ascii="Arial" w:hAnsi="Arial" w:cs="Arial"/>
          <w:sz w:val="20"/>
          <w:szCs w:val="20"/>
          <w:lang w:eastAsia="ja-JP"/>
        </w:rPr>
      </w:pPr>
      <w:r w:rsidRPr="00180A39">
        <w:rPr>
          <w:rFonts w:ascii="Arial" w:hAnsi="Arial" w:cs="Arial"/>
          <w:sz w:val="20"/>
          <w:szCs w:val="20"/>
          <w:lang w:eastAsia="ja-JP"/>
        </w:rPr>
        <w:t>confusion about the requirement to report price.</w:t>
      </w:r>
    </w:p>
    <w:p w14:paraId="17A1317F" w14:textId="77777777" w:rsidR="00CD5B26" w:rsidRPr="00180A39" w:rsidRDefault="00CD5B26" w:rsidP="008234B5">
      <w:pPr>
        <w:pStyle w:val="ListParagraph"/>
        <w:numPr>
          <w:ilvl w:val="0"/>
          <w:numId w:val="27"/>
        </w:numPr>
        <w:spacing w:before="60" w:after="60"/>
        <w:rPr>
          <w:rFonts w:ascii="Arial" w:hAnsi="Arial" w:cs="Arial"/>
          <w:sz w:val="20"/>
          <w:szCs w:val="20"/>
          <w:lang w:eastAsia="ja-JP"/>
        </w:rPr>
      </w:pPr>
      <w:r w:rsidRPr="00180A39">
        <w:rPr>
          <w:rFonts w:ascii="Arial" w:hAnsi="Arial" w:cs="Arial"/>
          <w:sz w:val="20"/>
          <w:szCs w:val="20"/>
          <w:lang w:eastAsia="ja-JP"/>
        </w:rPr>
        <w:t>Inconsistent approaches to reporting price by different traders and brokers.</w:t>
      </w:r>
    </w:p>
    <w:p w14:paraId="770B74C3" w14:textId="62666166" w:rsidR="00C942A9" w:rsidRPr="00180A39" w:rsidRDefault="00CD5B26" w:rsidP="008234B5">
      <w:pPr>
        <w:pStyle w:val="ListParagraph"/>
        <w:numPr>
          <w:ilvl w:val="0"/>
          <w:numId w:val="27"/>
        </w:numPr>
        <w:spacing w:before="60" w:after="60"/>
        <w:rPr>
          <w:rFonts w:ascii="Arial" w:hAnsi="Arial" w:cs="Arial"/>
          <w:sz w:val="20"/>
          <w:szCs w:val="20"/>
          <w:lang w:eastAsia="ja-JP"/>
        </w:rPr>
      </w:pPr>
      <w:r w:rsidRPr="00180A39">
        <w:rPr>
          <w:rFonts w:ascii="Arial" w:hAnsi="Arial" w:cs="Arial"/>
          <w:sz w:val="20"/>
          <w:szCs w:val="20"/>
          <w:lang w:eastAsia="ja-JP"/>
        </w:rPr>
        <w:t>Not being able to verify price on nearly half of all (sampled) transactions.</w:t>
      </w:r>
    </w:p>
    <w:p w14:paraId="130DF566" w14:textId="29A82197" w:rsidR="00BF0753" w:rsidRDefault="000E6DC8" w:rsidP="00107256">
      <w:pPr>
        <w:rPr>
          <w:lang w:eastAsia="ja-JP"/>
        </w:rPr>
      </w:pPr>
      <w:r>
        <w:rPr>
          <w:lang w:eastAsia="ja-JP"/>
        </w:rPr>
        <w:t>Deloitte concluded that many of these issues existed due to flaws within Basin State systems and processes - which was consistent with the findings of</w:t>
      </w:r>
      <w:r w:rsidR="00C942A9">
        <w:rPr>
          <w:lang w:eastAsia="ja-JP"/>
        </w:rPr>
        <w:t xml:space="preserve"> Part 1 of the Audit.</w:t>
      </w:r>
      <w:bookmarkStart w:id="36" w:name="_Hlk146703929"/>
    </w:p>
    <w:p w14:paraId="492817C1" w14:textId="64FB2D83" w:rsidR="00F91CCF" w:rsidRPr="00826BBE" w:rsidRDefault="000D18D9" w:rsidP="003C0842">
      <w:pPr>
        <w:pStyle w:val="Heading3"/>
        <w:rPr>
          <w:lang w:eastAsia="ja-JP"/>
        </w:rPr>
      </w:pPr>
      <w:bookmarkStart w:id="37" w:name="_Toc148421503"/>
      <w:r>
        <w:rPr>
          <w:lang w:eastAsia="ja-JP"/>
        </w:rPr>
        <w:t>NS</w:t>
      </w:r>
      <w:r w:rsidR="00F91CCF">
        <w:rPr>
          <w:lang w:eastAsia="ja-JP"/>
        </w:rPr>
        <w:t xml:space="preserve">W </w:t>
      </w:r>
      <w:r>
        <w:rPr>
          <w:lang w:eastAsia="ja-JP"/>
        </w:rPr>
        <w:t xml:space="preserve">water </w:t>
      </w:r>
      <w:r w:rsidR="00F91CCF">
        <w:rPr>
          <w:lang w:eastAsia="ja-JP"/>
        </w:rPr>
        <w:t>trade reporting</w:t>
      </w:r>
      <w:r>
        <w:rPr>
          <w:lang w:eastAsia="ja-JP"/>
        </w:rPr>
        <w:t xml:space="preserve"> </w:t>
      </w:r>
      <w:r w:rsidR="009B165D">
        <w:rPr>
          <w:lang w:eastAsia="ja-JP"/>
        </w:rPr>
        <w:t>improvements</w:t>
      </w:r>
      <w:r w:rsidR="00534D94">
        <w:rPr>
          <w:lang w:eastAsia="ja-JP"/>
        </w:rPr>
        <w:t xml:space="preserve"> (2021)</w:t>
      </w:r>
      <w:bookmarkEnd w:id="37"/>
    </w:p>
    <w:bookmarkEnd w:id="36"/>
    <w:p w14:paraId="3C22EE06" w14:textId="70F3F80B" w:rsidR="000A625E" w:rsidRDefault="000A625E" w:rsidP="00865547">
      <w:pPr>
        <w:rPr>
          <w:lang w:eastAsia="ja-JP"/>
        </w:rPr>
      </w:pPr>
      <w:r>
        <w:rPr>
          <w:lang w:eastAsia="ja-JP"/>
        </w:rPr>
        <w:t>I</w:t>
      </w:r>
      <w:r w:rsidR="00E0321F">
        <w:rPr>
          <w:lang w:eastAsia="ja-JP"/>
        </w:rPr>
        <w:t>n 2021, due to concerns about inaccurate price reporting, New South Wales made updates to their water allocation trade application forms</w:t>
      </w:r>
      <w:r w:rsidR="00EC12DC">
        <w:rPr>
          <w:lang w:eastAsia="ja-JP"/>
        </w:rPr>
        <w:t xml:space="preserve">. These changes aim to gather more detailed information about trades, including the price type, and purpose of the trade. They placed specific emphasis on reporting </w:t>
      </w:r>
      <w:r>
        <w:rPr>
          <w:lang w:eastAsia="ja-JP"/>
        </w:rPr>
        <w:t>zero-dollar (</w:t>
      </w:r>
      <w:r w:rsidR="00EC12DC">
        <w:rPr>
          <w:lang w:eastAsia="ja-JP"/>
        </w:rPr>
        <w:t>$0</w:t>
      </w:r>
      <w:r>
        <w:rPr>
          <w:lang w:eastAsia="ja-JP"/>
        </w:rPr>
        <w:t>) and low value trade prices.</w:t>
      </w:r>
      <w:r w:rsidR="00130250">
        <w:rPr>
          <w:rStyle w:val="FootnoteReference"/>
          <w:lang w:eastAsia="ja-JP"/>
        </w:rPr>
        <w:footnoteReference w:id="17"/>
      </w:r>
      <w:r w:rsidR="00107256">
        <w:rPr>
          <w:lang w:eastAsia="ja-JP"/>
        </w:rPr>
        <w:t xml:space="preserve"> </w:t>
      </w:r>
      <w:proofErr w:type="spellStart"/>
      <w:r>
        <w:rPr>
          <w:lang w:eastAsia="ja-JP"/>
        </w:rPr>
        <w:t>Water</w:t>
      </w:r>
      <w:r w:rsidR="009817F9">
        <w:rPr>
          <w:lang w:eastAsia="ja-JP"/>
        </w:rPr>
        <w:t>NSW</w:t>
      </w:r>
      <w:proofErr w:type="spellEnd"/>
      <w:r w:rsidR="009817F9">
        <w:rPr>
          <w:lang w:eastAsia="ja-JP"/>
        </w:rPr>
        <w:t xml:space="preserve"> trade forms</w:t>
      </w:r>
      <w:r w:rsidR="00D57BAA">
        <w:rPr>
          <w:rStyle w:val="FootnoteReference"/>
          <w:lang w:eastAsia="ja-JP"/>
        </w:rPr>
        <w:footnoteReference w:id="18"/>
      </w:r>
      <w:r w:rsidR="009817F9">
        <w:rPr>
          <w:lang w:eastAsia="ja-JP"/>
        </w:rPr>
        <w:t xml:space="preserve"> now offer </w:t>
      </w:r>
      <w:r w:rsidR="00057A5E">
        <w:rPr>
          <w:lang w:eastAsia="ja-JP"/>
        </w:rPr>
        <w:t>seven</w:t>
      </w:r>
      <w:r w:rsidR="009817F9">
        <w:rPr>
          <w:lang w:eastAsia="ja-JP"/>
        </w:rPr>
        <w:t xml:space="preserve"> </w:t>
      </w:r>
      <w:r w:rsidR="00B55135">
        <w:rPr>
          <w:lang w:eastAsia="ja-JP"/>
        </w:rPr>
        <w:t>trade purposes classifications</w:t>
      </w:r>
      <w:r w:rsidR="009817F9">
        <w:rPr>
          <w:lang w:eastAsia="ja-JP"/>
        </w:rPr>
        <w:t xml:space="preserve"> in which zero-dollar trades are allowed. These include:</w:t>
      </w:r>
    </w:p>
    <w:p w14:paraId="6EEFC39E" w14:textId="315DFA9B" w:rsidR="00DE3D1B" w:rsidRPr="00DE3D1B" w:rsidRDefault="00683EC1" w:rsidP="008234B5">
      <w:pPr>
        <w:pStyle w:val="ListParagraph"/>
        <w:numPr>
          <w:ilvl w:val="0"/>
          <w:numId w:val="16"/>
        </w:numPr>
        <w:spacing w:before="60" w:after="60"/>
        <w:rPr>
          <w:rFonts w:ascii="Arial" w:hAnsi="Arial" w:cs="Arial"/>
          <w:sz w:val="20"/>
          <w:szCs w:val="20"/>
          <w:lang w:eastAsia="ja-JP"/>
        </w:rPr>
      </w:pPr>
      <w:r w:rsidRPr="00DE3D1B">
        <w:rPr>
          <w:rFonts w:ascii="Arial" w:hAnsi="Arial" w:cs="Arial"/>
          <w:sz w:val="20"/>
          <w:szCs w:val="20"/>
          <w:lang w:eastAsia="ja-JP"/>
        </w:rPr>
        <w:t>Carryover parking return</w:t>
      </w:r>
      <w:r w:rsidR="00F01044">
        <w:rPr>
          <w:rFonts w:ascii="Arial" w:hAnsi="Arial" w:cs="Arial"/>
          <w:sz w:val="20"/>
          <w:szCs w:val="20"/>
          <w:lang w:eastAsia="ja-JP"/>
        </w:rPr>
        <w:t>.</w:t>
      </w:r>
    </w:p>
    <w:p w14:paraId="4E553BD6" w14:textId="7D63D79C" w:rsidR="00DE3D1B" w:rsidRPr="00DE3D1B" w:rsidRDefault="00683EC1" w:rsidP="008234B5">
      <w:pPr>
        <w:pStyle w:val="ListParagraph"/>
        <w:numPr>
          <w:ilvl w:val="0"/>
          <w:numId w:val="16"/>
        </w:numPr>
        <w:spacing w:before="60" w:after="60"/>
        <w:rPr>
          <w:rFonts w:ascii="Arial" w:hAnsi="Arial" w:cs="Arial"/>
          <w:sz w:val="20"/>
          <w:szCs w:val="20"/>
          <w:lang w:eastAsia="ja-JP"/>
        </w:rPr>
      </w:pPr>
      <w:r w:rsidRPr="00DE3D1B">
        <w:rPr>
          <w:rFonts w:ascii="Arial" w:hAnsi="Arial" w:cs="Arial"/>
          <w:sz w:val="20"/>
          <w:szCs w:val="20"/>
          <w:lang w:eastAsia="ja-JP"/>
        </w:rPr>
        <w:t>Related party</w:t>
      </w:r>
      <w:r w:rsidR="00F01044">
        <w:rPr>
          <w:rFonts w:ascii="Arial" w:hAnsi="Arial" w:cs="Arial"/>
          <w:sz w:val="20"/>
          <w:szCs w:val="20"/>
          <w:lang w:eastAsia="ja-JP"/>
        </w:rPr>
        <w:t>.</w:t>
      </w:r>
    </w:p>
    <w:p w14:paraId="7EA18851" w14:textId="7A536A90" w:rsidR="00DE3D1B" w:rsidRPr="00DE3D1B" w:rsidRDefault="00683EC1" w:rsidP="008234B5">
      <w:pPr>
        <w:pStyle w:val="ListParagraph"/>
        <w:numPr>
          <w:ilvl w:val="0"/>
          <w:numId w:val="16"/>
        </w:numPr>
        <w:spacing w:before="60" w:after="60"/>
        <w:rPr>
          <w:rFonts w:ascii="Arial" w:hAnsi="Arial" w:cs="Arial"/>
          <w:sz w:val="20"/>
          <w:szCs w:val="20"/>
          <w:lang w:eastAsia="ja-JP"/>
        </w:rPr>
      </w:pPr>
      <w:r w:rsidRPr="00DE3D1B">
        <w:rPr>
          <w:rFonts w:ascii="Arial" w:hAnsi="Arial" w:cs="Arial"/>
          <w:sz w:val="20"/>
          <w:szCs w:val="20"/>
          <w:lang w:eastAsia="ja-JP"/>
        </w:rPr>
        <w:t>Compensation for outcome delivery</w:t>
      </w:r>
      <w:r w:rsidR="00F01044">
        <w:rPr>
          <w:rFonts w:ascii="Arial" w:hAnsi="Arial" w:cs="Arial"/>
          <w:sz w:val="20"/>
          <w:szCs w:val="20"/>
          <w:lang w:eastAsia="ja-JP"/>
        </w:rPr>
        <w:t>.</w:t>
      </w:r>
    </w:p>
    <w:p w14:paraId="78F3B89F" w14:textId="6D2C0FEB" w:rsidR="00DE3D1B" w:rsidRPr="00DE3D1B" w:rsidRDefault="00683EC1" w:rsidP="008234B5">
      <w:pPr>
        <w:pStyle w:val="ListParagraph"/>
        <w:numPr>
          <w:ilvl w:val="0"/>
          <w:numId w:val="16"/>
        </w:numPr>
        <w:spacing w:before="60" w:after="60"/>
        <w:rPr>
          <w:rFonts w:ascii="Arial" w:hAnsi="Arial" w:cs="Arial"/>
          <w:sz w:val="20"/>
          <w:szCs w:val="20"/>
          <w:lang w:eastAsia="ja-JP"/>
        </w:rPr>
      </w:pPr>
      <w:r w:rsidRPr="00DE3D1B">
        <w:rPr>
          <w:rFonts w:ascii="Arial" w:hAnsi="Arial" w:cs="Arial"/>
          <w:sz w:val="20"/>
          <w:szCs w:val="20"/>
          <w:lang w:eastAsia="ja-JP"/>
        </w:rPr>
        <w:t>Environmental use</w:t>
      </w:r>
      <w:r w:rsidR="00F01044">
        <w:rPr>
          <w:rFonts w:ascii="Arial" w:hAnsi="Arial" w:cs="Arial"/>
          <w:sz w:val="20"/>
          <w:szCs w:val="20"/>
          <w:lang w:eastAsia="ja-JP"/>
        </w:rPr>
        <w:t>.</w:t>
      </w:r>
    </w:p>
    <w:p w14:paraId="22D86FC4" w14:textId="4E6BA314" w:rsidR="00DE3D1B" w:rsidRPr="00DE3D1B" w:rsidRDefault="00683EC1" w:rsidP="008234B5">
      <w:pPr>
        <w:pStyle w:val="ListParagraph"/>
        <w:numPr>
          <w:ilvl w:val="0"/>
          <w:numId w:val="16"/>
        </w:numPr>
        <w:spacing w:before="60" w:after="60"/>
        <w:rPr>
          <w:rFonts w:ascii="Arial" w:hAnsi="Arial" w:cs="Arial"/>
          <w:sz w:val="20"/>
          <w:szCs w:val="20"/>
          <w:lang w:eastAsia="ja-JP"/>
        </w:rPr>
      </w:pPr>
      <w:r w:rsidRPr="00DE3D1B">
        <w:rPr>
          <w:rFonts w:ascii="Arial" w:hAnsi="Arial" w:cs="Arial"/>
          <w:sz w:val="20"/>
          <w:szCs w:val="20"/>
          <w:lang w:eastAsia="ja-JP"/>
        </w:rPr>
        <w:lastRenderedPageBreak/>
        <w:t>Returned unused environmental water</w:t>
      </w:r>
      <w:r w:rsidR="00F01044">
        <w:rPr>
          <w:rFonts w:ascii="Arial" w:hAnsi="Arial" w:cs="Arial"/>
          <w:sz w:val="20"/>
          <w:szCs w:val="20"/>
          <w:lang w:eastAsia="ja-JP"/>
        </w:rPr>
        <w:t>.</w:t>
      </w:r>
    </w:p>
    <w:p w14:paraId="7A7A3448" w14:textId="125C2816" w:rsidR="00DE3D1B" w:rsidRPr="00DE3D1B" w:rsidRDefault="00683EC1" w:rsidP="008234B5">
      <w:pPr>
        <w:pStyle w:val="ListParagraph"/>
        <w:numPr>
          <w:ilvl w:val="0"/>
          <w:numId w:val="16"/>
        </w:numPr>
        <w:spacing w:before="60" w:after="60"/>
        <w:rPr>
          <w:rFonts w:ascii="Arial" w:hAnsi="Arial" w:cs="Arial"/>
          <w:sz w:val="20"/>
          <w:szCs w:val="20"/>
          <w:lang w:eastAsia="ja-JP"/>
        </w:rPr>
      </w:pPr>
      <w:r w:rsidRPr="00DE3D1B">
        <w:rPr>
          <w:rFonts w:ascii="Arial" w:hAnsi="Arial" w:cs="Arial"/>
          <w:sz w:val="20"/>
          <w:szCs w:val="20"/>
          <w:lang w:eastAsia="ja-JP"/>
        </w:rPr>
        <w:t>Government program</w:t>
      </w:r>
      <w:r w:rsidR="00F01044">
        <w:rPr>
          <w:rFonts w:ascii="Arial" w:hAnsi="Arial" w:cs="Arial"/>
          <w:sz w:val="20"/>
          <w:szCs w:val="20"/>
          <w:lang w:eastAsia="ja-JP"/>
        </w:rPr>
        <w:t>.</w:t>
      </w:r>
    </w:p>
    <w:p w14:paraId="10535CD5" w14:textId="747A8418" w:rsidR="00683EC1" w:rsidRPr="00DE3D1B" w:rsidRDefault="00683EC1" w:rsidP="008234B5">
      <w:pPr>
        <w:pStyle w:val="ListParagraph"/>
        <w:numPr>
          <w:ilvl w:val="0"/>
          <w:numId w:val="16"/>
        </w:numPr>
        <w:spacing w:before="60" w:after="60"/>
        <w:rPr>
          <w:rFonts w:ascii="Arial" w:hAnsi="Arial" w:cs="Arial"/>
          <w:sz w:val="20"/>
          <w:szCs w:val="20"/>
          <w:lang w:eastAsia="ja-JP"/>
        </w:rPr>
      </w:pPr>
      <w:r w:rsidRPr="00DE3D1B">
        <w:rPr>
          <w:rFonts w:ascii="Arial" w:hAnsi="Arial" w:cs="Arial"/>
          <w:sz w:val="20"/>
          <w:szCs w:val="20"/>
          <w:lang w:eastAsia="ja-JP"/>
        </w:rPr>
        <w:t>Other</w:t>
      </w:r>
      <w:r w:rsidR="00F01044">
        <w:rPr>
          <w:rFonts w:ascii="Arial" w:hAnsi="Arial" w:cs="Arial"/>
          <w:sz w:val="20"/>
          <w:szCs w:val="20"/>
          <w:lang w:eastAsia="ja-JP"/>
        </w:rPr>
        <w:t>.</w:t>
      </w:r>
      <w:r w:rsidRPr="00DE3D1B">
        <w:rPr>
          <w:rFonts w:ascii="Arial" w:hAnsi="Arial" w:cs="Arial"/>
          <w:sz w:val="20"/>
          <w:szCs w:val="20"/>
          <w:lang w:eastAsia="ja-JP"/>
        </w:rPr>
        <w:t xml:space="preserve"> </w:t>
      </w:r>
    </w:p>
    <w:p w14:paraId="180D3878" w14:textId="04209595" w:rsidR="00F304DC" w:rsidRDefault="006B130C" w:rsidP="00D800BC">
      <w:pPr>
        <w:rPr>
          <w:lang w:eastAsia="ja-JP"/>
        </w:rPr>
      </w:pPr>
      <w:bookmarkStart w:id="39" w:name="_Hlk146784550"/>
      <w:proofErr w:type="spellStart"/>
      <w:r>
        <w:rPr>
          <w:lang w:eastAsia="ja-JP"/>
        </w:rPr>
        <w:t>WaterNSW</w:t>
      </w:r>
      <w:proofErr w:type="spellEnd"/>
      <w:r>
        <w:rPr>
          <w:lang w:eastAsia="ja-JP"/>
        </w:rPr>
        <w:t xml:space="preserve"> requires that i</w:t>
      </w:r>
      <w:r w:rsidR="009D7B39">
        <w:rPr>
          <w:lang w:eastAsia="ja-JP"/>
        </w:rPr>
        <w:t xml:space="preserve">f the sale price is </w:t>
      </w:r>
      <w:r w:rsidR="00D57BAA">
        <w:rPr>
          <w:lang w:eastAsia="ja-JP"/>
        </w:rPr>
        <w:t xml:space="preserve">indeed </w:t>
      </w:r>
      <w:r w:rsidR="004C7FA1">
        <w:rPr>
          <w:lang w:eastAsia="ja-JP"/>
        </w:rPr>
        <w:t xml:space="preserve">zero ($0) and </w:t>
      </w:r>
      <w:r w:rsidR="00BF55C4">
        <w:rPr>
          <w:lang w:eastAsia="ja-JP"/>
        </w:rPr>
        <w:t xml:space="preserve">it aligns with </w:t>
      </w:r>
      <w:r w:rsidR="00F304DC">
        <w:rPr>
          <w:lang w:eastAsia="ja-JP"/>
        </w:rPr>
        <w:t>one</w:t>
      </w:r>
      <w:r w:rsidR="00BF55C4">
        <w:rPr>
          <w:lang w:eastAsia="ja-JP"/>
        </w:rPr>
        <w:t xml:space="preserve"> of these trade purposes, the person </w:t>
      </w:r>
      <w:r w:rsidR="0058603E">
        <w:rPr>
          <w:lang w:eastAsia="ja-JP"/>
        </w:rPr>
        <w:t>dispos</w:t>
      </w:r>
      <w:r w:rsidR="00BF55C4">
        <w:rPr>
          <w:lang w:eastAsia="ja-JP"/>
        </w:rPr>
        <w:t xml:space="preserve">ing </w:t>
      </w:r>
      <w:r w:rsidR="0058603E">
        <w:rPr>
          <w:lang w:eastAsia="ja-JP"/>
        </w:rPr>
        <w:t xml:space="preserve">of </w:t>
      </w:r>
      <w:r w:rsidR="00BF55C4">
        <w:rPr>
          <w:lang w:eastAsia="ja-JP"/>
        </w:rPr>
        <w:t>the water allocation should select the appropriate trade purposes classification as listed above</w:t>
      </w:r>
      <w:r w:rsidR="00F304DC">
        <w:rPr>
          <w:lang w:eastAsia="ja-JP"/>
        </w:rPr>
        <w:t>.</w:t>
      </w:r>
    </w:p>
    <w:bookmarkEnd w:id="39"/>
    <w:p w14:paraId="2E4DB604" w14:textId="77777777" w:rsidR="004A2A3C" w:rsidRDefault="004A2A3C">
      <w:pPr>
        <w:suppressAutoHyphens w:val="0"/>
        <w:spacing w:before="0" w:after="0" w:line="240" w:lineRule="auto"/>
        <w:rPr>
          <w:rFonts w:cs="Roc Grotesk Medium"/>
          <w:b/>
          <w:color w:val="47555E"/>
          <w:sz w:val="36"/>
          <w:szCs w:val="26"/>
          <w:lang w:val="en-US" w:eastAsia="ja-JP"/>
        </w:rPr>
      </w:pPr>
      <w:r>
        <w:rPr>
          <w:lang w:eastAsia="ja-JP"/>
        </w:rPr>
        <w:br w:type="page"/>
      </w:r>
    </w:p>
    <w:p w14:paraId="6A127A31" w14:textId="3C9153EE" w:rsidR="00576F0C" w:rsidRDefault="00576F0C" w:rsidP="003C0842">
      <w:pPr>
        <w:pStyle w:val="Heading3"/>
        <w:rPr>
          <w:lang w:eastAsia="ja-JP"/>
        </w:rPr>
      </w:pPr>
      <w:bookmarkStart w:id="40" w:name="_Toc148421504"/>
      <w:r>
        <w:rPr>
          <w:lang w:eastAsia="ja-JP"/>
        </w:rPr>
        <w:lastRenderedPageBreak/>
        <w:t>Legislat</w:t>
      </w:r>
      <w:r w:rsidR="00FF288F">
        <w:rPr>
          <w:lang w:eastAsia="ja-JP"/>
        </w:rPr>
        <w:t>i</w:t>
      </w:r>
      <w:r>
        <w:rPr>
          <w:lang w:eastAsia="ja-JP"/>
        </w:rPr>
        <w:t>on</w:t>
      </w:r>
      <w:bookmarkEnd w:id="40"/>
    </w:p>
    <w:p w14:paraId="699630E5" w14:textId="77777777" w:rsidR="00F921D7" w:rsidRPr="00F921D7" w:rsidRDefault="00F921D7" w:rsidP="00F921D7">
      <w:pPr>
        <w:rPr>
          <w:lang w:val="en-US" w:eastAsia="ja-JP"/>
        </w:rPr>
      </w:pPr>
    </w:p>
    <w:tbl>
      <w:tblPr>
        <w:tblStyle w:val="TableGrid"/>
        <w:tblW w:w="0" w:type="auto"/>
        <w:tblLook w:val="04A0" w:firstRow="1" w:lastRow="0" w:firstColumn="1" w:lastColumn="0" w:noHBand="0" w:noVBand="1"/>
      </w:tblPr>
      <w:tblGrid>
        <w:gridCol w:w="9060"/>
      </w:tblGrid>
      <w:tr w:rsidR="00F921D7" w14:paraId="6C75D106" w14:textId="77777777" w:rsidTr="00F921D7">
        <w:tc>
          <w:tcPr>
            <w:tcW w:w="9060" w:type="dxa"/>
            <w:shd w:val="clear" w:color="auto" w:fill="B4C6E7" w:themeFill="accent1" w:themeFillTint="66"/>
          </w:tcPr>
          <w:p w14:paraId="6B8A4ED0" w14:textId="693FCC7F" w:rsidR="00000070" w:rsidRPr="00C20F67" w:rsidRDefault="00000070" w:rsidP="00000070">
            <w:pPr>
              <w:rPr>
                <w:b/>
                <w:bCs/>
                <w:sz w:val="22"/>
                <w:szCs w:val="22"/>
                <w:lang w:eastAsia="ja-JP"/>
              </w:rPr>
            </w:pPr>
            <w:r w:rsidRPr="00C20F67">
              <w:rPr>
                <w:b/>
                <w:bCs/>
                <w:sz w:val="22"/>
                <w:szCs w:val="22"/>
                <w:lang w:eastAsia="ja-JP"/>
              </w:rPr>
              <w:t>Basin Plan 2012 – Chapter 12</w:t>
            </w:r>
            <w:r w:rsidR="007570E0">
              <w:rPr>
                <w:b/>
                <w:bCs/>
                <w:sz w:val="22"/>
                <w:szCs w:val="22"/>
                <w:lang w:eastAsia="ja-JP"/>
              </w:rPr>
              <w:t>:</w:t>
            </w:r>
            <w:r w:rsidRPr="00C20F67">
              <w:rPr>
                <w:b/>
                <w:bCs/>
                <w:sz w:val="22"/>
                <w:szCs w:val="22"/>
                <w:lang w:eastAsia="ja-JP"/>
              </w:rPr>
              <w:t xml:space="preserve"> Division 4—Trading prices to be made </w:t>
            </w:r>
            <w:proofErr w:type="gramStart"/>
            <w:r w:rsidRPr="00C20F67">
              <w:rPr>
                <w:b/>
                <w:bCs/>
                <w:sz w:val="22"/>
                <w:szCs w:val="22"/>
                <w:lang w:eastAsia="ja-JP"/>
              </w:rPr>
              <w:t>available</w:t>
            </w:r>
            <w:proofErr w:type="gramEnd"/>
          </w:p>
          <w:p w14:paraId="33FE6C30" w14:textId="3E074435" w:rsidR="00000070" w:rsidRPr="00F433CB" w:rsidRDefault="007570E0" w:rsidP="00000070">
            <w:pPr>
              <w:rPr>
                <w:b/>
                <w:bCs/>
                <w:lang w:eastAsia="ja-JP"/>
              </w:rPr>
            </w:pPr>
            <w:r>
              <w:rPr>
                <w:b/>
                <w:bCs/>
                <w:lang w:eastAsia="ja-JP"/>
              </w:rPr>
              <w:t xml:space="preserve">Section </w:t>
            </w:r>
            <w:r w:rsidR="00000070" w:rsidRPr="00F433CB">
              <w:rPr>
                <w:b/>
                <w:bCs/>
                <w:lang w:eastAsia="ja-JP"/>
              </w:rPr>
              <w:t xml:space="preserve">12.48 Price of trade to be </w:t>
            </w:r>
            <w:proofErr w:type="gramStart"/>
            <w:r w:rsidR="00000070" w:rsidRPr="00F433CB">
              <w:rPr>
                <w:b/>
                <w:bCs/>
                <w:lang w:eastAsia="ja-JP"/>
              </w:rPr>
              <w:t>reported</w:t>
            </w:r>
            <w:proofErr w:type="gramEnd"/>
            <w:r w:rsidR="00000070" w:rsidRPr="00F433CB">
              <w:rPr>
                <w:b/>
                <w:bCs/>
                <w:lang w:eastAsia="ja-JP"/>
              </w:rPr>
              <w:t xml:space="preserve"> </w:t>
            </w:r>
          </w:p>
          <w:p w14:paraId="022C21A6" w14:textId="26E125FA" w:rsidR="00000070" w:rsidRPr="00000070" w:rsidRDefault="00000070" w:rsidP="00000070">
            <w:pPr>
              <w:rPr>
                <w:lang w:eastAsia="ja-JP"/>
              </w:rPr>
            </w:pPr>
            <w:r w:rsidRPr="00000070">
              <w:rPr>
                <w:lang w:eastAsia="ja-JP"/>
              </w:rPr>
              <w:t xml:space="preserve">(1) If the trade of a water access right requires the approval of an approval authority, the person disposing of the water access right must notify the approval authority in writing of the price agreed for the trade. </w:t>
            </w:r>
          </w:p>
          <w:p w14:paraId="5EFF6BAA" w14:textId="77777777" w:rsidR="00F921D7" w:rsidRDefault="00000070" w:rsidP="00000070">
            <w:pPr>
              <w:rPr>
                <w:lang w:eastAsia="ja-JP"/>
              </w:rPr>
            </w:pPr>
            <w:r w:rsidRPr="00000070">
              <w:rPr>
                <w:lang w:eastAsia="ja-JP"/>
              </w:rPr>
              <w:t>(2) If the trade of a water access right does not require the approval of an approval authority but does require registration, the person disposing of the water access right must notify the registration authority of the price agreed for the trade.</w:t>
            </w:r>
          </w:p>
          <w:p w14:paraId="1577FA87" w14:textId="77777777" w:rsidR="0001748F" w:rsidRDefault="00A24A59" w:rsidP="00A24A59">
            <w:pPr>
              <w:rPr>
                <w:lang w:eastAsia="ja-JP"/>
              </w:rPr>
            </w:pPr>
            <w:r w:rsidRPr="00A24A59">
              <w:rPr>
                <w:lang w:eastAsia="ja-JP"/>
              </w:rPr>
              <w:t>(3) The notice must be given either at, or before, the time the approval or registration is sought.</w:t>
            </w:r>
          </w:p>
          <w:p w14:paraId="4E643DA9" w14:textId="77777777" w:rsidR="00916575" w:rsidRDefault="00916575" w:rsidP="00A24A59">
            <w:pPr>
              <w:rPr>
                <w:lang w:eastAsia="ja-JP"/>
              </w:rPr>
            </w:pPr>
          </w:p>
          <w:p w14:paraId="08FDBC58" w14:textId="77777777" w:rsidR="00916575" w:rsidRPr="00C66152" w:rsidRDefault="00916575" w:rsidP="00A24A59">
            <w:pPr>
              <w:rPr>
                <w:b/>
                <w:bCs/>
                <w:sz w:val="22"/>
                <w:szCs w:val="22"/>
                <w:lang w:eastAsia="ja-JP"/>
              </w:rPr>
            </w:pPr>
            <w:r w:rsidRPr="00C66152">
              <w:rPr>
                <w:b/>
                <w:bCs/>
                <w:sz w:val="22"/>
                <w:szCs w:val="22"/>
                <w:lang w:eastAsia="ja-JP"/>
              </w:rPr>
              <w:t>Water Act 2007 (</w:t>
            </w:r>
            <w:proofErr w:type="spellStart"/>
            <w:r w:rsidRPr="00C66152">
              <w:rPr>
                <w:b/>
                <w:bCs/>
                <w:sz w:val="22"/>
                <w:szCs w:val="22"/>
                <w:lang w:eastAsia="ja-JP"/>
              </w:rPr>
              <w:t>Cth</w:t>
            </w:r>
            <w:proofErr w:type="spellEnd"/>
            <w:r w:rsidRPr="00C66152">
              <w:rPr>
                <w:b/>
                <w:bCs/>
                <w:sz w:val="22"/>
                <w:szCs w:val="22"/>
                <w:lang w:eastAsia="ja-JP"/>
              </w:rPr>
              <w:t>)</w:t>
            </w:r>
          </w:p>
          <w:p w14:paraId="4744F24A" w14:textId="43101B07" w:rsidR="00EF4224" w:rsidRPr="00C66152" w:rsidRDefault="00EF4224" w:rsidP="00EF4224">
            <w:pPr>
              <w:rPr>
                <w:b/>
                <w:bCs/>
                <w:lang w:eastAsia="ja-JP"/>
              </w:rPr>
            </w:pPr>
            <w:r w:rsidRPr="00C66152">
              <w:rPr>
                <w:b/>
                <w:bCs/>
                <w:lang w:eastAsia="ja-JP"/>
              </w:rPr>
              <w:t>73G Failing to report price for trade of water access right as required by the Basin Plan</w:t>
            </w:r>
          </w:p>
          <w:p w14:paraId="6B4F30FB" w14:textId="5E53F163" w:rsidR="00EF4224" w:rsidRPr="00D047CE" w:rsidRDefault="00EF4224" w:rsidP="00D047CE">
            <w:pPr>
              <w:rPr>
                <w:lang w:eastAsia="ja-JP"/>
              </w:rPr>
            </w:pPr>
            <w:r w:rsidRPr="00D047CE">
              <w:rPr>
                <w:lang w:eastAsia="ja-JP"/>
              </w:rPr>
              <w:t>(1)  A person contravenes this subsection if:</w:t>
            </w:r>
          </w:p>
          <w:p w14:paraId="71F33DEC" w14:textId="77777777" w:rsidR="00EF4224" w:rsidRPr="00D047CE" w:rsidRDefault="00EF4224" w:rsidP="00323733">
            <w:r w:rsidRPr="00D047CE">
              <w:rPr>
                <w:lang w:eastAsia="ja-JP"/>
              </w:rPr>
              <w:t>(a)  the person is required to give a notification under subsection 12.48(1) or (2) of the Basin Plan; and</w:t>
            </w:r>
          </w:p>
          <w:p w14:paraId="456DC38F" w14:textId="24412348" w:rsidR="00EF4224" w:rsidRPr="00D047CE" w:rsidRDefault="00EF4224" w:rsidP="00D047CE">
            <w:pPr>
              <w:rPr>
                <w:lang w:eastAsia="ja-JP"/>
              </w:rPr>
            </w:pPr>
            <w:r w:rsidRPr="00D047CE">
              <w:rPr>
                <w:lang w:eastAsia="ja-JP"/>
              </w:rPr>
              <w:t>(b)  the person fails to give the notification in accordance with subsection 12.48(3) of the Basin Plan.</w:t>
            </w:r>
          </w:p>
          <w:p w14:paraId="15A413C3" w14:textId="77777777" w:rsidR="00C66152" w:rsidRPr="00D047CE" w:rsidRDefault="00EF4224" w:rsidP="00D047CE">
            <w:r w:rsidRPr="00D047CE">
              <w:rPr>
                <w:lang w:eastAsia="ja-JP"/>
              </w:rPr>
              <w:t>(2)  Subsection (1) does not apply if the person has a reasonable excuse.</w:t>
            </w:r>
          </w:p>
          <w:p w14:paraId="63036326" w14:textId="7F66275E" w:rsidR="00EF4224" w:rsidRPr="00D047CE" w:rsidRDefault="00EF4224" w:rsidP="00D047CE">
            <w:pPr>
              <w:rPr>
                <w:lang w:eastAsia="ja-JP"/>
              </w:rPr>
            </w:pPr>
            <w:r w:rsidRPr="00D047CE">
              <w:rPr>
                <w:lang w:eastAsia="ja-JP"/>
              </w:rPr>
              <w:t>Note: The person bears an evidential burden in relation to the matter in this subsection (see section 154E).</w:t>
            </w:r>
          </w:p>
          <w:p w14:paraId="44300BAD" w14:textId="77777777" w:rsidR="00EF4224" w:rsidRPr="00D047CE" w:rsidRDefault="00EF4224" w:rsidP="00D047CE">
            <w:r w:rsidRPr="00D047CE">
              <w:rPr>
                <w:lang w:eastAsia="ja-JP"/>
              </w:rPr>
              <w:t>(3)  A person is liable to a civil penalty if the person contravenes subsection (1).</w:t>
            </w:r>
          </w:p>
          <w:p w14:paraId="135FC5F1" w14:textId="77777777" w:rsidR="00C66152" w:rsidRDefault="007C429E" w:rsidP="00EF4224">
            <w:pPr>
              <w:rPr>
                <w:lang w:eastAsia="ja-JP"/>
              </w:rPr>
            </w:pPr>
            <w:r>
              <w:rPr>
                <w:lang w:eastAsia="ja-JP"/>
              </w:rPr>
              <w:t>Civil penalty: 60 Penalty units</w:t>
            </w:r>
          </w:p>
          <w:p w14:paraId="18F0E45F" w14:textId="7E401E6A" w:rsidR="007C429E" w:rsidRDefault="007C429E" w:rsidP="00EF4224">
            <w:pPr>
              <w:rPr>
                <w:lang w:eastAsia="ja-JP"/>
              </w:rPr>
            </w:pPr>
          </w:p>
        </w:tc>
      </w:tr>
    </w:tbl>
    <w:p w14:paraId="53356725" w14:textId="77777777" w:rsidR="00EF5A55" w:rsidRDefault="00EF5A55" w:rsidP="00D800BC">
      <w:pPr>
        <w:rPr>
          <w:lang w:eastAsia="ja-JP"/>
        </w:rPr>
      </w:pPr>
    </w:p>
    <w:p w14:paraId="3C1F5156" w14:textId="0B6695DB" w:rsidR="00D800BC" w:rsidRDefault="00762388" w:rsidP="00D800BC">
      <w:pPr>
        <w:pStyle w:val="Heading2"/>
        <w:ind w:left="720" w:hanging="720"/>
      </w:pPr>
      <w:bookmarkStart w:id="41" w:name="_Toc107499521"/>
      <w:bookmarkStart w:id="42" w:name="_Toc148421505"/>
      <w:bookmarkStart w:id="43" w:name="_Toc95225085"/>
      <w:bookmarkStart w:id="44" w:name="_Toc95225112"/>
      <w:bookmarkStart w:id="45" w:name="_Toc95225271"/>
      <w:bookmarkStart w:id="46" w:name="_Toc95225302"/>
      <w:bookmarkStart w:id="47" w:name="_Toc95225446"/>
      <w:bookmarkStart w:id="48" w:name="_Toc95228422"/>
      <w:bookmarkStart w:id="49" w:name="_Toc95228562"/>
      <w:r>
        <w:lastRenderedPageBreak/>
        <w:t>Investigation</w:t>
      </w:r>
      <w:r w:rsidR="00D800BC">
        <w:t xml:space="preserve"> </w:t>
      </w:r>
      <w:r w:rsidR="00914AE8">
        <w:t>a</w:t>
      </w:r>
      <w:r w:rsidR="00D800BC">
        <w:t>pproach</w:t>
      </w:r>
      <w:bookmarkEnd w:id="41"/>
      <w:bookmarkEnd w:id="42"/>
    </w:p>
    <w:p w14:paraId="119174D7" w14:textId="7E5CFBD9" w:rsidR="00A16854" w:rsidRDefault="00A16854" w:rsidP="00A16854">
      <w:pPr>
        <w:pStyle w:val="Heading3"/>
        <w:rPr>
          <w:lang w:eastAsia="ja-JP"/>
        </w:rPr>
      </w:pPr>
      <w:bookmarkStart w:id="50" w:name="_Toc148421506"/>
      <w:r>
        <w:rPr>
          <w:lang w:eastAsia="ja-JP"/>
        </w:rPr>
        <w:t>Zero-dollar trades</w:t>
      </w:r>
      <w:bookmarkEnd w:id="50"/>
    </w:p>
    <w:p w14:paraId="0309C27D" w14:textId="385D1C42" w:rsidR="0038412A" w:rsidRDefault="0058603E" w:rsidP="00D800BC">
      <w:pPr>
        <w:rPr>
          <w:lang w:eastAsia="ja-JP"/>
        </w:rPr>
      </w:pPr>
      <w:r>
        <w:rPr>
          <w:lang w:eastAsia="ja-JP"/>
        </w:rPr>
        <w:t>The</w:t>
      </w:r>
      <w:r w:rsidR="00610C54" w:rsidRPr="00610C54">
        <w:rPr>
          <w:lang w:eastAsia="ja-JP"/>
        </w:rPr>
        <w:t xml:space="preserve"> M</w:t>
      </w:r>
      <w:r w:rsidR="00B00ED2">
        <w:rPr>
          <w:lang w:eastAsia="ja-JP"/>
        </w:rPr>
        <w:t xml:space="preserve">urray-Darling Basin Authority audit </w:t>
      </w:r>
      <w:r w:rsidR="0038412A">
        <w:rPr>
          <w:lang w:eastAsia="ja-JP"/>
        </w:rPr>
        <w:t xml:space="preserve">focused on $0 water allocation trade during </w:t>
      </w:r>
      <w:r w:rsidR="00610C54" w:rsidRPr="00610C54">
        <w:rPr>
          <w:lang w:eastAsia="ja-JP"/>
        </w:rPr>
        <w:t xml:space="preserve">the </w:t>
      </w:r>
      <w:r w:rsidR="00F81A9F">
        <w:rPr>
          <w:lang w:eastAsia="ja-JP"/>
        </w:rPr>
        <w:t>20</w:t>
      </w:r>
      <w:r w:rsidR="00610C54" w:rsidRPr="00610C54">
        <w:rPr>
          <w:lang w:eastAsia="ja-JP"/>
        </w:rPr>
        <w:t xml:space="preserve">17/18 </w:t>
      </w:r>
      <w:r w:rsidR="00490929">
        <w:rPr>
          <w:lang w:eastAsia="ja-JP"/>
        </w:rPr>
        <w:t>water</w:t>
      </w:r>
      <w:r w:rsidR="00610C54" w:rsidRPr="00610C54">
        <w:rPr>
          <w:lang w:eastAsia="ja-JP"/>
        </w:rPr>
        <w:t xml:space="preserve"> year</w:t>
      </w:r>
      <w:r w:rsidR="00286ACD">
        <w:rPr>
          <w:rStyle w:val="FootnoteReference"/>
          <w:lang w:eastAsia="ja-JP"/>
        </w:rPr>
        <w:footnoteReference w:id="19"/>
      </w:r>
      <w:r w:rsidR="00610C54" w:rsidRPr="00610C54">
        <w:rPr>
          <w:lang w:eastAsia="ja-JP"/>
        </w:rPr>
        <w:t xml:space="preserve">. </w:t>
      </w:r>
      <w:r w:rsidR="0038412A">
        <w:rPr>
          <w:lang w:eastAsia="ja-JP"/>
        </w:rPr>
        <w:t>Surprisingly,</w:t>
      </w:r>
      <w:r w:rsidR="00584AA8">
        <w:rPr>
          <w:lang w:eastAsia="ja-JP"/>
        </w:rPr>
        <w:t xml:space="preserve"> 4</w:t>
      </w:r>
      <w:r w:rsidR="00E42140">
        <w:rPr>
          <w:lang w:eastAsia="ja-JP"/>
        </w:rPr>
        <w:t>3</w:t>
      </w:r>
      <w:r w:rsidR="00584AA8">
        <w:rPr>
          <w:lang w:eastAsia="ja-JP"/>
        </w:rPr>
        <w:t>% of all trades during that year had no reported value. Removing these $0 trades would raise the average water allocation price to about $</w:t>
      </w:r>
      <w:r w:rsidR="005A120C">
        <w:rPr>
          <w:lang w:eastAsia="ja-JP"/>
        </w:rPr>
        <w:t>1</w:t>
      </w:r>
      <w:r w:rsidR="00C0456E">
        <w:rPr>
          <w:lang w:eastAsia="ja-JP"/>
        </w:rPr>
        <w:t>30</w:t>
      </w:r>
      <w:r w:rsidR="00584AA8">
        <w:rPr>
          <w:lang w:eastAsia="ja-JP"/>
        </w:rPr>
        <w:t xml:space="preserve"> per megalitre</w:t>
      </w:r>
      <w:r w:rsidR="005A120C">
        <w:rPr>
          <w:lang w:eastAsia="ja-JP"/>
        </w:rPr>
        <w:t xml:space="preserve">, compared to around $75 per megalitre when including them. This highlights how $0 trades </w:t>
      </w:r>
      <w:r w:rsidR="001D32AC">
        <w:rPr>
          <w:lang w:eastAsia="ja-JP"/>
        </w:rPr>
        <w:t xml:space="preserve">can </w:t>
      </w:r>
      <w:r w:rsidR="005A120C">
        <w:rPr>
          <w:lang w:eastAsia="ja-JP"/>
        </w:rPr>
        <w:t xml:space="preserve">affect </w:t>
      </w:r>
      <w:r w:rsidR="001D32AC">
        <w:rPr>
          <w:lang w:eastAsia="ja-JP"/>
        </w:rPr>
        <w:t>price data</w:t>
      </w:r>
      <w:r w:rsidR="00A55648">
        <w:rPr>
          <w:lang w:eastAsia="ja-JP"/>
        </w:rPr>
        <w:t>.</w:t>
      </w:r>
    </w:p>
    <w:p w14:paraId="368F8293" w14:textId="7454EF37" w:rsidR="00850120" w:rsidRDefault="00A55648" w:rsidP="00D800BC">
      <w:pPr>
        <w:rPr>
          <w:lang w:eastAsia="ja-JP"/>
        </w:rPr>
      </w:pPr>
      <w:r>
        <w:rPr>
          <w:lang w:eastAsia="ja-JP"/>
        </w:rPr>
        <w:t>In the 2021/22 water year</w:t>
      </w:r>
      <w:r w:rsidR="00FC7B7F">
        <w:rPr>
          <w:lang w:eastAsia="ja-JP"/>
        </w:rPr>
        <w:t xml:space="preserve">, $0 trades still made up a significant portion of water allocation trades in the Basin </w:t>
      </w:r>
      <w:r w:rsidR="00F8151F">
        <w:rPr>
          <w:lang w:eastAsia="ja-JP"/>
        </w:rPr>
        <w:t xml:space="preserve">(see table </w:t>
      </w:r>
      <w:r w:rsidR="0058426F">
        <w:rPr>
          <w:lang w:eastAsia="ja-JP"/>
        </w:rPr>
        <w:t>2</w:t>
      </w:r>
      <w:r w:rsidR="00F8151F">
        <w:rPr>
          <w:lang w:eastAsia="ja-JP"/>
        </w:rPr>
        <w:t xml:space="preserve"> below).</w:t>
      </w:r>
    </w:p>
    <w:p w14:paraId="37A73074" w14:textId="77777777" w:rsidR="00814677" w:rsidRDefault="00814677" w:rsidP="00D800BC">
      <w:pPr>
        <w:rPr>
          <w:lang w:eastAsia="ja-JP"/>
        </w:rPr>
      </w:pPr>
    </w:p>
    <w:p w14:paraId="2ADE86A7" w14:textId="27ACCCF9" w:rsidR="00F75B90" w:rsidRDefault="00850120" w:rsidP="001D151D">
      <w:pPr>
        <w:ind w:left="709"/>
        <w:rPr>
          <w:lang w:eastAsia="ja-JP"/>
        </w:rPr>
      </w:pPr>
      <w:r w:rsidRPr="00850120">
        <w:rPr>
          <w:lang w:eastAsia="ja-JP"/>
        </w:rPr>
        <w:t xml:space="preserve">Table </w:t>
      </w:r>
      <w:r w:rsidR="0058426F">
        <w:rPr>
          <w:lang w:eastAsia="ja-JP"/>
        </w:rPr>
        <w:t>2</w:t>
      </w:r>
      <w:r w:rsidRPr="00850120">
        <w:rPr>
          <w:lang w:eastAsia="ja-JP"/>
        </w:rPr>
        <w:t xml:space="preserve"> – </w:t>
      </w:r>
      <w:r w:rsidR="00E26D98">
        <w:rPr>
          <w:lang w:eastAsia="ja-JP"/>
        </w:rPr>
        <w:t xml:space="preserve">allocation trades in the MDB </w:t>
      </w:r>
      <w:r w:rsidRPr="00850120">
        <w:rPr>
          <w:lang w:eastAsia="ja-JP"/>
        </w:rPr>
        <w:t>for financial year 2</w:t>
      </w:r>
      <w:r>
        <w:rPr>
          <w:lang w:eastAsia="ja-JP"/>
        </w:rPr>
        <w:t>02</w:t>
      </w:r>
      <w:r w:rsidRPr="00850120">
        <w:rPr>
          <w:lang w:eastAsia="ja-JP"/>
        </w:rPr>
        <w:t>1/</w:t>
      </w:r>
      <w:r>
        <w:rPr>
          <w:lang w:eastAsia="ja-JP"/>
        </w:rPr>
        <w:t>20</w:t>
      </w:r>
      <w:r w:rsidRPr="00850120">
        <w:rPr>
          <w:lang w:eastAsia="ja-JP"/>
        </w:rPr>
        <w:t>22</w:t>
      </w:r>
    </w:p>
    <w:tbl>
      <w:tblPr>
        <w:tblStyle w:val="TableGridLight"/>
        <w:tblW w:w="7318" w:type="dxa"/>
        <w:tblInd w:w="500" w:type="dxa"/>
        <w:tblBorders>
          <w:top w:val="none" w:sz="0" w:space="0" w:color="auto"/>
          <w:bottom w:val="none" w:sz="0" w:space="0" w:color="auto"/>
          <w:insideH w:val="none" w:sz="0" w:space="0" w:color="auto"/>
        </w:tblBorders>
        <w:tblLook w:val="04A0" w:firstRow="1" w:lastRow="0" w:firstColumn="1" w:lastColumn="0" w:noHBand="0" w:noVBand="1"/>
      </w:tblPr>
      <w:tblGrid>
        <w:gridCol w:w="1485"/>
        <w:gridCol w:w="908"/>
        <w:gridCol w:w="1355"/>
        <w:gridCol w:w="1559"/>
        <w:gridCol w:w="284"/>
        <w:gridCol w:w="1727"/>
      </w:tblGrid>
      <w:tr w:rsidR="00A4410B" w:rsidRPr="009E264D" w14:paraId="70C454B0" w14:textId="77777777" w:rsidTr="00907FA2">
        <w:trPr>
          <w:cnfStyle w:val="100000000000" w:firstRow="1" w:lastRow="0" w:firstColumn="0" w:lastColumn="0" w:oddVBand="0" w:evenVBand="0" w:oddHBand="0" w:evenHBand="0" w:firstRowFirstColumn="0" w:firstRowLastColumn="0" w:lastRowFirstColumn="0" w:lastRowLastColumn="0"/>
          <w:trHeight w:val="290"/>
        </w:trPr>
        <w:tc>
          <w:tcPr>
            <w:tcW w:w="1485" w:type="dxa"/>
            <w:shd w:val="clear" w:color="auto" w:fill="538135" w:themeFill="accent6" w:themeFillShade="BF"/>
            <w:noWrap/>
            <w:hideMark/>
          </w:tcPr>
          <w:p w14:paraId="10A2904F" w14:textId="77777777" w:rsidR="00A4410B" w:rsidRPr="00F75B90" w:rsidRDefault="00A4410B" w:rsidP="0000643B">
            <w:pPr>
              <w:spacing w:after="0"/>
              <w:rPr>
                <w:rFonts w:eastAsia="Times New Roman" w:cs="Arial"/>
                <w:b/>
                <w:bCs/>
                <w:color w:val="FFFFFF"/>
              </w:rPr>
            </w:pPr>
            <w:r w:rsidRPr="00F75B90">
              <w:rPr>
                <w:rFonts w:eastAsia="Times New Roman" w:cs="Arial"/>
                <w:b/>
                <w:bCs/>
                <w:color w:val="FFFFFF"/>
              </w:rPr>
              <w:t>State</w:t>
            </w:r>
          </w:p>
        </w:tc>
        <w:tc>
          <w:tcPr>
            <w:tcW w:w="908" w:type="dxa"/>
            <w:shd w:val="clear" w:color="auto" w:fill="538135" w:themeFill="accent6" w:themeFillShade="BF"/>
          </w:tcPr>
          <w:p w14:paraId="7189D3CB" w14:textId="77777777" w:rsidR="00A4410B" w:rsidRPr="00F75B90" w:rsidRDefault="00A4410B" w:rsidP="00975EFB">
            <w:pPr>
              <w:spacing w:after="0"/>
              <w:jc w:val="right"/>
              <w:rPr>
                <w:rFonts w:eastAsia="Times New Roman" w:cs="Arial"/>
                <w:b/>
                <w:bCs/>
                <w:color w:val="FFFFFF"/>
              </w:rPr>
            </w:pPr>
          </w:p>
        </w:tc>
        <w:tc>
          <w:tcPr>
            <w:tcW w:w="1355" w:type="dxa"/>
            <w:shd w:val="clear" w:color="auto" w:fill="538135" w:themeFill="accent6" w:themeFillShade="BF"/>
            <w:noWrap/>
            <w:hideMark/>
          </w:tcPr>
          <w:p w14:paraId="4786E557" w14:textId="137B055F" w:rsidR="00A4410B" w:rsidRPr="00F75B90" w:rsidRDefault="00A4410B" w:rsidP="00975EFB">
            <w:pPr>
              <w:spacing w:after="0"/>
              <w:jc w:val="right"/>
              <w:rPr>
                <w:rFonts w:eastAsia="Times New Roman" w:cs="Arial"/>
                <w:b/>
                <w:bCs/>
                <w:color w:val="FFFFFF"/>
              </w:rPr>
            </w:pPr>
            <w:r w:rsidRPr="00F75B90">
              <w:rPr>
                <w:rFonts w:eastAsia="Times New Roman" w:cs="Arial"/>
                <w:b/>
                <w:bCs/>
                <w:color w:val="FFFFFF"/>
              </w:rPr>
              <w:t>Total Trades</w:t>
            </w:r>
          </w:p>
        </w:tc>
        <w:tc>
          <w:tcPr>
            <w:tcW w:w="1559" w:type="dxa"/>
            <w:shd w:val="clear" w:color="auto" w:fill="538135" w:themeFill="accent6" w:themeFillShade="BF"/>
            <w:noWrap/>
            <w:hideMark/>
          </w:tcPr>
          <w:p w14:paraId="1D190EC1" w14:textId="77777777" w:rsidR="00A4410B" w:rsidRPr="00F75B90" w:rsidRDefault="00A4410B" w:rsidP="00975EFB">
            <w:pPr>
              <w:spacing w:after="0"/>
              <w:jc w:val="right"/>
              <w:rPr>
                <w:rFonts w:eastAsia="Times New Roman" w:cs="Arial"/>
                <w:b/>
                <w:bCs/>
                <w:color w:val="FFFFFF"/>
              </w:rPr>
            </w:pPr>
            <w:r w:rsidRPr="00F75B90">
              <w:rPr>
                <w:rFonts w:eastAsia="Times New Roman" w:cs="Arial"/>
                <w:b/>
                <w:bCs/>
                <w:color w:val="FFFFFF"/>
              </w:rPr>
              <w:t>$0 Trades</w:t>
            </w:r>
          </w:p>
        </w:tc>
        <w:tc>
          <w:tcPr>
            <w:tcW w:w="284" w:type="dxa"/>
            <w:shd w:val="clear" w:color="auto" w:fill="538135" w:themeFill="accent6" w:themeFillShade="BF"/>
          </w:tcPr>
          <w:p w14:paraId="38B8B5D3" w14:textId="77777777" w:rsidR="00A4410B" w:rsidRPr="00F75B90" w:rsidRDefault="00A4410B" w:rsidP="0000643B">
            <w:pPr>
              <w:spacing w:after="0"/>
              <w:rPr>
                <w:rFonts w:eastAsia="Times New Roman" w:cs="Arial"/>
                <w:b/>
                <w:bCs/>
                <w:color w:val="FFFFFF"/>
              </w:rPr>
            </w:pPr>
          </w:p>
        </w:tc>
        <w:tc>
          <w:tcPr>
            <w:tcW w:w="1727" w:type="dxa"/>
            <w:shd w:val="clear" w:color="auto" w:fill="538135" w:themeFill="accent6" w:themeFillShade="BF"/>
            <w:noWrap/>
            <w:hideMark/>
          </w:tcPr>
          <w:p w14:paraId="712A582D" w14:textId="4554A8C3" w:rsidR="00A4410B" w:rsidRDefault="00A4410B" w:rsidP="00975EFB">
            <w:pPr>
              <w:spacing w:after="0"/>
              <w:jc w:val="center"/>
              <w:rPr>
                <w:rFonts w:eastAsia="Times New Roman" w:cs="Arial"/>
                <w:b/>
                <w:bCs/>
                <w:color w:val="FFFFFF"/>
              </w:rPr>
            </w:pPr>
            <w:r w:rsidRPr="00F75B90">
              <w:rPr>
                <w:rFonts w:eastAsia="Times New Roman" w:cs="Arial"/>
                <w:b/>
                <w:bCs/>
                <w:color w:val="FFFFFF"/>
              </w:rPr>
              <w:t>Percentage</w:t>
            </w:r>
            <w:r>
              <w:rPr>
                <w:rFonts w:eastAsia="Times New Roman" w:cs="Arial"/>
                <w:b/>
                <w:bCs/>
                <w:color w:val="FFFFFF"/>
              </w:rPr>
              <w:t xml:space="preserve"> of</w:t>
            </w:r>
          </w:p>
          <w:p w14:paraId="6557B4EA" w14:textId="13C842E7" w:rsidR="00A4410B" w:rsidRPr="00F75B90" w:rsidRDefault="00A4410B" w:rsidP="00975EFB">
            <w:pPr>
              <w:spacing w:after="0"/>
              <w:jc w:val="center"/>
              <w:rPr>
                <w:rFonts w:eastAsia="Times New Roman" w:cs="Arial"/>
                <w:b/>
                <w:bCs/>
                <w:color w:val="FFFFFF"/>
              </w:rPr>
            </w:pPr>
            <w:r>
              <w:rPr>
                <w:rFonts w:eastAsia="Times New Roman" w:cs="Arial"/>
                <w:b/>
                <w:bCs/>
                <w:color w:val="FFFFFF"/>
              </w:rPr>
              <w:t>$0 trades</w:t>
            </w:r>
          </w:p>
        </w:tc>
      </w:tr>
      <w:tr w:rsidR="00A4410B" w:rsidRPr="009E264D" w14:paraId="2CAC7258" w14:textId="77777777" w:rsidTr="00907FA2">
        <w:trPr>
          <w:trHeight w:val="290"/>
        </w:trPr>
        <w:tc>
          <w:tcPr>
            <w:tcW w:w="1485" w:type="dxa"/>
            <w:tcBorders>
              <w:bottom w:val="single" w:sz="4" w:space="0" w:color="auto"/>
            </w:tcBorders>
            <w:noWrap/>
            <w:hideMark/>
          </w:tcPr>
          <w:p w14:paraId="36F1E26B" w14:textId="77777777" w:rsidR="00A4410B" w:rsidRPr="00F75B90" w:rsidRDefault="00A4410B" w:rsidP="0000643B">
            <w:pPr>
              <w:spacing w:after="0"/>
              <w:rPr>
                <w:rFonts w:eastAsia="Times New Roman" w:cs="Arial"/>
                <w:color w:val="000000"/>
              </w:rPr>
            </w:pPr>
            <w:r w:rsidRPr="00F75B90">
              <w:rPr>
                <w:rFonts w:eastAsia="Times New Roman" w:cs="Arial"/>
                <w:color w:val="000000"/>
              </w:rPr>
              <w:t>NSW</w:t>
            </w:r>
          </w:p>
        </w:tc>
        <w:tc>
          <w:tcPr>
            <w:tcW w:w="908" w:type="dxa"/>
            <w:tcBorders>
              <w:bottom w:val="single" w:sz="4" w:space="0" w:color="auto"/>
            </w:tcBorders>
          </w:tcPr>
          <w:p w14:paraId="028A3BC3" w14:textId="77777777" w:rsidR="00A4410B" w:rsidRPr="00F75B90" w:rsidRDefault="00A4410B" w:rsidP="0000643B">
            <w:pPr>
              <w:spacing w:after="0"/>
              <w:jc w:val="right"/>
              <w:rPr>
                <w:rFonts w:eastAsia="Times New Roman" w:cs="Arial"/>
                <w:color w:val="000000"/>
              </w:rPr>
            </w:pPr>
          </w:p>
        </w:tc>
        <w:tc>
          <w:tcPr>
            <w:tcW w:w="1355" w:type="dxa"/>
            <w:tcBorders>
              <w:bottom w:val="single" w:sz="4" w:space="0" w:color="auto"/>
            </w:tcBorders>
            <w:noWrap/>
            <w:hideMark/>
          </w:tcPr>
          <w:p w14:paraId="7887EDB9" w14:textId="55002B4E" w:rsidR="00A4410B" w:rsidRPr="00F75B90" w:rsidRDefault="00A4410B" w:rsidP="0000643B">
            <w:pPr>
              <w:spacing w:after="0"/>
              <w:jc w:val="right"/>
              <w:rPr>
                <w:rFonts w:eastAsia="Times New Roman" w:cs="Arial"/>
                <w:color w:val="000000"/>
              </w:rPr>
            </w:pPr>
            <w:r w:rsidRPr="00F75B90">
              <w:rPr>
                <w:rFonts w:eastAsia="Times New Roman" w:cs="Arial"/>
                <w:color w:val="000000"/>
              </w:rPr>
              <w:t>9645</w:t>
            </w:r>
          </w:p>
        </w:tc>
        <w:tc>
          <w:tcPr>
            <w:tcW w:w="1559" w:type="dxa"/>
            <w:tcBorders>
              <w:bottom w:val="single" w:sz="4" w:space="0" w:color="auto"/>
            </w:tcBorders>
            <w:noWrap/>
            <w:hideMark/>
          </w:tcPr>
          <w:p w14:paraId="11B7BDA8" w14:textId="77777777" w:rsidR="00A4410B" w:rsidRPr="00F75B90" w:rsidRDefault="00A4410B" w:rsidP="0000643B">
            <w:pPr>
              <w:spacing w:after="0"/>
              <w:jc w:val="right"/>
              <w:rPr>
                <w:rFonts w:eastAsia="Times New Roman" w:cs="Arial"/>
                <w:color w:val="000000"/>
              </w:rPr>
            </w:pPr>
            <w:r w:rsidRPr="00F75B90">
              <w:rPr>
                <w:rFonts w:eastAsia="Times New Roman" w:cs="Arial"/>
                <w:color w:val="000000"/>
              </w:rPr>
              <w:t>4740</w:t>
            </w:r>
          </w:p>
        </w:tc>
        <w:tc>
          <w:tcPr>
            <w:tcW w:w="284" w:type="dxa"/>
            <w:tcBorders>
              <w:bottom w:val="single" w:sz="4" w:space="0" w:color="auto"/>
            </w:tcBorders>
          </w:tcPr>
          <w:p w14:paraId="6EEA5996" w14:textId="77777777" w:rsidR="00A4410B" w:rsidRPr="00F75B90" w:rsidRDefault="00A4410B" w:rsidP="0000643B">
            <w:pPr>
              <w:spacing w:after="0"/>
              <w:jc w:val="right"/>
              <w:rPr>
                <w:rFonts w:eastAsia="Times New Roman" w:cs="Arial"/>
                <w:color w:val="000000"/>
              </w:rPr>
            </w:pPr>
          </w:p>
        </w:tc>
        <w:tc>
          <w:tcPr>
            <w:tcW w:w="1727" w:type="dxa"/>
            <w:tcBorders>
              <w:bottom w:val="single" w:sz="4" w:space="0" w:color="auto"/>
            </w:tcBorders>
            <w:noWrap/>
            <w:hideMark/>
          </w:tcPr>
          <w:p w14:paraId="50F39BCA" w14:textId="599CC97B" w:rsidR="00A4410B" w:rsidRPr="00F75B90" w:rsidRDefault="00A4410B" w:rsidP="00975EFB">
            <w:pPr>
              <w:spacing w:after="0"/>
              <w:jc w:val="center"/>
              <w:rPr>
                <w:rFonts w:eastAsia="Times New Roman" w:cs="Arial"/>
                <w:color w:val="000000"/>
              </w:rPr>
            </w:pPr>
            <w:r w:rsidRPr="00F75B90">
              <w:rPr>
                <w:rFonts w:eastAsia="Times New Roman" w:cs="Arial"/>
                <w:color w:val="000000"/>
              </w:rPr>
              <w:t>49%</w:t>
            </w:r>
          </w:p>
        </w:tc>
      </w:tr>
      <w:tr w:rsidR="00A4410B" w:rsidRPr="009E264D" w14:paraId="4BA63BA1" w14:textId="77777777" w:rsidTr="00907FA2">
        <w:trPr>
          <w:trHeight w:val="290"/>
        </w:trPr>
        <w:tc>
          <w:tcPr>
            <w:tcW w:w="1485" w:type="dxa"/>
            <w:tcBorders>
              <w:top w:val="single" w:sz="4" w:space="0" w:color="auto"/>
              <w:bottom w:val="single" w:sz="4" w:space="0" w:color="auto"/>
            </w:tcBorders>
            <w:noWrap/>
            <w:hideMark/>
          </w:tcPr>
          <w:p w14:paraId="6EAB6B43" w14:textId="77777777" w:rsidR="00A4410B" w:rsidRPr="00F75B90" w:rsidRDefault="00A4410B" w:rsidP="0000643B">
            <w:pPr>
              <w:spacing w:after="0"/>
              <w:rPr>
                <w:rFonts w:eastAsia="Times New Roman" w:cs="Arial"/>
                <w:color w:val="000000"/>
              </w:rPr>
            </w:pPr>
            <w:r w:rsidRPr="00F75B90">
              <w:rPr>
                <w:rFonts w:eastAsia="Times New Roman" w:cs="Arial"/>
                <w:color w:val="000000"/>
              </w:rPr>
              <w:t>VIC</w:t>
            </w:r>
          </w:p>
        </w:tc>
        <w:tc>
          <w:tcPr>
            <w:tcW w:w="908" w:type="dxa"/>
            <w:tcBorders>
              <w:top w:val="single" w:sz="4" w:space="0" w:color="auto"/>
              <w:bottom w:val="single" w:sz="4" w:space="0" w:color="auto"/>
            </w:tcBorders>
          </w:tcPr>
          <w:p w14:paraId="2D13C73C" w14:textId="77777777" w:rsidR="00A4410B" w:rsidRPr="00F75B90" w:rsidRDefault="00A4410B" w:rsidP="0000643B">
            <w:pPr>
              <w:spacing w:after="0"/>
              <w:jc w:val="right"/>
              <w:rPr>
                <w:rFonts w:eastAsia="Times New Roman" w:cs="Arial"/>
                <w:color w:val="000000"/>
              </w:rPr>
            </w:pPr>
          </w:p>
        </w:tc>
        <w:tc>
          <w:tcPr>
            <w:tcW w:w="1355" w:type="dxa"/>
            <w:tcBorders>
              <w:top w:val="single" w:sz="4" w:space="0" w:color="auto"/>
              <w:bottom w:val="single" w:sz="4" w:space="0" w:color="auto"/>
            </w:tcBorders>
            <w:noWrap/>
            <w:hideMark/>
          </w:tcPr>
          <w:p w14:paraId="413EEC9D" w14:textId="110FFAC3" w:rsidR="00A4410B" w:rsidRPr="00F75B90" w:rsidRDefault="00A4410B" w:rsidP="0000643B">
            <w:pPr>
              <w:spacing w:after="0"/>
              <w:jc w:val="right"/>
              <w:rPr>
                <w:rFonts w:eastAsia="Times New Roman" w:cs="Arial"/>
                <w:color w:val="000000"/>
              </w:rPr>
            </w:pPr>
            <w:r w:rsidRPr="00F75B90">
              <w:rPr>
                <w:rFonts w:eastAsia="Times New Roman" w:cs="Arial"/>
                <w:color w:val="000000"/>
              </w:rPr>
              <w:t>12662</w:t>
            </w:r>
          </w:p>
        </w:tc>
        <w:tc>
          <w:tcPr>
            <w:tcW w:w="1559" w:type="dxa"/>
            <w:tcBorders>
              <w:top w:val="single" w:sz="4" w:space="0" w:color="auto"/>
              <w:bottom w:val="single" w:sz="4" w:space="0" w:color="auto"/>
            </w:tcBorders>
            <w:noWrap/>
            <w:hideMark/>
          </w:tcPr>
          <w:p w14:paraId="260825DE" w14:textId="77777777" w:rsidR="00A4410B" w:rsidRPr="00F75B90" w:rsidRDefault="00A4410B" w:rsidP="0000643B">
            <w:pPr>
              <w:spacing w:after="0"/>
              <w:jc w:val="right"/>
              <w:rPr>
                <w:rFonts w:eastAsia="Times New Roman" w:cs="Arial"/>
                <w:color w:val="000000"/>
              </w:rPr>
            </w:pPr>
            <w:r w:rsidRPr="00F75B90">
              <w:rPr>
                <w:rFonts w:eastAsia="Times New Roman" w:cs="Arial"/>
                <w:color w:val="000000"/>
              </w:rPr>
              <w:t>3760</w:t>
            </w:r>
          </w:p>
        </w:tc>
        <w:tc>
          <w:tcPr>
            <w:tcW w:w="284" w:type="dxa"/>
            <w:tcBorders>
              <w:top w:val="single" w:sz="4" w:space="0" w:color="auto"/>
              <w:bottom w:val="single" w:sz="4" w:space="0" w:color="auto"/>
            </w:tcBorders>
          </w:tcPr>
          <w:p w14:paraId="72C6F788" w14:textId="77777777" w:rsidR="00A4410B" w:rsidRPr="00F75B90" w:rsidRDefault="00A4410B" w:rsidP="0000643B">
            <w:pPr>
              <w:spacing w:after="0"/>
              <w:jc w:val="right"/>
              <w:rPr>
                <w:rFonts w:eastAsia="Times New Roman" w:cs="Arial"/>
                <w:color w:val="000000"/>
              </w:rPr>
            </w:pPr>
          </w:p>
        </w:tc>
        <w:tc>
          <w:tcPr>
            <w:tcW w:w="1727" w:type="dxa"/>
            <w:tcBorders>
              <w:top w:val="single" w:sz="4" w:space="0" w:color="auto"/>
              <w:bottom w:val="single" w:sz="4" w:space="0" w:color="auto"/>
            </w:tcBorders>
            <w:noWrap/>
            <w:hideMark/>
          </w:tcPr>
          <w:p w14:paraId="21A17F88" w14:textId="0C389C0B" w:rsidR="00A4410B" w:rsidRPr="00F75B90" w:rsidRDefault="00A4410B" w:rsidP="00975EFB">
            <w:pPr>
              <w:spacing w:after="0"/>
              <w:jc w:val="center"/>
              <w:rPr>
                <w:rFonts w:eastAsia="Times New Roman" w:cs="Arial"/>
                <w:color w:val="000000"/>
              </w:rPr>
            </w:pPr>
            <w:r w:rsidRPr="00F75B90">
              <w:rPr>
                <w:rFonts w:eastAsia="Times New Roman" w:cs="Arial"/>
                <w:color w:val="000000"/>
              </w:rPr>
              <w:t>30%</w:t>
            </w:r>
          </w:p>
        </w:tc>
      </w:tr>
      <w:tr w:rsidR="00A4410B" w:rsidRPr="009E264D" w14:paraId="78DCBAA0" w14:textId="77777777" w:rsidTr="00907FA2">
        <w:trPr>
          <w:trHeight w:val="290"/>
        </w:trPr>
        <w:tc>
          <w:tcPr>
            <w:tcW w:w="1485" w:type="dxa"/>
            <w:tcBorders>
              <w:top w:val="single" w:sz="4" w:space="0" w:color="auto"/>
              <w:bottom w:val="single" w:sz="4" w:space="0" w:color="auto"/>
            </w:tcBorders>
            <w:noWrap/>
            <w:hideMark/>
          </w:tcPr>
          <w:p w14:paraId="434A644F" w14:textId="77777777" w:rsidR="00A4410B" w:rsidRPr="00F75B90" w:rsidRDefault="00A4410B" w:rsidP="0000643B">
            <w:pPr>
              <w:spacing w:after="0"/>
              <w:rPr>
                <w:rFonts w:eastAsia="Times New Roman" w:cs="Arial"/>
                <w:color w:val="000000"/>
              </w:rPr>
            </w:pPr>
            <w:r w:rsidRPr="00F75B90">
              <w:rPr>
                <w:rFonts w:eastAsia="Times New Roman" w:cs="Arial"/>
                <w:color w:val="000000"/>
              </w:rPr>
              <w:t>SA</w:t>
            </w:r>
          </w:p>
        </w:tc>
        <w:tc>
          <w:tcPr>
            <w:tcW w:w="908" w:type="dxa"/>
            <w:tcBorders>
              <w:top w:val="single" w:sz="4" w:space="0" w:color="auto"/>
              <w:bottom w:val="single" w:sz="4" w:space="0" w:color="auto"/>
            </w:tcBorders>
          </w:tcPr>
          <w:p w14:paraId="7E6962BC" w14:textId="77777777" w:rsidR="00A4410B" w:rsidRPr="00F75B90" w:rsidRDefault="00A4410B" w:rsidP="0000643B">
            <w:pPr>
              <w:spacing w:after="0"/>
              <w:jc w:val="right"/>
              <w:rPr>
                <w:rFonts w:eastAsia="Times New Roman" w:cs="Arial"/>
                <w:color w:val="000000"/>
              </w:rPr>
            </w:pPr>
          </w:p>
        </w:tc>
        <w:tc>
          <w:tcPr>
            <w:tcW w:w="1355" w:type="dxa"/>
            <w:tcBorders>
              <w:top w:val="single" w:sz="4" w:space="0" w:color="auto"/>
              <w:bottom w:val="single" w:sz="4" w:space="0" w:color="auto"/>
            </w:tcBorders>
            <w:noWrap/>
            <w:hideMark/>
          </w:tcPr>
          <w:p w14:paraId="17F6F5DB" w14:textId="557B834F" w:rsidR="00A4410B" w:rsidRPr="00F75B90" w:rsidRDefault="00A4410B" w:rsidP="0000643B">
            <w:pPr>
              <w:spacing w:after="0"/>
              <w:jc w:val="right"/>
              <w:rPr>
                <w:rFonts w:eastAsia="Times New Roman" w:cs="Arial"/>
                <w:color w:val="000000"/>
              </w:rPr>
            </w:pPr>
            <w:r w:rsidRPr="00F75B90">
              <w:rPr>
                <w:rFonts w:eastAsia="Times New Roman" w:cs="Arial"/>
                <w:color w:val="000000"/>
              </w:rPr>
              <w:t>1689</w:t>
            </w:r>
          </w:p>
        </w:tc>
        <w:tc>
          <w:tcPr>
            <w:tcW w:w="1559" w:type="dxa"/>
            <w:tcBorders>
              <w:top w:val="single" w:sz="4" w:space="0" w:color="auto"/>
              <w:bottom w:val="single" w:sz="4" w:space="0" w:color="auto"/>
            </w:tcBorders>
            <w:noWrap/>
            <w:hideMark/>
          </w:tcPr>
          <w:p w14:paraId="78428D26" w14:textId="77777777" w:rsidR="00A4410B" w:rsidRPr="00F75B90" w:rsidRDefault="00A4410B" w:rsidP="0000643B">
            <w:pPr>
              <w:spacing w:after="0"/>
              <w:jc w:val="right"/>
              <w:rPr>
                <w:rFonts w:eastAsia="Times New Roman" w:cs="Arial"/>
                <w:color w:val="000000"/>
              </w:rPr>
            </w:pPr>
            <w:r w:rsidRPr="00F75B90">
              <w:rPr>
                <w:rFonts w:eastAsia="Times New Roman" w:cs="Arial"/>
                <w:color w:val="000000"/>
              </w:rPr>
              <w:t>656</w:t>
            </w:r>
          </w:p>
        </w:tc>
        <w:tc>
          <w:tcPr>
            <w:tcW w:w="284" w:type="dxa"/>
            <w:tcBorders>
              <w:top w:val="single" w:sz="4" w:space="0" w:color="auto"/>
              <w:bottom w:val="single" w:sz="4" w:space="0" w:color="auto"/>
            </w:tcBorders>
          </w:tcPr>
          <w:p w14:paraId="5AC6FAD9" w14:textId="77777777" w:rsidR="00A4410B" w:rsidRPr="00F75B90" w:rsidRDefault="00A4410B" w:rsidP="0000643B">
            <w:pPr>
              <w:spacing w:after="0"/>
              <w:jc w:val="right"/>
              <w:rPr>
                <w:rFonts w:eastAsia="Times New Roman" w:cs="Arial"/>
                <w:color w:val="000000"/>
              </w:rPr>
            </w:pPr>
          </w:p>
        </w:tc>
        <w:tc>
          <w:tcPr>
            <w:tcW w:w="1727" w:type="dxa"/>
            <w:tcBorders>
              <w:top w:val="single" w:sz="4" w:space="0" w:color="auto"/>
              <w:bottom w:val="single" w:sz="4" w:space="0" w:color="auto"/>
            </w:tcBorders>
            <w:noWrap/>
            <w:hideMark/>
          </w:tcPr>
          <w:p w14:paraId="2C2DECA8" w14:textId="599F993F" w:rsidR="00A4410B" w:rsidRPr="00F75B90" w:rsidRDefault="00A4410B" w:rsidP="00975EFB">
            <w:pPr>
              <w:spacing w:after="0"/>
              <w:jc w:val="center"/>
              <w:rPr>
                <w:rFonts w:eastAsia="Times New Roman" w:cs="Arial"/>
                <w:color w:val="000000"/>
              </w:rPr>
            </w:pPr>
            <w:r w:rsidRPr="00F75B90">
              <w:rPr>
                <w:rFonts w:eastAsia="Times New Roman" w:cs="Arial"/>
                <w:color w:val="000000"/>
              </w:rPr>
              <w:t>39%</w:t>
            </w:r>
          </w:p>
        </w:tc>
      </w:tr>
      <w:tr w:rsidR="00A4410B" w:rsidRPr="009E264D" w14:paraId="577961BF" w14:textId="77777777" w:rsidTr="00907FA2">
        <w:trPr>
          <w:trHeight w:val="290"/>
        </w:trPr>
        <w:tc>
          <w:tcPr>
            <w:tcW w:w="1485" w:type="dxa"/>
            <w:tcBorders>
              <w:top w:val="single" w:sz="4" w:space="0" w:color="auto"/>
              <w:bottom w:val="single" w:sz="4" w:space="0" w:color="auto"/>
            </w:tcBorders>
            <w:noWrap/>
            <w:hideMark/>
          </w:tcPr>
          <w:p w14:paraId="46F084E9" w14:textId="77777777" w:rsidR="00A4410B" w:rsidRPr="00F75B90" w:rsidRDefault="00A4410B" w:rsidP="0000643B">
            <w:pPr>
              <w:spacing w:after="0"/>
              <w:rPr>
                <w:rFonts w:eastAsia="Times New Roman" w:cs="Arial"/>
                <w:color w:val="000000"/>
              </w:rPr>
            </w:pPr>
            <w:r w:rsidRPr="00F75B90">
              <w:rPr>
                <w:rFonts w:eastAsia="Times New Roman" w:cs="Arial"/>
                <w:color w:val="000000"/>
              </w:rPr>
              <w:t>QLD</w:t>
            </w:r>
          </w:p>
        </w:tc>
        <w:tc>
          <w:tcPr>
            <w:tcW w:w="908" w:type="dxa"/>
            <w:tcBorders>
              <w:top w:val="single" w:sz="4" w:space="0" w:color="auto"/>
              <w:bottom w:val="single" w:sz="4" w:space="0" w:color="auto"/>
            </w:tcBorders>
          </w:tcPr>
          <w:p w14:paraId="2AA80933" w14:textId="77777777" w:rsidR="00A4410B" w:rsidRPr="00F75B90" w:rsidRDefault="00A4410B" w:rsidP="0000643B">
            <w:pPr>
              <w:spacing w:after="0"/>
              <w:jc w:val="right"/>
              <w:rPr>
                <w:rFonts w:eastAsia="Times New Roman" w:cs="Arial"/>
                <w:color w:val="000000"/>
              </w:rPr>
            </w:pPr>
          </w:p>
        </w:tc>
        <w:tc>
          <w:tcPr>
            <w:tcW w:w="1355" w:type="dxa"/>
            <w:tcBorders>
              <w:top w:val="single" w:sz="4" w:space="0" w:color="auto"/>
              <w:bottom w:val="single" w:sz="4" w:space="0" w:color="auto"/>
            </w:tcBorders>
            <w:noWrap/>
            <w:hideMark/>
          </w:tcPr>
          <w:p w14:paraId="1427B0FE" w14:textId="2A160AC6" w:rsidR="00A4410B" w:rsidRPr="00F75B90" w:rsidRDefault="00A4410B" w:rsidP="0000643B">
            <w:pPr>
              <w:spacing w:after="0"/>
              <w:jc w:val="right"/>
              <w:rPr>
                <w:rFonts w:eastAsia="Times New Roman" w:cs="Arial"/>
                <w:color w:val="000000"/>
              </w:rPr>
            </w:pPr>
            <w:r w:rsidRPr="00F75B90">
              <w:rPr>
                <w:rFonts w:eastAsia="Times New Roman" w:cs="Arial"/>
                <w:color w:val="000000"/>
              </w:rPr>
              <w:t>128</w:t>
            </w:r>
          </w:p>
        </w:tc>
        <w:tc>
          <w:tcPr>
            <w:tcW w:w="1559" w:type="dxa"/>
            <w:tcBorders>
              <w:top w:val="single" w:sz="4" w:space="0" w:color="auto"/>
              <w:bottom w:val="single" w:sz="4" w:space="0" w:color="auto"/>
            </w:tcBorders>
            <w:noWrap/>
            <w:hideMark/>
          </w:tcPr>
          <w:p w14:paraId="51BDCBA7" w14:textId="77777777" w:rsidR="00A4410B" w:rsidRPr="00F75B90" w:rsidRDefault="00A4410B" w:rsidP="0000643B">
            <w:pPr>
              <w:spacing w:after="0"/>
              <w:jc w:val="right"/>
              <w:rPr>
                <w:rFonts w:eastAsia="Times New Roman" w:cs="Arial"/>
                <w:color w:val="000000"/>
              </w:rPr>
            </w:pPr>
            <w:r w:rsidRPr="00F75B90">
              <w:rPr>
                <w:rFonts w:eastAsia="Times New Roman" w:cs="Arial"/>
                <w:color w:val="000000"/>
              </w:rPr>
              <w:t>66</w:t>
            </w:r>
          </w:p>
        </w:tc>
        <w:tc>
          <w:tcPr>
            <w:tcW w:w="284" w:type="dxa"/>
            <w:tcBorders>
              <w:top w:val="single" w:sz="4" w:space="0" w:color="auto"/>
              <w:bottom w:val="single" w:sz="4" w:space="0" w:color="auto"/>
            </w:tcBorders>
          </w:tcPr>
          <w:p w14:paraId="64655746" w14:textId="77777777" w:rsidR="00A4410B" w:rsidRPr="00F75B90" w:rsidRDefault="00A4410B" w:rsidP="0000643B">
            <w:pPr>
              <w:spacing w:after="0"/>
              <w:jc w:val="right"/>
              <w:rPr>
                <w:rFonts w:eastAsia="Times New Roman" w:cs="Arial"/>
                <w:color w:val="000000"/>
              </w:rPr>
            </w:pPr>
          </w:p>
        </w:tc>
        <w:tc>
          <w:tcPr>
            <w:tcW w:w="1727" w:type="dxa"/>
            <w:tcBorders>
              <w:top w:val="single" w:sz="4" w:space="0" w:color="auto"/>
              <w:bottom w:val="single" w:sz="4" w:space="0" w:color="auto"/>
            </w:tcBorders>
            <w:noWrap/>
            <w:hideMark/>
          </w:tcPr>
          <w:p w14:paraId="793A952A" w14:textId="431053A2" w:rsidR="00A4410B" w:rsidRPr="00F75B90" w:rsidRDefault="00A4410B" w:rsidP="00975EFB">
            <w:pPr>
              <w:spacing w:after="0"/>
              <w:jc w:val="center"/>
              <w:rPr>
                <w:rFonts w:eastAsia="Times New Roman" w:cs="Arial"/>
                <w:color w:val="000000"/>
              </w:rPr>
            </w:pPr>
            <w:r w:rsidRPr="00F75B90">
              <w:rPr>
                <w:rFonts w:eastAsia="Times New Roman" w:cs="Arial"/>
                <w:color w:val="000000"/>
              </w:rPr>
              <w:t>52%</w:t>
            </w:r>
          </w:p>
        </w:tc>
      </w:tr>
      <w:tr w:rsidR="00A4410B" w:rsidRPr="009E264D" w14:paraId="4180A6A0" w14:textId="77777777" w:rsidTr="00907FA2">
        <w:trPr>
          <w:trHeight w:val="290"/>
        </w:trPr>
        <w:tc>
          <w:tcPr>
            <w:tcW w:w="1485" w:type="dxa"/>
            <w:tcBorders>
              <w:top w:val="single" w:sz="4" w:space="0" w:color="auto"/>
            </w:tcBorders>
            <w:noWrap/>
            <w:hideMark/>
          </w:tcPr>
          <w:p w14:paraId="66A7AF08" w14:textId="4F677205" w:rsidR="00A4410B" w:rsidRPr="00F75B90" w:rsidRDefault="00A4410B" w:rsidP="0000643B">
            <w:pPr>
              <w:spacing w:after="0"/>
              <w:rPr>
                <w:rFonts w:eastAsia="Times New Roman" w:cs="Arial"/>
                <w:color w:val="000000"/>
              </w:rPr>
            </w:pPr>
          </w:p>
        </w:tc>
        <w:tc>
          <w:tcPr>
            <w:tcW w:w="908" w:type="dxa"/>
            <w:tcBorders>
              <w:top w:val="single" w:sz="4" w:space="0" w:color="auto"/>
            </w:tcBorders>
          </w:tcPr>
          <w:p w14:paraId="5E65CAFA" w14:textId="3DF08692" w:rsidR="00A4410B" w:rsidRPr="00F75B90" w:rsidRDefault="00A4410B" w:rsidP="0000643B">
            <w:pPr>
              <w:spacing w:after="0"/>
              <w:jc w:val="right"/>
              <w:rPr>
                <w:rFonts w:eastAsia="Times New Roman" w:cs="Arial"/>
                <w:color w:val="000000"/>
              </w:rPr>
            </w:pPr>
            <w:r>
              <w:rPr>
                <w:rFonts w:eastAsia="Times New Roman" w:cs="Arial"/>
                <w:color w:val="000000"/>
              </w:rPr>
              <w:t>TOTAL</w:t>
            </w:r>
          </w:p>
        </w:tc>
        <w:tc>
          <w:tcPr>
            <w:tcW w:w="1355" w:type="dxa"/>
            <w:tcBorders>
              <w:top w:val="single" w:sz="4" w:space="0" w:color="auto"/>
            </w:tcBorders>
            <w:noWrap/>
            <w:hideMark/>
          </w:tcPr>
          <w:p w14:paraId="49F2AD28" w14:textId="4C4717B8" w:rsidR="00A4410B" w:rsidRPr="00F75B90" w:rsidRDefault="00A4410B" w:rsidP="0000643B">
            <w:pPr>
              <w:spacing w:after="0"/>
              <w:jc w:val="right"/>
              <w:rPr>
                <w:rFonts w:eastAsia="Times New Roman" w:cs="Arial"/>
                <w:color w:val="000000"/>
              </w:rPr>
            </w:pPr>
            <w:r w:rsidRPr="00F75B90">
              <w:rPr>
                <w:rFonts w:eastAsia="Times New Roman" w:cs="Arial"/>
                <w:color w:val="000000"/>
              </w:rPr>
              <w:t>24124</w:t>
            </w:r>
          </w:p>
        </w:tc>
        <w:tc>
          <w:tcPr>
            <w:tcW w:w="1559" w:type="dxa"/>
            <w:tcBorders>
              <w:top w:val="single" w:sz="4" w:space="0" w:color="auto"/>
            </w:tcBorders>
            <w:noWrap/>
            <w:hideMark/>
          </w:tcPr>
          <w:p w14:paraId="7DE9BCE8" w14:textId="77777777" w:rsidR="00A4410B" w:rsidRPr="00F75B90" w:rsidRDefault="00A4410B" w:rsidP="0000643B">
            <w:pPr>
              <w:spacing w:after="0"/>
              <w:jc w:val="right"/>
              <w:rPr>
                <w:rFonts w:eastAsia="Times New Roman" w:cs="Arial"/>
                <w:color w:val="000000"/>
              </w:rPr>
            </w:pPr>
            <w:r w:rsidRPr="00F75B90">
              <w:rPr>
                <w:rFonts w:eastAsia="Times New Roman" w:cs="Arial"/>
                <w:color w:val="000000"/>
              </w:rPr>
              <w:t>9222</w:t>
            </w:r>
          </w:p>
        </w:tc>
        <w:tc>
          <w:tcPr>
            <w:tcW w:w="284" w:type="dxa"/>
            <w:tcBorders>
              <w:top w:val="single" w:sz="4" w:space="0" w:color="auto"/>
            </w:tcBorders>
          </w:tcPr>
          <w:p w14:paraId="202B09F5" w14:textId="77777777" w:rsidR="00A4410B" w:rsidRPr="00F75B90" w:rsidRDefault="00A4410B" w:rsidP="0000643B">
            <w:pPr>
              <w:spacing w:after="0"/>
              <w:jc w:val="right"/>
              <w:rPr>
                <w:rFonts w:eastAsia="Times New Roman" w:cs="Arial"/>
                <w:color w:val="000000"/>
              </w:rPr>
            </w:pPr>
          </w:p>
        </w:tc>
        <w:tc>
          <w:tcPr>
            <w:tcW w:w="1727" w:type="dxa"/>
            <w:tcBorders>
              <w:top w:val="single" w:sz="4" w:space="0" w:color="auto"/>
            </w:tcBorders>
            <w:noWrap/>
            <w:hideMark/>
          </w:tcPr>
          <w:p w14:paraId="0B010745" w14:textId="7D0E143B" w:rsidR="00A4410B" w:rsidRPr="00F75B90" w:rsidRDefault="00A4410B" w:rsidP="00975EFB">
            <w:pPr>
              <w:spacing w:after="0"/>
              <w:jc w:val="center"/>
              <w:rPr>
                <w:rFonts w:eastAsia="Times New Roman" w:cs="Arial"/>
                <w:color w:val="000000"/>
              </w:rPr>
            </w:pPr>
            <w:r w:rsidRPr="00F75B90">
              <w:rPr>
                <w:rFonts w:eastAsia="Times New Roman" w:cs="Arial"/>
                <w:color w:val="000000"/>
              </w:rPr>
              <w:t>38%</w:t>
            </w:r>
          </w:p>
        </w:tc>
      </w:tr>
    </w:tbl>
    <w:p w14:paraId="5356DC81" w14:textId="77777777" w:rsidR="00F75B90" w:rsidRDefault="00F75B90" w:rsidP="00D800BC">
      <w:pPr>
        <w:rPr>
          <w:lang w:eastAsia="ja-JP"/>
        </w:rPr>
      </w:pPr>
    </w:p>
    <w:p w14:paraId="07FB1D2B" w14:textId="2ADA7324" w:rsidR="0058603E" w:rsidRDefault="00922410" w:rsidP="00DF51A0">
      <w:pPr>
        <w:rPr>
          <w:lang w:eastAsia="ja-JP"/>
        </w:rPr>
      </w:pPr>
      <w:r>
        <w:rPr>
          <w:lang w:eastAsia="ja-JP"/>
        </w:rPr>
        <w:t xml:space="preserve">The impact of potentially false </w:t>
      </w:r>
      <w:r w:rsidR="00F374D4">
        <w:rPr>
          <w:lang w:eastAsia="ja-JP"/>
        </w:rPr>
        <w:t xml:space="preserve">zero-dollar trades on price data quality and reliability is hard to quantify. </w:t>
      </w:r>
      <w:r w:rsidR="0058603E">
        <w:rPr>
          <w:lang w:eastAsia="ja-JP"/>
        </w:rPr>
        <w:t>Generally</w:t>
      </w:r>
      <w:r w:rsidR="00F374D4">
        <w:rPr>
          <w:lang w:eastAsia="ja-JP"/>
        </w:rPr>
        <w:t xml:space="preserve">, </w:t>
      </w:r>
      <w:r w:rsidR="008D61EE">
        <w:rPr>
          <w:lang w:eastAsia="ja-JP"/>
        </w:rPr>
        <w:t>l</w:t>
      </w:r>
      <w:r w:rsidR="00E334CB">
        <w:rPr>
          <w:lang w:eastAsia="ja-JP"/>
        </w:rPr>
        <w:t>arger, connected markets with many brokers and online exchanges tend to have more reliable pricing data.</w:t>
      </w:r>
      <w:r w:rsidR="008F56F3">
        <w:rPr>
          <w:lang w:eastAsia="ja-JP"/>
        </w:rPr>
        <w:t xml:space="preserve"> </w:t>
      </w:r>
      <w:r w:rsidR="0058603E">
        <w:rPr>
          <w:lang w:eastAsia="ja-JP"/>
        </w:rPr>
        <w:t>However, s</w:t>
      </w:r>
      <w:r w:rsidR="008F56F3">
        <w:rPr>
          <w:lang w:eastAsia="ja-JP"/>
        </w:rPr>
        <w:t xml:space="preserve">maller, disconnected trading zones, like the NSW Macquarie </w:t>
      </w:r>
      <w:r w:rsidR="00A51368">
        <w:rPr>
          <w:lang w:eastAsia="ja-JP"/>
        </w:rPr>
        <w:t>region, have fewer data points</w:t>
      </w:r>
      <w:r w:rsidR="00351EEC">
        <w:rPr>
          <w:lang w:eastAsia="ja-JP"/>
        </w:rPr>
        <w:t xml:space="preserve"> and water market participants</w:t>
      </w:r>
      <w:r w:rsidR="00A51368">
        <w:rPr>
          <w:lang w:eastAsia="ja-JP"/>
        </w:rPr>
        <w:t xml:space="preserve">, making </w:t>
      </w:r>
      <w:r w:rsidR="00114076">
        <w:rPr>
          <w:lang w:eastAsia="ja-JP"/>
        </w:rPr>
        <w:t>the price data</w:t>
      </w:r>
      <w:r w:rsidR="00A51368">
        <w:rPr>
          <w:lang w:eastAsia="ja-JP"/>
        </w:rPr>
        <w:t xml:space="preserve"> more vulnerable</w:t>
      </w:r>
      <w:r w:rsidR="00AE4726">
        <w:rPr>
          <w:lang w:eastAsia="ja-JP"/>
        </w:rPr>
        <w:t xml:space="preserve"> </w:t>
      </w:r>
      <w:r w:rsidR="00755BC1">
        <w:rPr>
          <w:lang w:eastAsia="ja-JP"/>
        </w:rPr>
        <w:t>to the impacts of</w:t>
      </w:r>
      <w:r w:rsidR="00F32365">
        <w:rPr>
          <w:lang w:eastAsia="ja-JP"/>
        </w:rPr>
        <w:t xml:space="preserve"> false </w:t>
      </w:r>
      <w:r w:rsidR="000A6EE0">
        <w:rPr>
          <w:lang w:eastAsia="ja-JP"/>
        </w:rPr>
        <w:t>zero-dollar</w:t>
      </w:r>
      <w:r w:rsidR="00F32365">
        <w:rPr>
          <w:lang w:eastAsia="ja-JP"/>
        </w:rPr>
        <w:t xml:space="preserve"> trades.</w:t>
      </w:r>
      <w:r w:rsidR="0058603E">
        <w:rPr>
          <w:lang w:eastAsia="ja-JP"/>
        </w:rPr>
        <w:t xml:space="preserve"> </w:t>
      </w:r>
      <w:r w:rsidR="003E2EC1">
        <w:rPr>
          <w:lang w:eastAsia="ja-JP"/>
        </w:rPr>
        <w:t xml:space="preserve">Around 40% of water allocation trades in the NSW Macquarie region reported </w:t>
      </w:r>
      <w:r w:rsidR="000A6EE0">
        <w:rPr>
          <w:lang w:eastAsia="ja-JP"/>
        </w:rPr>
        <w:t>zero-dollar</w:t>
      </w:r>
      <w:r w:rsidR="00416F5A">
        <w:rPr>
          <w:rStyle w:val="FootnoteReference"/>
          <w:lang w:eastAsia="ja-JP"/>
        </w:rPr>
        <w:footnoteReference w:id="20"/>
      </w:r>
      <w:r w:rsidR="000A6EE0">
        <w:rPr>
          <w:lang w:eastAsia="ja-JP"/>
        </w:rPr>
        <w:t>.</w:t>
      </w:r>
      <w:r w:rsidR="008D61EE">
        <w:rPr>
          <w:lang w:eastAsia="ja-JP"/>
        </w:rPr>
        <w:t xml:space="preserve"> </w:t>
      </w:r>
    </w:p>
    <w:p w14:paraId="6B850A28" w14:textId="2545F600" w:rsidR="006831CD" w:rsidRDefault="008D61EE" w:rsidP="00DF51A0">
      <w:pPr>
        <w:rPr>
          <w:lang w:eastAsia="ja-JP"/>
        </w:rPr>
      </w:pPr>
      <w:r>
        <w:rPr>
          <w:lang w:eastAsia="ja-JP"/>
        </w:rPr>
        <w:t>Due to these factors, the NSW Macquarie trading zone</w:t>
      </w:r>
      <w:r w:rsidR="006831CD">
        <w:rPr>
          <w:lang w:eastAsia="ja-JP"/>
        </w:rPr>
        <w:t xml:space="preserve"> was chosen for investigation.</w:t>
      </w:r>
    </w:p>
    <w:p w14:paraId="3AA3BC85" w14:textId="7BF852E6" w:rsidR="003E0CBC" w:rsidRDefault="003E0CBC" w:rsidP="00B42680">
      <w:pPr>
        <w:pStyle w:val="Heading3"/>
        <w:rPr>
          <w:lang w:eastAsia="ja-JP"/>
        </w:rPr>
      </w:pPr>
      <w:bookmarkStart w:id="51" w:name="_Toc148421507"/>
      <w:r>
        <w:rPr>
          <w:lang w:eastAsia="ja-JP"/>
        </w:rPr>
        <w:t>Investigatory purpose</w:t>
      </w:r>
      <w:bookmarkEnd w:id="51"/>
    </w:p>
    <w:p w14:paraId="1387B146" w14:textId="05FC5B02" w:rsidR="00583A03" w:rsidRDefault="00BD733A" w:rsidP="00BD733A">
      <w:pPr>
        <w:rPr>
          <w:lang w:eastAsia="ja-JP"/>
        </w:rPr>
      </w:pPr>
      <w:r>
        <w:rPr>
          <w:lang w:eastAsia="ja-JP"/>
        </w:rPr>
        <w:t xml:space="preserve">The </w:t>
      </w:r>
      <w:r w:rsidR="000D4E2B">
        <w:rPr>
          <w:lang w:eastAsia="ja-JP"/>
        </w:rPr>
        <w:t xml:space="preserve">purpose of the investigation was to check if people </w:t>
      </w:r>
      <w:r w:rsidR="00DD3E91">
        <w:rPr>
          <w:lang w:eastAsia="ja-JP"/>
        </w:rPr>
        <w:t xml:space="preserve">disposing of a </w:t>
      </w:r>
      <w:r w:rsidR="000D4E2B">
        <w:rPr>
          <w:lang w:eastAsia="ja-JP"/>
        </w:rPr>
        <w:t xml:space="preserve">water </w:t>
      </w:r>
      <w:r w:rsidR="00DD3E91">
        <w:rPr>
          <w:lang w:eastAsia="ja-JP"/>
        </w:rPr>
        <w:t xml:space="preserve">access right (i.e., water </w:t>
      </w:r>
      <w:r w:rsidR="000D4E2B">
        <w:rPr>
          <w:lang w:eastAsia="ja-JP"/>
        </w:rPr>
        <w:t>allocations</w:t>
      </w:r>
      <w:r w:rsidR="00DD3E91">
        <w:rPr>
          <w:lang w:eastAsia="ja-JP"/>
        </w:rPr>
        <w:t>)</w:t>
      </w:r>
      <w:r w:rsidR="000D4E2B">
        <w:rPr>
          <w:lang w:eastAsia="ja-JP"/>
        </w:rPr>
        <w:t xml:space="preserve"> in the NSW Macquarie for the 2021/22 water year followed reporting requirements as per </w:t>
      </w:r>
      <w:r w:rsidR="000D4E2B" w:rsidRPr="00463BBB">
        <w:rPr>
          <w:lang w:eastAsia="ja-JP"/>
        </w:rPr>
        <w:t>section 12.48</w:t>
      </w:r>
      <w:r w:rsidR="000D4E2B">
        <w:rPr>
          <w:lang w:eastAsia="ja-JP"/>
        </w:rPr>
        <w:t xml:space="preserve"> of the Basin Plan.</w:t>
      </w:r>
    </w:p>
    <w:p w14:paraId="3AF493C5" w14:textId="77777777" w:rsidR="00B13E91" w:rsidRPr="009E264D" w:rsidRDefault="00B13E91" w:rsidP="00B13E91"/>
    <w:p w14:paraId="125C2F2B" w14:textId="539CA911" w:rsidR="00D800BC" w:rsidRDefault="009865C2" w:rsidP="004F397B">
      <w:pPr>
        <w:pStyle w:val="Heading2"/>
        <w:keepNext/>
        <w:pageBreakBefore w:val="0"/>
      </w:pPr>
      <w:bookmarkStart w:id="52" w:name="_Toc107499524"/>
      <w:bookmarkStart w:id="53" w:name="_Toc148421508"/>
      <w:bookmarkEnd w:id="43"/>
      <w:bookmarkEnd w:id="44"/>
      <w:bookmarkEnd w:id="45"/>
      <w:bookmarkEnd w:id="46"/>
      <w:bookmarkEnd w:id="47"/>
      <w:bookmarkEnd w:id="48"/>
      <w:bookmarkEnd w:id="49"/>
      <w:r>
        <w:lastRenderedPageBreak/>
        <w:t>Compliance</w:t>
      </w:r>
      <w:r w:rsidR="00090101">
        <w:t xml:space="preserve"> results</w:t>
      </w:r>
      <w:bookmarkEnd w:id="52"/>
      <w:bookmarkEnd w:id="53"/>
    </w:p>
    <w:p w14:paraId="7430EB23" w14:textId="3EDD773E" w:rsidR="007E26E0" w:rsidRDefault="00E71B5F" w:rsidP="00FB16BF">
      <w:r>
        <w:t>A</w:t>
      </w:r>
      <w:r w:rsidR="00A457D2">
        <w:t xml:space="preserve">ll </w:t>
      </w:r>
      <w:r w:rsidR="00EB6BC5">
        <w:t>individuals</w:t>
      </w:r>
      <w:r w:rsidR="007E26E0">
        <w:t xml:space="preserve"> investigated were found to have met the current legal requirements for reporting water trades.</w:t>
      </w:r>
    </w:p>
    <w:p w14:paraId="618CE01C" w14:textId="4329CF5C" w:rsidR="00ED3482" w:rsidRDefault="007E26E0" w:rsidP="00ED3482">
      <w:r>
        <w:t xml:space="preserve">Regarding the sample of zero-dollar </w:t>
      </w:r>
      <w:r w:rsidR="00FA7AF8">
        <w:t>($0) trades that were investigated, the following observations were made:</w:t>
      </w:r>
    </w:p>
    <w:p w14:paraId="30112A8C" w14:textId="04BAE46F" w:rsidR="00AF0F52" w:rsidRPr="008234B5" w:rsidRDefault="00AF0F52" w:rsidP="008234B5">
      <w:pPr>
        <w:pStyle w:val="ListParagraph"/>
        <w:numPr>
          <w:ilvl w:val="0"/>
          <w:numId w:val="24"/>
        </w:numPr>
        <w:spacing w:before="60" w:after="60"/>
        <w:rPr>
          <w:rFonts w:ascii="Arial" w:hAnsi="Arial" w:cs="Arial"/>
          <w:sz w:val="20"/>
          <w:szCs w:val="20"/>
        </w:rPr>
      </w:pPr>
      <w:r w:rsidRPr="008234B5">
        <w:rPr>
          <w:rFonts w:ascii="Arial" w:hAnsi="Arial" w:cs="Arial"/>
          <w:sz w:val="20"/>
          <w:szCs w:val="20"/>
        </w:rPr>
        <w:t>38% of the trades involved water access licences (WAL) under common ownership</w:t>
      </w:r>
      <w:r w:rsidR="000162FB">
        <w:rPr>
          <w:rFonts w:ascii="Arial" w:hAnsi="Arial" w:cs="Arial"/>
          <w:sz w:val="20"/>
          <w:szCs w:val="20"/>
        </w:rPr>
        <w:t>.</w:t>
      </w:r>
      <w:r w:rsidR="00A5763E" w:rsidRPr="008234B5">
        <w:rPr>
          <w:rStyle w:val="FootnoteReference"/>
          <w:rFonts w:ascii="Arial" w:hAnsi="Arial" w:cs="Arial"/>
          <w:sz w:val="20"/>
          <w:szCs w:val="20"/>
        </w:rPr>
        <w:footnoteReference w:id="21"/>
      </w:r>
    </w:p>
    <w:p w14:paraId="1D9A047E" w14:textId="32AB18CE" w:rsidR="00AF0F52" w:rsidRPr="008234B5" w:rsidRDefault="006B0EA0" w:rsidP="008234B5">
      <w:pPr>
        <w:pStyle w:val="ListParagraph"/>
        <w:numPr>
          <w:ilvl w:val="0"/>
          <w:numId w:val="18"/>
        </w:numPr>
        <w:spacing w:before="60" w:after="60"/>
        <w:rPr>
          <w:rFonts w:ascii="Arial" w:hAnsi="Arial" w:cs="Arial"/>
          <w:sz w:val="20"/>
          <w:szCs w:val="20"/>
        </w:rPr>
      </w:pPr>
      <w:r w:rsidRPr="008234B5">
        <w:rPr>
          <w:rFonts w:ascii="Arial" w:hAnsi="Arial" w:cs="Arial"/>
          <w:sz w:val="20"/>
          <w:szCs w:val="20"/>
        </w:rPr>
        <w:t>58</w:t>
      </w:r>
      <w:r w:rsidR="00AF0F52" w:rsidRPr="008234B5">
        <w:rPr>
          <w:rFonts w:ascii="Arial" w:hAnsi="Arial" w:cs="Arial"/>
          <w:sz w:val="20"/>
          <w:szCs w:val="20"/>
        </w:rPr>
        <w:t xml:space="preserve">% of the trades </w:t>
      </w:r>
      <w:r w:rsidR="0081009A" w:rsidRPr="008234B5">
        <w:rPr>
          <w:rFonts w:ascii="Arial" w:hAnsi="Arial" w:cs="Arial"/>
          <w:sz w:val="20"/>
          <w:szCs w:val="20"/>
        </w:rPr>
        <w:t>were</w:t>
      </w:r>
      <w:r w:rsidR="00AF0F52" w:rsidRPr="008234B5">
        <w:rPr>
          <w:rFonts w:ascii="Arial" w:hAnsi="Arial" w:cs="Arial"/>
          <w:sz w:val="20"/>
          <w:szCs w:val="20"/>
        </w:rPr>
        <w:t xml:space="preserve"> </w:t>
      </w:r>
      <w:r w:rsidR="00E14961" w:rsidRPr="008234B5">
        <w:rPr>
          <w:rFonts w:ascii="Arial" w:hAnsi="Arial" w:cs="Arial"/>
          <w:sz w:val="20"/>
          <w:szCs w:val="20"/>
        </w:rPr>
        <w:t>non-commercial</w:t>
      </w:r>
      <w:r w:rsidR="0081009A" w:rsidRPr="008234B5">
        <w:rPr>
          <w:rFonts w:ascii="Arial" w:hAnsi="Arial" w:cs="Arial"/>
          <w:sz w:val="20"/>
          <w:szCs w:val="20"/>
        </w:rPr>
        <w:t xml:space="preserve">, between </w:t>
      </w:r>
      <w:r w:rsidR="00AF0F52" w:rsidRPr="008234B5">
        <w:rPr>
          <w:rFonts w:ascii="Arial" w:hAnsi="Arial" w:cs="Arial"/>
          <w:sz w:val="20"/>
          <w:szCs w:val="20"/>
        </w:rPr>
        <w:t>related parties</w:t>
      </w:r>
      <w:r w:rsidR="0081009A" w:rsidRPr="008234B5">
        <w:rPr>
          <w:rFonts w:ascii="Arial" w:hAnsi="Arial" w:cs="Arial"/>
          <w:sz w:val="20"/>
          <w:szCs w:val="20"/>
        </w:rPr>
        <w:t xml:space="preserve">, or </w:t>
      </w:r>
      <w:r w:rsidR="009B2152" w:rsidRPr="008234B5">
        <w:rPr>
          <w:rFonts w:ascii="Arial" w:hAnsi="Arial" w:cs="Arial"/>
          <w:sz w:val="20"/>
          <w:szCs w:val="20"/>
        </w:rPr>
        <w:t>within irrigation schemes.</w:t>
      </w:r>
    </w:p>
    <w:p w14:paraId="38AB2220" w14:textId="381E0627" w:rsidR="00AF0F52" w:rsidRPr="008234B5" w:rsidRDefault="00297DCD" w:rsidP="008234B5">
      <w:pPr>
        <w:pStyle w:val="ListParagraph"/>
        <w:numPr>
          <w:ilvl w:val="0"/>
          <w:numId w:val="18"/>
        </w:numPr>
        <w:spacing w:before="60" w:after="60"/>
        <w:rPr>
          <w:rFonts w:ascii="Arial" w:hAnsi="Arial" w:cs="Arial"/>
          <w:sz w:val="20"/>
          <w:szCs w:val="20"/>
        </w:rPr>
      </w:pPr>
      <w:r w:rsidRPr="008234B5">
        <w:rPr>
          <w:rFonts w:ascii="Arial" w:hAnsi="Arial" w:cs="Arial"/>
          <w:sz w:val="20"/>
          <w:szCs w:val="20"/>
        </w:rPr>
        <w:t>4</w:t>
      </w:r>
      <w:r w:rsidR="00AF0F52" w:rsidRPr="008234B5">
        <w:rPr>
          <w:rFonts w:ascii="Arial" w:hAnsi="Arial" w:cs="Arial"/>
          <w:sz w:val="20"/>
          <w:szCs w:val="20"/>
        </w:rPr>
        <w:t>% of the trades involved environmental water use</w:t>
      </w:r>
      <w:r w:rsidR="00545EAB" w:rsidRPr="008234B5">
        <w:rPr>
          <w:rFonts w:ascii="Arial" w:hAnsi="Arial" w:cs="Arial"/>
          <w:sz w:val="20"/>
          <w:szCs w:val="20"/>
        </w:rPr>
        <w:t>.</w:t>
      </w:r>
    </w:p>
    <w:p w14:paraId="50651A5D" w14:textId="77777777" w:rsidR="00107218" w:rsidRDefault="00107218" w:rsidP="00AF0F52"/>
    <w:p w14:paraId="0C3BC19B" w14:textId="440463D3" w:rsidR="00D15DA7" w:rsidRDefault="00D15DA7" w:rsidP="00FB16BF"/>
    <w:p w14:paraId="1474170F" w14:textId="5C6AB302" w:rsidR="006A334E" w:rsidRPr="005D135D" w:rsidRDefault="00C43626" w:rsidP="005D135D">
      <w:pPr>
        <w:pStyle w:val="Heading2"/>
      </w:pPr>
      <w:bookmarkStart w:id="54" w:name="_Toc148421509"/>
      <w:r>
        <w:lastRenderedPageBreak/>
        <w:t>Observation</w:t>
      </w:r>
      <w:r w:rsidR="00632DCE" w:rsidRPr="00E731D0">
        <w:t>s</w:t>
      </w:r>
      <w:bookmarkEnd w:id="54"/>
    </w:p>
    <w:p w14:paraId="0641A779" w14:textId="13B693F3" w:rsidR="001F0322" w:rsidRDefault="001F0322" w:rsidP="00712DC5">
      <w:pPr>
        <w:pStyle w:val="Heading3"/>
      </w:pPr>
      <w:bookmarkStart w:id="55" w:name="_Toc148421510"/>
      <w:r>
        <w:t>Defi</w:t>
      </w:r>
      <w:r w:rsidR="00DC4D32">
        <w:t>ciencies in the breadth of offences</w:t>
      </w:r>
      <w:bookmarkEnd w:id="55"/>
    </w:p>
    <w:p w14:paraId="7DB8239C" w14:textId="77777777" w:rsidR="004E6137" w:rsidRDefault="004E6137" w:rsidP="004E6137">
      <w:r>
        <w:t xml:space="preserve">Currently, under </w:t>
      </w:r>
      <w:r w:rsidRPr="00DD3939">
        <w:t>section 12.48</w:t>
      </w:r>
      <w:r>
        <w:t xml:space="preserve"> of the Basin Plan a person disposing of a water access right</w:t>
      </w:r>
      <w:r>
        <w:rPr>
          <w:rStyle w:val="FootnoteReference"/>
        </w:rPr>
        <w:footnoteReference w:id="22"/>
      </w:r>
      <w:r>
        <w:t xml:space="preserve"> needs to report the agreed trade price (at or before approval or registration of the trade). For zero-dollar water allocation trades in NSW, </w:t>
      </w:r>
      <w:r w:rsidRPr="00905107">
        <w:t xml:space="preserve">the person disposing the water allocation </w:t>
      </w:r>
      <w:proofErr w:type="gramStart"/>
      <w:r>
        <w:t>has to</w:t>
      </w:r>
      <w:proofErr w:type="gramEnd"/>
      <w:r>
        <w:t xml:space="preserve"> choose a trade purpose classification from a list provided on the trade form only.</w:t>
      </w:r>
      <w:r>
        <w:rPr>
          <w:rStyle w:val="FootnoteReference"/>
        </w:rPr>
        <w:footnoteReference w:id="23"/>
      </w:r>
      <w:r>
        <w:t xml:space="preserve"> However, the existing legislation is limited in scope for both investigation and enforcement.</w:t>
      </w:r>
    </w:p>
    <w:p w14:paraId="369D43E4" w14:textId="46D2EFB1" w:rsidR="00DC4D32" w:rsidRDefault="00DC4D32" w:rsidP="00DC4D32">
      <w:pPr>
        <w:rPr>
          <w:lang w:val="en-US"/>
        </w:rPr>
      </w:pPr>
      <w:r>
        <w:rPr>
          <w:lang w:val="en-US"/>
        </w:rPr>
        <w:t>As the legislation stands</w:t>
      </w:r>
      <w:r w:rsidR="00A7155D">
        <w:rPr>
          <w:lang w:val="en-US"/>
        </w:rPr>
        <w:t xml:space="preserve">, certain types of </w:t>
      </w:r>
      <w:r w:rsidR="00F836D8">
        <w:rPr>
          <w:lang w:val="en-US"/>
        </w:rPr>
        <w:t>undesirable</w:t>
      </w:r>
      <w:r w:rsidR="00A7155D">
        <w:rPr>
          <w:lang w:val="en-US"/>
        </w:rPr>
        <w:t xml:space="preserve"> </w:t>
      </w:r>
      <w:proofErr w:type="spellStart"/>
      <w:r w:rsidR="00A7155D">
        <w:rPr>
          <w:lang w:val="en-US"/>
        </w:rPr>
        <w:t>behaviour</w:t>
      </w:r>
      <w:proofErr w:type="spellEnd"/>
      <w:r w:rsidR="00A7155D">
        <w:rPr>
          <w:lang w:val="en-US"/>
        </w:rPr>
        <w:t xml:space="preserve"> do not constitute an offence</w:t>
      </w:r>
      <w:r w:rsidR="00D70B8E">
        <w:rPr>
          <w:lang w:val="en-US"/>
        </w:rPr>
        <w:t>.</w:t>
      </w:r>
      <w:r w:rsidR="001B1550">
        <w:rPr>
          <w:lang w:val="en-US"/>
        </w:rPr>
        <w:t xml:space="preserve"> </w:t>
      </w:r>
      <w:r w:rsidR="00D70B8E">
        <w:rPr>
          <w:lang w:val="en-US"/>
        </w:rPr>
        <w:t>T</w:t>
      </w:r>
      <w:r w:rsidR="001B1550">
        <w:rPr>
          <w:lang w:val="en-US"/>
        </w:rPr>
        <w:t>his issue arises due to the narrow scope of section 12.48 of the Basin Plan</w:t>
      </w:r>
      <w:r w:rsidR="00E04D8F">
        <w:rPr>
          <w:lang w:val="en-US"/>
        </w:rPr>
        <w:t xml:space="preserve">. </w:t>
      </w:r>
      <w:r w:rsidR="009E2D15">
        <w:rPr>
          <w:lang w:val="en-US"/>
        </w:rPr>
        <w:t xml:space="preserve">The only data captured by this legislative provision is the ‘agreed price’ of a trade, leaving </w:t>
      </w:r>
      <w:r w:rsidR="00047244">
        <w:rPr>
          <w:lang w:val="en-US"/>
        </w:rPr>
        <w:t xml:space="preserve">the remaining data submitted during the trade </w:t>
      </w:r>
      <w:r w:rsidR="002157EB">
        <w:rPr>
          <w:lang w:val="en-US"/>
        </w:rPr>
        <w:t xml:space="preserve">process </w:t>
      </w:r>
      <w:r w:rsidR="00D50D96">
        <w:rPr>
          <w:lang w:val="en-US"/>
        </w:rPr>
        <w:t>vulnerable</w:t>
      </w:r>
      <w:r w:rsidR="002157EB">
        <w:rPr>
          <w:lang w:val="en-US"/>
        </w:rPr>
        <w:t xml:space="preserve"> to inaccurate reporting</w:t>
      </w:r>
      <w:r w:rsidR="00D50D96">
        <w:rPr>
          <w:lang w:val="en-US"/>
        </w:rPr>
        <w:t xml:space="preserve"> and maintenance</w:t>
      </w:r>
      <w:r w:rsidR="002157EB">
        <w:rPr>
          <w:lang w:val="en-US"/>
        </w:rPr>
        <w:t>.</w:t>
      </w:r>
    </w:p>
    <w:p w14:paraId="513B50A9" w14:textId="07E5A27B" w:rsidR="00A37B3F" w:rsidRPr="00DC4D32" w:rsidRDefault="00B669BE" w:rsidP="00DC4D32">
      <w:pPr>
        <w:rPr>
          <w:lang w:val="en-US"/>
        </w:rPr>
      </w:pPr>
      <w:r>
        <w:rPr>
          <w:lang w:val="en-US"/>
        </w:rPr>
        <w:t xml:space="preserve">The narrow scope of this offence also </w:t>
      </w:r>
      <w:r w:rsidR="0029757C">
        <w:rPr>
          <w:lang w:val="en-US"/>
        </w:rPr>
        <w:t xml:space="preserve">comes into play when we consider enforcement. </w:t>
      </w:r>
      <w:r w:rsidR="00A37B3F">
        <w:rPr>
          <w:lang w:val="en-US"/>
        </w:rPr>
        <w:t>The term ‘agreed price</w:t>
      </w:r>
      <w:r w:rsidR="00770763">
        <w:rPr>
          <w:lang w:val="en-US"/>
        </w:rPr>
        <w:t xml:space="preserve">’ </w:t>
      </w:r>
      <w:r w:rsidR="00211447">
        <w:rPr>
          <w:lang w:val="en-US"/>
        </w:rPr>
        <w:t>creates</w:t>
      </w:r>
      <w:r w:rsidR="00770763">
        <w:rPr>
          <w:lang w:val="en-US"/>
        </w:rPr>
        <w:t xml:space="preserve"> room for interpretatio</w:t>
      </w:r>
      <w:r w:rsidR="00211447">
        <w:rPr>
          <w:lang w:val="en-US"/>
        </w:rPr>
        <w:t>n</w:t>
      </w:r>
      <w:r w:rsidR="00E736F6">
        <w:rPr>
          <w:lang w:val="en-US"/>
        </w:rPr>
        <w:t>.</w:t>
      </w:r>
    </w:p>
    <w:p w14:paraId="44A554AB" w14:textId="604305C8" w:rsidR="006A334E" w:rsidRPr="00C84C48" w:rsidRDefault="00DD18E8" w:rsidP="00712DC5">
      <w:pPr>
        <w:pStyle w:val="Heading3"/>
      </w:pPr>
      <w:bookmarkStart w:id="56" w:name="_Toc148421511"/>
      <w:r w:rsidRPr="00DD18E8">
        <w:t>Data transparency and integrity</w:t>
      </w:r>
      <w:bookmarkEnd w:id="56"/>
    </w:p>
    <w:p w14:paraId="711D3002" w14:textId="22B46303" w:rsidR="00857C29" w:rsidRDefault="00976F0E" w:rsidP="002C2236">
      <w:r>
        <w:t xml:space="preserve">While there are legitimate reasons for </w:t>
      </w:r>
      <w:r w:rsidR="00B13B7B">
        <w:t>zero-dollar</w:t>
      </w:r>
      <w:r>
        <w:t xml:space="preserve"> trades,</w:t>
      </w:r>
      <w:r w:rsidR="005E3D02">
        <w:t xml:space="preserve"> it’s essential for water markets to have transparency and public access to reliable price data.</w:t>
      </w:r>
      <w:r w:rsidR="00454814">
        <w:t xml:space="preserve"> </w:t>
      </w:r>
      <w:r w:rsidR="00F870FA">
        <w:t>T</w:t>
      </w:r>
      <w:r w:rsidR="00454814">
        <w:t>he current statutory requirements f</w:t>
      </w:r>
      <w:r w:rsidR="001361EA">
        <w:t>all</w:t>
      </w:r>
      <w:r w:rsidR="00454814">
        <w:t xml:space="preserve"> short of ensuring data integrity and transparency</w:t>
      </w:r>
      <w:r w:rsidR="00F870FA">
        <w:t xml:space="preserve">. </w:t>
      </w:r>
    </w:p>
    <w:p w14:paraId="19EEC81C" w14:textId="6AAE5B6F" w:rsidR="00DB4F43" w:rsidRDefault="00DB4F43" w:rsidP="002C2236">
      <w:r>
        <w:t xml:space="preserve">Trade data is held and maintained by numerous </w:t>
      </w:r>
      <w:r w:rsidR="00C4706A">
        <w:t>different agencies throughout the Basin. The IGWC as regulator does not have ready access to the data</w:t>
      </w:r>
      <w:r w:rsidR="008F1A3B">
        <w:t xml:space="preserve">. Further to this, due to the lack of </w:t>
      </w:r>
      <w:r w:rsidR="00FA12EB">
        <w:t>legislative breadth outlined above, the integrity of the data is difficult to verify</w:t>
      </w:r>
      <w:r w:rsidR="00AC5A70">
        <w:t xml:space="preserve"> as there is no requirement in the legislation to </w:t>
      </w:r>
      <w:r w:rsidR="001E19FA">
        <w:t xml:space="preserve">provide a chain of custody or </w:t>
      </w:r>
      <w:r w:rsidR="00AC5A70">
        <w:t>maintain the data to a certain standard.</w:t>
      </w:r>
      <w:r w:rsidR="00607706">
        <w:t xml:space="preserve"> </w:t>
      </w:r>
    </w:p>
    <w:p w14:paraId="6ECE8847" w14:textId="71C64738" w:rsidR="006A334E" w:rsidRPr="00C84C48" w:rsidRDefault="00712DC5" w:rsidP="00712DC5">
      <w:pPr>
        <w:pStyle w:val="Heading3"/>
      </w:pPr>
      <w:bookmarkStart w:id="57" w:name="_Toc148421512"/>
      <w:r>
        <w:t>Low regulatory bar</w:t>
      </w:r>
      <w:bookmarkEnd w:id="57"/>
    </w:p>
    <w:p w14:paraId="06D69334" w14:textId="2B7E0471" w:rsidR="00FB6DE1" w:rsidRDefault="00EF789B" w:rsidP="006A334E">
      <w:r>
        <w:t>The current Water Act allows for reasonable excuses for not reporting trade data accurately under subsection 73</w:t>
      </w:r>
      <w:proofErr w:type="gramStart"/>
      <w:r>
        <w:t>G(</w:t>
      </w:r>
      <w:proofErr w:type="gramEnd"/>
      <w:r>
        <w:t>2).</w:t>
      </w:r>
      <w:r w:rsidR="00AE36A9">
        <w:t xml:space="preserve"> </w:t>
      </w:r>
      <w:r w:rsidR="00C6197D" w:rsidRPr="00C6197D">
        <w:t xml:space="preserve">This sets a low bar for compliance with </w:t>
      </w:r>
      <w:r w:rsidR="00C6197D" w:rsidRPr="004D0FDF">
        <w:t>section 12.48</w:t>
      </w:r>
      <w:r w:rsidR="00C6197D" w:rsidRPr="00C6197D">
        <w:t xml:space="preserve"> of the Basin Plan.</w:t>
      </w:r>
      <w:r w:rsidR="007E0A74">
        <w:t xml:space="preserve"> </w:t>
      </w:r>
      <w:r w:rsidR="00043836">
        <w:t>However,</w:t>
      </w:r>
      <w:r w:rsidR="0070616C">
        <w:t xml:space="preserve"> ensuring data integrity and market transparency is crucial for a well-functioning water market.</w:t>
      </w:r>
      <w:r w:rsidR="00232475">
        <w:t xml:space="preserve"> </w:t>
      </w:r>
    </w:p>
    <w:p w14:paraId="2BB43857" w14:textId="38B13B3D" w:rsidR="00AB61E4" w:rsidRDefault="00232475" w:rsidP="006A334E">
      <w:r>
        <w:t>A requirement for accurate trade price reporting is not overly burdensome.</w:t>
      </w:r>
      <w:r w:rsidR="00AB61E4">
        <w:t xml:space="preserve"> It merely expects honesty from the parties involved in a water tra</w:t>
      </w:r>
      <w:r w:rsidR="007E0A74">
        <w:t>de</w:t>
      </w:r>
      <w:r w:rsidR="00AB61E4">
        <w:t xml:space="preserve"> transaction.</w:t>
      </w:r>
      <w:r w:rsidR="00360497">
        <w:t xml:space="preserve"> Similar regulations exist in other markets, for example, </w:t>
      </w:r>
      <w:r w:rsidR="00D34167">
        <w:t xml:space="preserve">reporting a price when </w:t>
      </w:r>
      <w:r w:rsidR="00360497">
        <w:t>buying and selling a car.</w:t>
      </w:r>
    </w:p>
    <w:p w14:paraId="3B738BD0" w14:textId="77777777" w:rsidR="00687610" w:rsidRDefault="00687610" w:rsidP="00EB0C8C">
      <w:pPr>
        <w:suppressAutoHyphens w:val="0"/>
      </w:pPr>
      <w:r>
        <w:t>On balance, the reasonable excuse does not appear appropriate.</w:t>
      </w:r>
    </w:p>
    <w:p w14:paraId="5400519D" w14:textId="77777777" w:rsidR="00713A85" w:rsidRDefault="008149DF" w:rsidP="00EB0C8C">
      <w:pPr>
        <w:suppressAutoHyphens w:val="0"/>
        <w:rPr>
          <w:lang w:eastAsia="ja-JP"/>
        </w:rPr>
      </w:pPr>
      <w:r>
        <w:rPr>
          <w:lang w:eastAsia="ja-JP"/>
        </w:rPr>
        <w:t xml:space="preserve">To strengthen compliance, </w:t>
      </w:r>
      <w:r w:rsidR="002A0066">
        <w:rPr>
          <w:lang w:eastAsia="ja-JP"/>
        </w:rPr>
        <w:t>policy agencies and legislators should</w:t>
      </w:r>
      <w:r w:rsidR="00FF7AF3">
        <w:rPr>
          <w:lang w:eastAsia="ja-JP"/>
        </w:rPr>
        <w:t xml:space="preserve"> </w:t>
      </w:r>
      <w:r>
        <w:rPr>
          <w:lang w:eastAsia="ja-JP"/>
        </w:rPr>
        <w:t>c</w:t>
      </w:r>
      <w:r w:rsidRPr="008149DF">
        <w:rPr>
          <w:lang w:eastAsia="ja-JP"/>
        </w:rPr>
        <w:t xml:space="preserve">onsider placing a legislative requirement that makes both the buyer and seller responsible for </w:t>
      </w:r>
      <w:r w:rsidR="00BE55C8">
        <w:rPr>
          <w:lang w:eastAsia="ja-JP"/>
        </w:rPr>
        <w:t xml:space="preserve">providing accurate information on the trade form to the </w:t>
      </w:r>
      <w:r w:rsidRPr="008149DF">
        <w:rPr>
          <w:lang w:eastAsia="ja-JP"/>
        </w:rPr>
        <w:t xml:space="preserve">approval authority when </w:t>
      </w:r>
      <w:r w:rsidR="00BE55C8">
        <w:rPr>
          <w:lang w:eastAsia="ja-JP"/>
        </w:rPr>
        <w:t>lodging</w:t>
      </w:r>
      <w:r w:rsidRPr="008149DF">
        <w:rPr>
          <w:lang w:eastAsia="ja-JP"/>
        </w:rPr>
        <w:t xml:space="preserve"> a trade. </w:t>
      </w:r>
    </w:p>
    <w:p w14:paraId="1744D5F7" w14:textId="03B8CB85" w:rsidR="008E39C1" w:rsidRDefault="00E67FCF" w:rsidP="00EB0C8C">
      <w:pPr>
        <w:suppressAutoHyphens w:val="0"/>
        <w:rPr>
          <w:lang w:eastAsia="ja-JP"/>
        </w:rPr>
      </w:pPr>
      <w:r>
        <w:rPr>
          <w:lang w:eastAsia="ja-JP"/>
        </w:rPr>
        <w:lastRenderedPageBreak/>
        <w:t>Currently, there is no requirement to verify claims</w:t>
      </w:r>
      <w:r w:rsidR="007F5D35">
        <w:rPr>
          <w:lang w:eastAsia="ja-JP"/>
        </w:rPr>
        <w:t xml:space="preserve"> made when conducting a </w:t>
      </w:r>
      <w:r w:rsidR="00E41246">
        <w:rPr>
          <w:lang w:eastAsia="ja-JP"/>
        </w:rPr>
        <w:t>zero-dollar</w:t>
      </w:r>
      <w:r w:rsidR="007F5D35">
        <w:rPr>
          <w:lang w:eastAsia="ja-JP"/>
        </w:rPr>
        <w:t xml:space="preserve"> trade. </w:t>
      </w:r>
      <w:r w:rsidR="00675BB5">
        <w:rPr>
          <w:lang w:eastAsia="ja-JP"/>
        </w:rPr>
        <w:t>Relationships should be verified w</w:t>
      </w:r>
      <w:r w:rsidR="008C16CB">
        <w:rPr>
          <w:lang w:eastAsia="ja-JP"/>
        </w:rPr>
        <w:t>hen t</w:t>
      </w:r>
      <w:r w:rsidR="00E41246">
        <w:rPr>
          <w:lang w:eastAsia="ja-JP"/>
        </w:rPr>
        <w:t>rading</w:t>
      </w:r>
      <w:r w:rsidR="001C4D04">
        <w:rPr>
          <w:lang w:eastAsia="ja-JP"/>
        </w:rPr>
        <w:t xml:space="preserve"> a water allocation</w:t>
      </w:r>
      <w:r w:rsidR="008E761C">
        <w:rPr>
          <w:lang w:eastAsia="ja-JP"/>
        </w:rPr>
        <w:t xml:space="preserve"> for these reasons. For </w:t>
      </w:r>
      <w:r w:rsidR="00FC5B5F">
        <w:rPr>
          <w:lang w:eastAsia="ja-JP"/>
        </w:rPr>
        <w:t>example,</w:t>
      </w:r>
      <w:r w:rsidR="008E761C">
        <w:rPr>
          <w:lang w:eastAsia="ja-JP"/>
        </w:rPr>
        <w:t xml:space="preserve"> when trading</w:t>
      </w:r>
      <w:r w:rsidR="001C4D04">
        <w:rPr>
          <w:lang w:eastAsia="ja-JP"/>
        </w:rPr>
        <w:t xml:space="preserve"> to a </w:t>
      </w:r>
      <w:r w:rsidR="007F6F4A">
        <w:rPr>
          <w:lang w:eastAsia="ja-JP"/>
        </w:rPr>
        <w:t xml:space="preserve">related party or </w:t>
      </w:r>
      <w:r w:rsidR="00045475">
        <w:rPr>
          <w:lang w:eastAsia="ja-JP"/>
        </w:rPr>
        <w:t>WAL under common ownership</w:t>
      </w:r>
      <w:r w:rsidR="008C16CB">
        <w:rPr>
          <w:lang w:eastAsia="ja-JP"/>
        </w:rPr>
        <w:t>,</w:t>
      </w:r>
      <w:r w:rsidR="00C27EB6">
        <w:rPr>
          <w:lang w:eastAsia="ja-JP"/>
        </w:rPr>
        <w:t xml:space="preserve"> attaching proof of </w:t>
      </w:r>
      <w:r w:rsidR="0039511D">
        <w:rPr>
          <w:lang w:eastAsia="ja-JP"/>
        </w:rPr>
        <w:t xml:space="preserve">these connections to the approval request </w:t>
      </w:r>
      <w:r w:rsidR="00423D95">
        <w:rPr>
          <w:lang w:eastAsia="ja-JP"/>
        </w:rPr>
        <w:t>c</w:t>
      </w:r>
      <w:r w:rsidR="0039511D">
        <w:rPr>
          <w:lang w:eastAsia="ja-JP"/>
        </w:rPr>
        <w:t xml:space="preserve">ould be </w:t>
      </w:r>
      <w:r w:rsidR="0070269F">
        <w:rPr>
          <w:lang w:eastAsia="ja-JP"/>
        </w:rPr>
        <w:t>requested or mandated</w:t>
      </w:r>
      <w:r w:rsidR="0039511D">
        <w:rPr>
          <w:lang w:eastAsia="ja-JP"/>
        </w:rPr>
        <w:t>.</w:t>
      </w:r>
    </w:p>
    <w:p w14:paraId="547C5046" w14:textId="5A48E7C4" w:rsidR="00110010" w:rsidRDefault="00110010" w:rsidP="00110010">
      <w:pPr>
        <w:pStyle w:val="Heading3"/>
      </w:pPr>
      <w:r>
        <w:t>Next steps</w:t>
      </w:r>
    </w:p>
    <w:p w14:paraId="55015C21" w14:textId="77777777" w:rsidR="00110010" w:rsidRDefault="00110010" w:rsidP="00110010">
      <w:r>
        <w:t>Due to these shortfalls, the IGWC welcomes the proposed water market reforms recently suggested (see extracts below).</w:t>
      </w:r>
      <w:r w:rsidDel="008F7F40">
        <w:rPr>
          <w:rStyle w:val="FootnoteReference"/>
        </w:rPr>
        <w:t xml:space="preserve"> </w:t>
      </w:r>
    </w:p>
    <w:p w14:paraId="303849BD" w14:textId="77777777" w:rsidR="00110010" w:rsidRDefault="00110010" w:rsidP="00110010"/>
    <w:tbl>
      <w:tblPr>
        <w:tblStyle w:val="TableGrid"/>
        <w:tblW w:w="0" w:type="auto"/>
        <w:tblLook w:val="04A0" w:firstRow="1" w:lastRow="0" w:firstColumn="1" w:lastColumn="0" w:noHBand="0" w:noVBand="1"/>
      </w:tblPr>
      <w:tblGrid>
        <w:gridCol w:w="9060"/>
      </w:tblGrid>
      <w:tr w:rsidR="00110010" w14:paraId="56768AC1" w14:textId="77777777" w:rsidTr="007129FD">
        <w:tc>
          <w:tcPr>
            <w:tcW w:w="9060" w:type="dxa"/>
            <w:shd w:val="clear" w:color="auto" w:fill="9CC2E5" w:themeFill="accent5" w:themeFillTint="99"/>
          </w:tcPr>
          <w:p w14:paraId="7A7192C6" w14:textId="77777777" w:rsidR="00110010" w:rsidRDefault="00110010" w:rsidP="007129FD">
            <w:r w:rsidRPr="00973AFF">
              <w:rPr>
                <w:sz w:val="28"/>
                <w:szCs w:val="28"/>
              </w:rPr>
              <w:t>Water market reform: final roadmap report</w:t>
            </w:r>
          </w:p>
          <w:p w14:paraId="7218C231" w14:textId="77777777" w:rsidR="00110010" w:rsidRDefault="00110010" w:rsidP="007129FD">
            <w:r>
              <w:t xml:space="preserve">Recommendation </w:t>
            </w:r>
            <w:r w:rsidRPr="005D43EE">
              <w:t>4</w:t>
            </w:r>
            <w:r>
              <w:t>:</w:t>
            </w:r>
            <w:r w:rsidRPr="005D43EE">
              <w:t xml:space="preserve"> </w:t>
            </w:r>
          </w:p>
          <w:p w14:paraId="3ADED334" w14:textId="77777777" w:rsidR="00110010" w:rsidRPr="005D43EE" w:rsidRDefault="00110010" w:rsidP="007129FD">
            <w:r w:rsidRPr="006C12CC">
              <w:rPr>
                <w:b/>
                <w:bCs/>
              </w:rPr>
              <w:t>Broaden and strengthen price reporting requirements for trade data</w:t>
            </w:r>
            <w:r>
              <w:rPr>
                <w:rStyle w:val="FootnoteReference"/>
              </w:rPr>
              <w:footnoteReference w:id="24"/>
            </w:r>
          </w:p>
          <w:p w14:paraId="1159400B" w14:textId="77777777" w:rsidR="00110010" w:rsidRDefault="00110010" w:rsidP="007129FD">
            <w:r w:rsidRPr="005D43EE">
              <w:t>The Commonwealth should broaden and strengthen the requirement for trade approval authorities and irrigation infrastructure operators who approve trades within their networks, to report price data for all tradeable water rights, including water delivery and irrigation rights. This data should be available to the water market regulators and de-identified data should be publicly available.</w:t>
            </w:r>
          </w:p>
          <w:p w14:paraId="27FAAAC8" w14:textId="77777777" w:rsidR="00110010" w:rsidRDefault="00110010" w:rsidP="007129FD"/>
        </w:tc>
      </w:tr>
    </w:tbl>
    <w:p w14:paraId="1CB5EEA0" w14:textId="77777777" w:rsidR="00110010" w:rsidRDefault="00110010" w:rsidP="00110010"/>
    <w:p w14:paraId="0A9021CE" w14:textId="77777777" w:rsidR="00110010" w:rsidRDefault="00110010" w:rsidP="00110010"/>
    <w:tbl>
      <w:tblPr>
        <w:tblStyle w:val="TableGrid"/>
        <w:tblW w:w="0" w:type="auto"/>
        <w:tblLook w:val="04A0" w:firstRow="1" w:lastRow="0" w:firstColumn="1" w:lastColumn="0" w:noHBand="0" w:noVBand="1"/>
      </w:tblPr>
      <w:tblGrid>
        <w:gridCol w:w="9060"/>
      </w:tblGrid>
      <w:tr w:rsidR="00110010" w14:paraId="6E8FA434" w14:textId="77777777" w:rsidTr="007129FD">
        <w:tc>
          <w:tcPr>
            <w:tcW w:w="9060" w:type="dxa"/>
            <w:shd w:val="clear" w:color="auto" w:fill="9CC2E5" w:themeFill="accent5" w:themeFillTint="99"/>
          </w:tcPr>
          <w:p w14:paraId="566D9FB8" w14:textId="77777777" w:rsidR="00110010" w:rsidRPr="00C75F2E" w:rsidRDefault="00110010" w:rsidP="007129FD">
            <w:pPr>
              <w:rPr>
                <w:sz w:val="28"/>
                <w:szCs w:val="28"/>
              </w:rPr>
            </w:pPr>
            <w:bookmarkStart w:id="58" w:name="_Hlk147310360"/>
            <w:r w:rsidRPr="00C75F2E">
              <w:rPr>
                <w:sz w:val="28"/>
                <w:szCs w:val="28"/>
              </w:rPr>
              <w:t>The ACCC’s Murray-Darling Basin – water markets inquiry</w:t>
            </w:r>
          </w:p>
          <w:bookmarkEnd w:id="58"/>
          <w:p w14:paraId="46954569" w14:textId="77777777" w:rsidR="00110010" w:rsidRDefault="00110010" w:rsidP="007129FD">
            <w:r>
              <w:t xml:space="preserve">Recommendation 1: </w:t>
            </w:r>
          </w:p>
          <w:p w14:paraId="6794B8BD" w14:textId="77777777" w:rsidR="00110010" w:rsidRPr="00167CA4" w:rsidRDefault="00110010" w:rsidP="007129FD">
            <w:r w:rsidRPr="00FF251A">
              <w:rPr>
                <w:b/>
                <w:bCs/>
              </w:rPr>
              <w:t>Implement centralised, Basin-wide water market conduct and integrity legislation</w:t>
            </w:r>
            <w:r>
              <w:rPr>
                <w:rStyle w:val="FootnoteReference"/>
              </w:rPr>
              <w:footnoteReference w:id="25"/>
            </w:r>
          </w:p>
          <w:p w14:paraId="4F802491" w14:textId="77777777" w:rsidR="00110010" w:rsidRDefault="00110010" w:rsidP="007129FD">
            <w:r w:rsidRPr="0042105B">
              <w:t>New centralised Basin-wide legislation should be introduced to protect the integrity of Basin water</w:t>
            </w:r>
            <w:r>
              <w:t xml:space="preserve"> </w:t>
            </w:r>
            <w:r w:rsidRPr="0042105B">
              <w:t>markets by regulating conduct of market parti</w:t>
            </w:r>
            <w:r>
              <w:t>cipants.</w:t>
            </w:r>
            <w:r>
              <w:rPr>
                <w:rStyle w:val="FootnoteReference"/>
              </w:rPr>
              <w:footnoteReference w:id="26"/>
            </w:r>
            <w:r>
              <w:t xml:space="preserve"> </w:t>
            </w:r>
          </w:p>
          <w:p w14:paraId="0207BCD3" w14:textId="77777777" w:rsidR="00110010" w:rsidRPr="00EA3B61" w:rsidRDefault="00110010" w:rsidP="007129FD">
            <w:r w:rsidRPr="00EA3B61">
              <w:t>The proposed new legislation should include:</w:t>
            </w:r>
          </w:p>
          <w:p w14:paraId="7DE39E93" w14:textId="77777777" w:rsidR="00110010" w:rsidRPr="00E07020" w:rsidRDefault="00110010" w:rsidP="007129FD">
            <w:pPr>
              <w:pStyle w:val="ListParagraph"/>
              <w:numPr>
                <w:ilvl w:val="0"/>
                <w:numId w:val="28"/>
              </w:numPr>
              <w:rPr>
                <w:rFonts w:ascii="Arial" w:eastAsia="Times New Roman" w:hAnsi="Arial" w:cs="Arial"/>
                <w:sz w:val="20"/>
                <w:szCs w:val="20"/>
                <w:lang w:eastAsia="en-AU"/>
              </w:rPr>
            </w:pPr>
            <w:r w:rsidRPr="00E07020">
              <w:rPr>
                <w:rFonts w:ascii="Arial" w:eastAsia="Times New Roman" w:hAnsi="Arial" w:cs="Arial"/>
                <w:sz w:val="20"/>
                <w:szCs w:val="20"/>
                <w:lang w:eastAsia="en-AU"/>
              </w:rPr>
              <w:t>integrity protections such as broader price reporting requirements</w:t>
            </w:r>
          </w:p>
          <w:p w14:paraId="204768E4" w14:textId="77777777" w:rsidR="00110010" w:rsidRDefault="00110010" w:rsidP="007129FD"/>
        </w:tc>
      </w:tr>
    </w:tbl>
    <w:p w14:paraId="0426B97E" w14:textId="340AF62D" w:rsidR="00043094" w:rsidRPr="00043094" w:rsidRDefault="00043094" w:rsidP="00043094">
      <w:pPr>
        <w:tabs>
          <w:tab w:val="left" w:pos="1795"/>
        </w:tabs>
        <w:rPr>
          <w:lang w:val="en-GB"/>
        </w:rPr>
        <w:sectPr w:rsidR="00043094" w:rsidRPr="00043094">
          <w:pgSz w:w="11906" w:h="16838"/>
          <w:pgMar w:top="1418" w:right="1418" w:bottom="1418" w:left="1418" w:header="567" w:footer="283" w:gutter="0"/>
          <w:cols w:space="708"/>
          <w:docGrid w:linePitch="360"/>
        </w:sectPr>
      </w:pPr>
      <w:bookmarkStart w:id="59" w:name="_Toc430782160"/>
      <w:bookmarkStart w:id="60" w:name="_Toc85185969"/>
      <w:bookmarkStart w:id="61" w:name="_Toc95225095"/>
      <w:bookmarkStart w:id="62" w:name="_Toc95225122"/>
      <w:bookmarkStart w:id="63" w:name="_Toc95225281"/>
      <w:bookmarkStart w:id="64" w:name="_Toc95225312"/>
      <w:bookmarkStart w:id="65" w:name="_Toc95225456"/>
      <w:bookmarkStart w:id="66" w:name="_Toc95228432"/>
      <w:bookmarkStart w:id="67" w:name="_Toc95228572"/>
    </w:p>
    <w:p w14:paraId="604F148C" w14:textId="77777777" w:rsidR="00D800BC" w:rsidRDefault="00D800BC" w:rsidP="00D800BC">
      <w:pPr>
        <w:pStyle w:val="Heading2"/>
        <w:ind w:left="709" w:hanging="709"/>
      </w:pPr>
      <w:bookmarkStart w:id="68" w:name="_Toc107499529"/>
      <w:bookmarkStart w:id="69" w:name="_Toc148421513"/>
      <w:bookmarkEnd w:id="59"/>
      <w:bookmarkEnd w:id="60"/>
      <w:bookmarkEnd w:id="61"/>
      <w:bookmarkEnd w:id="62"/>
      <w:bookmarkEnd w:id="63"/>
      <w:bookmarkEnd w:id="64"/>
      <w:bookmarkEnd w:id="65"/>
      <w:bookmarkEnd w:id="66"/>
      <w:bookmarkEnd w:id="67"/>
      <w:r>
        <w:lastRenderedPageBreak/>
        <w:t>Glossary</w:t>
      </w:r>
      <w:bookmarkEnd w:id="68"/>
      <w:bookmarkEnd w:id="69"/>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72"/>
        <w:gridCol w:w="6088"/>
      </w:tblGrid>
      <w:tr w:rsidR="00D800BC" w:rsidRPr="00CF3F7A" w14:paraId="17C47A10" w14:textId="77777777" w:rsidTr="002D6899">
        <w:trPr>
          <w:tblHeader/>
        </w:trPr>
        <w:tc>
          <w:tcPr>
            <w:tcW w:w="2972" w:type="dxa"/>
            <w:shd w:val="clear" w:color="auto" w:fill="F2F2F2" w:themeFill="background1" w:themeFillShade="F2"/>
          </w:tcPr>
          <w:p w14:paraId="54D43878" w14:textId="77777777" w:rsidR="00D800BC" w:rsidRPr="00CF3F7A" w:rsidRDefault="00D800BC" w:rsidP="002D6899">
            <w:pPr>
              <w:spacing w:before="0"/>
              <w:rPr>
                <w:b/>
                <w:lang w:eastAsia="ja-JP"/>
              </w:rPr>
            </w:pPr>
            <w:r w:rsidRPr="00CF3F7A">
              <w:rPr>
                <w:b/>
                <w:lang w:eastAsia="ja-JP"/>
              </w:rPr>
              <w:t>Term</w:t>
            </w:r>
          </w:p>
        </w:tc>
        <w:tc>
          <w:tcPr>
            <w:tcW w:w="6088" w:type="dxa"/>
            <w:shd w:val="clear" w:color="auto" w:fill="F2F2F2" w:themeFill="background1" w:themeFillShade="F2"/>
          </w:tcPr>
          <w:p w14:paraId="6C8725DD" w14:textId="77777777" w:rsidR="00D800BC" w:rsidRPr="00CF3F7A" w:rsidRDefault="00D800BC" w:rsidP="002D6899">
            <w:pPr>
              <w:spacing w:before="0"/>
              <w:rPr>
                <w:b/>
                <w:lang w:eastAsia="ja-JP"/>
              </w:rPr>
            </w:pPr>
            <w:r w:rsidRPr="00CF3F7A">
              <w:rPr>
                <w:b/>
                <w:lang w:eastAsia="ja-JP"/>
              </w:rPr>
              <w:t>Definition</w:t>
            </w:r>
          </w:p>
        </w:tc>
      </w:tr>
      <w:tr w:rsidR="00D800BC" w:rsidRPr="00CF3F7A" w14:paraId="3C2980F1" w14:textId="77777777" w:rsidTr="002D6899">
        <w:tc>
          <w:tcPr>
            <w:tcW w:w="2972" w:type="dxa"/>
          </w:tcPr>
          <w:p w14:paraId="678B6524" w14:textId="0623892B" w:rsidR="00D800BC" w:rsidRPr="00CF3F7A" w:rsidRDefault="00D800BC" w:rsidP="002D6899">
            <w:pPr>
              <w:spacing w:before="0"/>
              <w:rPr>
                <w:b/>
                <w:lang w:eastAsia="ja-JP"/>
              </w:rPr>
            </w:pPr>
            <w:r w:rsidRPr="00CF3F7A">
              <w:rPr>
                <w:b/>
                <w:lang w:eastAsia="ja-JP"/>
              </w:rPr>
              <w:t>A</w:t>
            </w:r>
            <w:r w:rsidR="00E64F6B">
              <w:rPr>
                <w:b/>
                <w:lang w:eastAsia="ja-JP"/>
              </w:rPr>
              <w:t>pproval Authority</w:t>
            </w:r>
            <w:r w:rsidRPr="00CF3F7A">
              <w:rPr>
                <w:b/>
                <w:lang w:eastAsia="ja-JP"/>
              </w:rPr>
              <w:t xml:space="preserve"> </w:t>
            </w:r>
          </w:p>
        </w:tc>
        <w:tc>
          <w:tcPr>
            <w:tcW w:w="6088" w:type="dxa"/>
          </w:tcPr>
          <w:p w14:paraId="69B41228" w14:textId="2E708289" w:rsidR="00D800BC" w:rsidRPr="00CF3F7A" w:rsidRDefault="00606782" w:rsidP="002D6899">
            <w:pPr>
              <w:spacing w:before="0"/>
              <w:rPr>
                <w:lang w:eastAsia="ja-JP"/>
              </w:rPr>
            </w:pPr>
            <w:r>
              <w:rPr>
                <w:lang w:eastAsia="ja-JP"/>
              </w:rPr>
              <w:t>i</w:t>
            </w:r>
            <w:r w:rsidR="006D6A56">
              <w:rPr>
                <w:lang w:eastAsia="ja-JP"/>
              </w:rPr>
              <w:t xml:space="preserve">n </w:t>
            </w:r>
            <w:r w:rsidR="00C31861">
              <w:rPr>
                <w:lang w:eastAsia="ja-JP"/>
              </w:rPr>
              <w:t xml:space="preserve">relation to the proposed trade of a water access right, means a person whose approval is required under State water management law for the trade to proceed. </w:t>
            </w:r>
          </w:p>
        </w:tc>
      </w:tr>
      <w:tr w:rsidR="00D800BC" w:rsidRPr="00CF3F7A" w14:paraId="2438128B" w14:textId="77777777" w:rsidTr="002D6899">
        <w:tc>
          <w:tcPr>
            <w:tcW w:w="2972" w:type="dxa"/>
          </w:tcPr>
          <w:p w14:paraId="586915CE" w14:textId="77777777" w:rsidR="00D800BC" w:rsidRPr="00CF3F7A" w:rsidRDefault="00D800BC" w:rsidP="002D6899">
            <w:pPr>
              <w:spacing w:before="0"/>
              <w:rPr>
                <w:b/>
                <w:lang w:eastAsia="ja-JP"/>
              </w:rPr>
            </w:pPr>
            <w:r w:rsidRPr="00CF3F7A">
              <w:rPr>
                <w:b/>
                <w:lang w:eastAsia="ja-JP"/>
              </w:rPr>
              <w:t>Basin Plan</w:t>
            </w:r>
          </w:p>
        </w:tc>
        <w:tc>
          <w:tcPr>
            <w:tcW w:w="6088" w:type="dxa"/>
          </w:tcPr>
          <w:p w14:paraId="52766CC8" w14:textId="77777777" w:rsidR="00D800BC" w:rsidRPr="00CF3F7A" w:rsidRDefault="00D800BC" w:rsidP="002D6899">
            <w:pPr>
              <w:spacing w:before="0"/>
              <w:rPr>
                <w:lang w:eastAsia="ja-JP"/>
              </w:rPr>
            </w:pPr>
            <w:r w:rsidRPr="00CF3F7A">
              <w:rPr>
                <w:lang w:eastAsia="ja-JP"/>
              </w:rPr>
              <w:t>Murray-Darling Basin Plan 2012</w:t>
            </w:r>
          </w:p>
        </w:tc>
      </w:tr>
      <w:tr w:rsidR="00D800BC" w:rsidRPr="00CF3F7A" w14:paraId="6F5EA707" w14:textId="77777777" w:rsidTr="002D6899">
        <w:tc>
          <w:tcPr>
            <w:tcW w:w="2972" w:type="dxa"/>
          </w:tcPr>
          <w:p w14:paraId="162C28D4" w14:textId="6D1D397A" w:rsidR="00D800BC" w:rsidRPr="00CF3F7A" w:rsidRDefault="002B5FBF" w:rsidP="002D6899">
            <w:pPr>
              <w:spacing w:before="0"/>
              <w:rPr>
                <w:b/>
                <w:lang w:eastAsia="ja-JP"/>
              </w:rPr>
            </w:pPr>
            <w:r>
              <w:rPr>
                <w:b/>
                <w:lang w:eastAsia="ja-JP"/>
              </w:rPr>
              <w:t>B</w:t>
            </w:r>
            <w:r w:rsidR="009D58D6">
              <w:rPr>
                <w:b/>
                <w:lang w:eastAsia="ja-JP"/>
              </w:rPr>
              <w:t>ureau</w:t>
            </w:r>
          </w:p>
        </w:tc>
        <w:tc>
          <w:tcPr>
            <w:tcW w:w="6088" w:type="dxa"/>
          </w:tcPr>
          <w:p w14:paraId="372707AF" w14:textId="162A9F3A" w:rsidR="00D800BC" w:rsidRPr="00CF3F7A" w:rsidRDefault="002B5FBF" w:rsidP="002D6899">
            <w:pPr>
              <w:spacing w:before="0"/>
              <w:rPr>
                <w:lang w:eastAsia="ja-JP"/>
              </w:rPr>
            </w:pPr>
            <w:r>
              <w:rPr>
                <w:lang w:eastAsia="ja-JP"/>
              </w:rPr>
              <w:t>Bureau of Meteorology</w:t>
            </w:r>
          </w:p>
        </w:tc>
      </w:tr>
      <w:tr w:rsidR="00D800BC" w:rsidRPr="00CF3F7A" w14:paraId="0CEB373B" w14:textId="77777777" w:rsidTr="002D6899">
        <w:tc>
          <w:tcPr>
            <w:tcW w:w="2972" w:type="dxa"/>
          </w:tcPr>
          <w:p w14:paraId="0A80B44A" w14:textId="77777777" w:rsidR="00D800BC" w:rsidRPr="00CF3F7A" w:rsidRDefault="00D800BC" w:rsidP="002D6899">
            <w:pPr>
              <w:spacing w:before="0"/>
              <w:rPr>
                <w:b/>
                <w:lang w:eastAsia="ja-JP"/>
              </w:rPr>
            </w:pPr>
            <w:r w:rsidRPr="00CF3F7A">
              <w:rPr>
                <w:b/>
                <w:lang w:eastAsia="ja-JP"/>
              </w:rPr>
              <w:t>IGWC</w:t>
            </w:r>
          </w:p>
        </w:tc>
        <w:tc>
          <w:tcPr>
            <w:tcW w:w="6088" w:type="dxa"/>
          </w:tcPr>
          <w:p w14:paraId="06913D59" w14:textId="77777777" w:rsidR="00D800BC" w:rsidRPr="00CF3F7A" w:rsidRDefault="00D800BC" w:rsidP="002D6899">
            <w:pPr>
              <w:spacing w:before="0"/>
              <w:rPr>
                <w:lang w:eastAsia="ja-JP"/>
              </w:rPr>
            </w:pPr>
            <w:r w:rsidRPr="00CF3F7A">
              <w:rPr>
                <w:lang w:eastAsia="ja-JP"/>
              </w:rPr>
              <w:t>Inspector-General of Water Compliance</w:t>
            </w:r>
          </w:p>
        </w:tc>
      </w:tr>
      <w:tr w:rsidR="00D800BC" w:rsidRPr="00CF3F7A" w14:paraId="2DAA6D9C" w14:textId="77777777" w:rsidTr="002D6899">
        <w:tc>
          <w:tcPr>
            <w:tcW w:w="2972" w:type="dxa"/>
          </w:tcPr>
          <w:p w14:paraId="36B2993E" w14:textId="5E71707E" w:rsidR="00D800BC" w:rsidRPr="00CF3F7A" w:rsidRDefault="007F40D1" w:rsidP="002D6899">
            <w:pPr>
              <w:spacing w:before="0"/>
              <w:rPr>
                <w:b/>
                <w:lang w:eastAsia="ja-JP"/>
              </w:rPr>
            </w:pPr>
            <w:r>
              <w:rPr>
                <w:b/>
                <w:lang w:eastAsia="ja-JP"/>
              </w:rPr>
              <w:t>MDBA</w:t>
            </w:r>
            <w:r w:rsidR="00D800BC" w:rsidRPr="00CF3F7A">
              <w:rPr>
                <w:b/>
                <w:lang w:eastAsia="ja-JP"/>
              </w:rPr>
              <w:t xml:space="preserve"> </w:t>
            </w:r>
          </w:p>
        </w:tc>
        <w:tc>
          <w:tcPr>
            <w:tcW w:w="6088" w:type="dxa"/>
          </w:tcPr>
          <w:p w14:paraId="7CADABF2" w14:textId="625125C6" w:rsidR="00D800BC" w:rsidRPr="00CF3F7A" w:rsidRDefault="007F40D1" w:rsidP="002D6899">
            <w:pPr>
              <w:spacing w:before="0"/>
              <w:rPr>
                <w:lang w:eastAsia="ja-JP"/>
              </w:rPr>
            </w:pPr>
            <w:r>
              <w:rPr>
                <w:lang w:eastAsia="ja-JP"/>
              </w:rPr>
              <w:t>Murray-Darling Basin Authority.</w:t>
            </w:r>
            <w:r w:rsidR="006C56C0">
              <w:rPr>
                <w:lang w:eastAsia="ja-JP"/>
              </w:rPr>
              <w:t xml:space="preserve"> </w:t>
            </w:r>
          </w:p>
        </w:tc>
      </w:tr>
      <w:tr w:rsidR="00B2064F" w:rsidRPr="00CF3F7A" w14:paraId="4578E0C8" w14:textId="77777777" w:rsidTr="002D6899">
        <w:tc>
          <w:tcPr>
            <w:tcW w:w="2972" w:type="dxa"/>
          </w:tcPr>
          <w:p w14:paraId="39A3211C" w14:textId="57A3FB6F" w:rsidR="00B2064F" w:rsidRDefault="00B2064F" w:rsidP="002D6899">
            <w:pPr>
              <w:spacing w:before="0"/>
              <w:rPr>
                <w:b/>
                <w:lang w:eastAsia="ja-JP"/>
              </w:rPr>
            </w:pPr>
            <w:r>
              <w:rPr>
                <w:b/>
                <w:lang w:eastAsia="ja-JP"/>
              </w:rPr>
              <w:t>ML</w:t>
            </w:r>
          </w:p>
        </w:tc>
        <w:tc>
          <w:tcPr>
            <w:tcW w:w="6088" w:type="dxa"/>
          </w:tcPr>
          <w:p w14:paraId="4239FBAD" w14:textId="11E551CD" w:rsidR="00B2064F" w:rsidRDefault="00B2064F" w:rsidP="002D6899">
            <w:pPr>
              <w:spacing w:before="0"/>
              <w:rPr>
                <w:lang w:eastAsia="ja-JP"/>
              </w:rPr>
            </w:pPr>
            <w:r>
              <w:rPr>
                <w:lang w:eastAsia="ja-JP"/>
              </w:rPr>
              <w:t>Megalitre</w:t>
            </w:r>
          </w:p>
        </w:tc>
      </w:tr>
      <w:tr w:rsidR="00D800BC" w:rsidRPr="00CF3F7A" w14:paraId="2DACE19E" w14:textId="77777777" w:rsidTr="002D6899">
        <w:tc>
          <w:tcPr>
            <w:tcW w:w="2972" w:type="dxa"/>
          </w:tcPr>
          <w:p w14:paraId="7E3BB589" w14:textId="23D1DC7F" w:rsidR="00D800BC" w:rsidRPr="00CF3F7A" w:rsidRDefault="00FB3648" w:rsidP="002D6899">
            <w:pPr>
              <w:spacing w:before="0"/>
              <w:rPr>
                <w:b/>
                <w:lang w:eastAsia="ja-JP"/>
              </w:rPr>
            </w:pPr>
            <w:r>
              <w:rPr>
                <w:b/>
                <w:lang w:eastAsia="ja-JP"/>
              </w:rPr>
              <w:t>State water management law</w:t>
            </w:r>
            <w:r w:rsidR="00D800BC" w:rsidRPr="00CF3F7A">
              <w:rPr>
                <w:b/>
                <w:lang w:eastAsia="ja-JP"/>
              </w:rPr>
              <w:t xml:space="preserve"> </w:t>
            </w:r>
          </w:p>
        </w:tc>
        <w:tc>
          <w:tcPr>
            <w:tcW w:w="6088" w:type="dxa"/>
          </w:tcPr>
          <w:p w14:paraId="53B04DFE" w14:textId="2107161B" w:rsidR="00D800BC" w:rsidRPr="00CF3F7A" w:rsidRDefault="00FB3648" w:rsidP="002D6899">
            <w:pPr>
              <w:spacing w:before="0"/>
              <w:rPr>
                <w:lang w:eastAsia="ja-JP"/>
              </w:rPr>
            </w:pPr>
            <w:r>
              <w:rPr>
                <w:lang w:eastAsia="ja-JP"/>
              </w:rPr>
              <w:t>relevant</w:t>
            </w:r>
            <w:r w:rsidR="00505CEF">
              <w:rPr>
                <w:lang w:eastAsia="ja-JP"/>
              </w:rPr>
              <w:t xml:space="preserve"> includes </w:t>
            </w:r>
            <w:r w:rsidR="0051602F" w:rsidRPr="00EB1C32">
              <w:rPr>
                <w:i/>
                <w:iCs/>
                <w:lang w:eastAsia="ja-JP"/>
              </w:rPr>
              <w:t>Water Management Act 2000</w:t>
            </w:r>
            <w:r w:rsidR="0051602F">
              <w:rPr>
                <w:lang w:eastAsia="ja-JP"/>
              </w:rPr>
              <w:t xml:space="preserve">, the </w:t>
            </w:r>
            <w:r w:rsidR="0051602F" w:rsidRPr="00EB1C32">
              <w:rPr>
                <w:i/>
                <w:iCs/>
                <w:lang w:eastAsia="ja-JP"/>
              </w:rPr>
              <w:t>Water Act 1912</w:t>
            </w:r>
            <w:r w:rsidR="0051602F">
              <w:rPr>
                <w:lang w:eastAsia="ja-JP"/>
              </w:rPr>
              <w:t xml:space="preserve"> and the </w:t>
            </w:r>
            <w:r w:rsidR="0051602F" w:rsidRPr="00EB1C32">
              <w:rPr>
                <w:i/>
                <w:iCs/>
                <w:lang w:eastAsia="ja-JP"/>
              </w:rPr>
              <w:t>Rivers and Foreshores Improvement Act 1948</w:t>
            </w:r>
            <w:r w:rsidR="0051602F">
              <w:rPr>
                <w:lang w:eastAsia="ja-JP"/>
              </w:rPr>
              <w:t xml:space="preserve"> </w:t>
            </w:r>
            <w:r w:rsidR="00EB1C32">
              <w:rPr>
                <w:lang w:eastAsia="ja-JP"/>
              </w:rPr>
              <w:t xml:space="preserve">of New South Wales. </w:t>
            </w:r>
          </w:p>
        </w:tc>
      </w:tr>
      <w:tr w:rsidR="00D800BC" w:rsidRPr="00CF3F7A" w14:paraId="16AEC2FE" w14:textId="77777777" w:rsidTr="002D6899">
        <w:tc>
          <w:tcPr>
            <w:tcW w:w="2972" w:type="dxa"/>
          </w:tcPr>
          <w:p w14:paraId="5C5823CB" w14:textId="1ACDDFD5" w:rsidR="00D800BC" w:rsidRPr="00CF3F7A" w:rsidRDefault="00B025F9" w:rsidP="002D6899">
            <w:pPr>
              <w:rPr>
                <w:b/>
                <w:lang w:eastAsia="ja-JP"/>
              </w:rPr>
            </w:pPr>
            <w:r>
              <w:rPr>
                <w:b/>
                <w:lang w:eastAsia="ja-JP"/>
              </w:rPr>
              <w:t>Trade</w:t>
            </w:r>
          </w:p>
        </w:tc>
        <w:tc>
          <w:tcPr>
            <w:tcW w:w="6088" w:type="dxa"/>
          </w:tcPr>
          <w:p w14:paraId="2FEC48BA" w14:textId="4123B0BA" w:rsidR="00D800BC" w:rsidRPr="00CF3F7A" w:rsidRDefault="00E04D70" w:rsidP="002D6899">
            <w:pPr>
              <w:rPr>
                <w:lang w:eastAsia="ja-JP"/>
              </w:rPr>
            </w:pPr>
            <w:r>
              <w:rPr>
                <w:lang w:eastAsia="ja-JP"/>
              </w:rPr>
              <w:t>i</w:t>
            </w:r>
            <w:r w:rsidR="00181837">
              <w:rPr>
                <w:lang w:eastAsia="ja-JP"/>
              </w:rPr>
              <w:t>ncludes</w:t>
            </w:r>
            <w:r w:rsidR="00B53ADE">
              <w:rPr>
                <w:lang w:eastAsia="ja-JP"/>
              </w:rPr>
              <w:t xml:space="preserve"> a trade </w:t>
            </w:r>
            <w:r w:rsidR="00445FE6">
              <w:rPr>
                <w:lang w:eastAsia="ja-JP"/>
              </w:rPr>
              <w:t>that does not involve the payment of consideration</w:t>
            </w:r>
            <w:r w:rsidR="00E64F6B">
              <w:rPr>
                <w:lang w:eastAsia="ja-JP"/>
              </w:rPr>
              <w:t>.</w:t>
            </w:r>
          </w:p>
        </w:tc>
      </w:tr>
      <w:tr w:rsidR="00D800BC" w:rsidRPr="00CF3F7A" w14:paraId="62357853" w14:textId="77777777" w:rsidTr="002D6899">
        <w:tc>
          <w:tcPr>
            <w:tcW w:w="2972" w:type="dxa"/>
          </w:tcPr>
          <w:p w14:paraId="497B3F53" w14:textId="71384C64" w:rsidR="00D800BC" w:rsidRPr="00CF3F7A" w:rsidRDefault="00552ECF" w:rsidP="002D6899">
            <w:pPr>
              <w:spacing w:before="0"/>
              <w:rPr>
                <w:b/>
                <w:lang w:eastAsia="ja-JP"/>
              </w:rPr>
            </w:pPr>
            <w:r>
              <w:rPr>
                <w:b/>
                <w:lang w:eastAsia="ja-JP"/>
              </w:rPr>
              <w:t>Water Access Entitlement</w:t>
            </w:r>
            <w:r w:rsidR="00D800BC" w:rsidRPr="00CF3F7A">
              <w:rPr>
                <w:b/>
                <w:lang w:eastAsia="ja-JP"/>
              </w:rPr>
              <w:t xml:space="preserve"> </w:t>
            </w:r>
          </w:p>
        </w:tc>
        <w:tc>
          <w:tcPr>
            <w:tcW w:w="6088" w:type="dxa"/>
          </w:tcPr>
          <w:p w14:paraId="18391DB5" w14:textId="0820A28D" w:rsidR="00D800BC" w:rsidRPr="00CF3F7A" w:rsidRDefault="00D800BC" w:rsidP="002D6899">
            <w:pPr>
              <w:spacing w:before="0"/>
              <w:rPr>
                <w:lang w:eastAsia="ja-JP"/>
              </w:rPr>
            </w:pPr>
            <w:r w:rsidRPr="00CF3F7A">
              <w:rPr>
                <w:lang w:eastAsia="ja-JP"/>
              </w:rPr>
              <w:t>means a</w:t>
            </w:r>
            <w:r w:rsidR="00063465">
              <w:rPr>
                <w:lang w:eastAsia="ja-JP"/>
              </w:rPr>
              <w:t xml:space="preserve"> perpetual or ongoing entitlement, by or under a law of a State</w:t>
            </w:r>
            <w:r w:rsidR="006A4B65">
              <w:rPr>
                <w:lang w:eastAsia="ja-JP"/>
              </w:rPr>
              <w:t>, to exclusive access to a share of the water resources of a water resource plan area</w:t>
            </w:r>
            <w:r w:rsidR="005F652C" w:rsidRPr="00CF3F7A">
              <w:rPr>
                <w:lang w:eastAsia="ja-JP"/>
              </w:rPr>
              <w:t xml:space="preserve">. </w:t>
            </w:r>
          </w:p>
        </w:tc>
      </w:tr>
      <w:tr w:rsidR="00D800BC" w:rsidRPr="00CF3F7A" w14:paraId="0EB09CCB" w14:textId="77777777" w:rsidTr="002D6899">
        <w:tc>
          <w:tcPr>
            <w:tcW w:w="2972" w:type="dxa"/>
          </w:tcPr>
          <w:p w14:paraId="3856049C" w14:textId="75ECE54A" w:rsidR="00D800BC" w:rsidRPr="00CF3F7A" w:rsidRDefault="00D800BC" w:rsidP="002D6899">
            <w:pPr>
              <w:spacing w:before="0"/>
              <w:rPr>
                <w:b/>
                <w:lang w:eastAsia="ja-JP"/>
              </w:rPr>
            </w:pPr>
            <w:r w:rsidRPr="00CF3F7A">
              <w:rPr>
                <w:b/>
                <w:lang w:eastAsia="ja-JP"/>
              </w:rPr>
              <w:t xml:space="preserve">Water </w:t>
            </w:r>
            <w:r w:rsidR="0004642B">
              <w:rPr>
                <w:b/>
                <w:lang w:eastAsia="ja-JP"/>
              </w:rPr>
              <w:t xml:space="preserve">Access </w:t>
            </w:r>
            <w:r w:rsidR="00DC2090">
              <w:rPr>
                <w:b/>
                <w:lang w:eastAsia="ja-JP"/>
              </w:rPr>
              <w:t>Right</w:t>
            </w:r>
          </w:p>
        </w:tc>
        <w:tc>
          <w:tcPr>
            <w:tcW w:w="6088" w:type="dxa"/>
          </w:tcPr>
          <w:p w14:paraId="5AA36298" w14:textId="0D0A6CE9" w:rsidR="00C930A3" w:rsidRDefault="008F744D" w:rsidP="002D6899">
            <w:pPr>
              <w:spacing w:before="0"/>
              <w:rPr>
                <w:lang w:eastAsia="ja-JP"/>
              </w:rPr>
            </w:pPr>
            <w:r>
              <w:rPr>
                <w:lang w:eastAsia="ja-JP"/>
              </w:rPr>
              <w:t>m</w:t>
            </w:r>
            <w:r w:rsidR="002B6129">
              <w:rPr>
                <w:lang w:eastAsia="ja-JP"/>
              </w:rPr>
              <w:t xml:space="preserve">eans </w:t>
            </w:r>
            <w:r w:rsidR="00C930A3">
              <w:rPr>
                <w:lang w:eastAsia="ja-JP"/>
              </w:rPr>
              <w:t>any right conferred by or under a law of a State to do either or both of the following:</w:t>
            </w:r>
          </w:p>
          <w:p w14:paraId="6A48D7D7" w14:textId="77777777" w:rsidR="001D7970" w:rsidRDefault="00C930A3" w:rsidP="002D6899">
            <w:pPr>
              <w:spacing w:before="0"/>
              <w:rPr>
                <w:lang w:eastAsia="ja-JP"/>
              </w:rPr>
            </w:pPr>
            <w:r>
              <w:rPr>
                <w:lang w:eastAsia="ja-JP"/>
              </w:rPr>
              <w:t>(</w:t>
            </w:r>
            <w:proofErr w:type="spellStart"/>
            <w:r>
              <w:rPr>
                <w:lang w:eastAsia="ja-JP"/>
              </w:rPr>
              <w:t>i</w:t>
            </w:r>
            <w:proofErr w:type="spellEnd"/>
            <w:r>
              <w:rPr>
                <w:lang w:eastAsia="ja-JP"/>
              </w:rPr>
              <w:t xml:space="preserve">) </w:t>
            </w:r>
            <w:r w:rsidR="001D7970">
              <w:rPr>
                <w:lang w:eastAsia="ja-JP"/>
              </w:rPr>
              <w:t xml:space="preserve">to hold water from a water </w:t>
            </w:r>
            <w:proofErr w:type="gramStart"/>
            <w:r w:rsidR="001D7970">
              <w:rPr>
                <w:lang w:eastAsia="ja-JP"/>
              </w:rPr>
              <w:t>resource;</w:t>
            </w:r>
            <w:proofErr w:type="gramEnd"/>
          </w:p>
          <w:p w14:paraId="389EF635" w14:textId="77777777" w:rsidR="001D7970" w:rsidRDefault="001D7970" w:rsidP="002D6899">
            <w:pPr>
              <w:spacing w:before="0"/>
              <w:rPr>
                <w:lang w:eastAsia="ja-JP"/>
              </w:rPr>
            </w:pPr>
            <w:r>
              <w:rPr>
                <w:lang w:eastAsia="ja-JP"/>
              </w:rPr>
              <w:t>(ii) to take water from a water resource.</w:t>
            </w:r>
          </w:p>
          <w:p w14:paraId="4B81DCA2" w14:textId="77777777" w:rsidR="001D7970" w:rsidRDefault="001D7970" w:rsidP="002D6899">
            <w:pPr>
              <w:spacing w:before="0"/>
              <w:rPr>
                <w:lang w:eastAsia="ja-JP"/>
              </w:rPr>
            </w:pPr>
            <w:r>
              <w:rPr>
                <w:lang w:eastAsia="ja-JP"/>
              </w:rPr>
              <w:t>Includes:</w:t>
            </w:r>
          </w:p>
          <w:p w14:paraId="03D5A8B2" w14:textId="77777777" w:rsidR="008B7F99" w:rsidRDefault="00A44F17" w:rsidP="002D6899">
            <w:pPr>
              <w:spacing w:before="0"/>
              <w:rPr>
                <w:lang w:eastAsia="ja-JP"/>
              </w:rPr>
            </w:pPr>
            <w:r>
              <w:rPr>
                <w:lang w:eastAsia="ja-JP"/>
              </w:rPr>
              <w:t>(</w:t>
            </w:r>
            <w:proofErr w:type="spellStart"/>
            <w:r>
              <w:rPr>
                <w:lang w:eastAsia="ja-JP"/>
              </w:rPr>
              <w:t>i</w:t>
            </w:r>
            <w:proofErr w:type="spellEnd"/>
            <w:r>
              <w:rPr>
                <w:lang w:eastAsia="ja-JP"/>
              </w:rPr>
              <w:t xml:space="preserve">) stock and domestic </w:t>
            </w:r>
            <w:proofErr w:type="gramStart"/>
            <w:r>
              <w:rPr>
                <w:lang w:eastAsia="ja-JP"/>
              </w:rPr>
              <w:t>rights</w:t>
            </w:r>
            <w:r w:rsidR="008B7F99">
              <w:rPr>
                <w:lang w:eastAsia="ja-JP"/>
              </w:rPr>
              <w:t>;</w:t>
            </w:r>
            <w:proofErr w:type="gramEnd"/>
          </w:p>
          <w:p w14:paraId="6771E4D4" w14:textId="77777777" w:rsidR="008B7F99" w:rsidRDefault="008B7F99" w:rsidP="002D6899">
            <w:pPr>
              <w:spacing w:before="0"/>
              <w:rPr>
                <w:lang w:eastAsia="ja-JP"/>
              </w:rPr>
            </w:pPr>
            <w:r>
              <w:rPr>
                <w:lang w:eastAsia="ja-JP"/>
              </w:rPr>
              <w:t xml:space="preserve">(ii) riparian </w:t>
            </w:r>
            <w:proofErr w:type="gramStart"/>
            <w:r>
              <w:rPr>
                <w:lang w:eastAsia="ja-JP"/>
              </w:rPr>
              <w:t>rights;</w:t>
            </w:r>
            <w:proofErr w:type="gramEnd"/>
          </w:p>
          <w:p w14:paraId="20C2B305" w14:textId="77777777" w:rsidR="00123BF7" w:rsidRDefault="008B7F99" w:rsidP="002D6899">
            <w:pPr>
              <w:spacing w:before="0"/>
              <w:rPr>
                <w:lang w:eastAsia="ja-JP"/>
              </w:rPr>
            </w:pPr>
            <w:r>
              <w:rPr>
                <w:lang w:eastAsia="ja-JP"/>
              </w:rPr>
              <w:t xml:space="preserve">(iii) </w:t>
            </w:r>
            <w:r w:rsidR="00756F2B">
              <w:rPr>
                <w:lang w:eastAsia="ja-JP"/>
              </w:rPr>
              <w:t xml:space="preserve">a water access </w:t>
            </w:r>
            <w:proofErr w:type="gramStart"/>
            <w:r w:rsidR="00756F2B">
              <w:rPr>
                <w:lang w:eastAsia="ja-JP"/>
              </w:rPr>
              <w:t>entitlement</w:t>
            </w:r>
            <w:r w:rsidR="00123BF7">
              <w:rPr>
                <w:lang w:eastAsia="ja-JP"/>
              </w:rPr>
              <w:t>;</w:t>
            </w:r>
            <w:proofErr w:type="gramEnd"/>
          </w:p>
          <w:p w14:paraId="128A1BBE" w14:textId="77777777" w:rsidR="00D800BC" w:rsidRDefault="00123BF7" w:rsidP="002D6899">
            <w:pPr>
              <w:spacing w:before="0"/>
              <w:rPr>
                <w:lang w:eastAsia="ja-JP"/>
              </w:rPr>
            </w:pPr>
            <w:r>
              <w:rPr>
                <w:lang w:eastAsia="ja-JP"/>
              </w:rPr>
              <w:t>(iv) a water allocation,</w:t>
            </w:r>
          </w:p>
          <w:p w14:paraId="56FBA332" w14:textId="73CC4629" w:rsidR="00123BF7" w:rsidRPr="00CF3F7A" w:rsidRDefault="00050AE1" w:rsidP="002D6899">
            <w:pPr>
              <w:spacing w:before="0"/>
              <w:rPr>
                <w:lang w:eastAsia="ja-JP"/>
              </w:rPr>
            </w:pPr>
            <w:r>
              <w:rPr>
                <w:lang w:eastAsia="ja-JP"/>
              </w:rPr>
              <w:t>or the taking or use of water that is prescribed by the regulations for the purposes of</w:t>
            </w:r>
            <w:r w:rsidR="004C48FC">
              <w:rPr>
                <w:lang w:eastAsia="ja-JP"/>
              </w:rPr>
              <w:t xml:space="preserve"> this paragraph.</w:t>
            </w:r>
          </w:p>
        </w:tc>
      </w:tr>
      <w:tr w:rsidR="00D800BC" w:rsidRPr="00CF3F7A" w14:paraId="580573ED" w14:textId="77777777" w:rsidTr="002D6899">
        <w:tc>
          <w:tcPr>
            <w:tcW w:w="2972" w:type="dxa"/>
          </w:tcPr>
          <w:p w14:paraId="287BD33E" w14:textId="3244C279" w:rsidR="00D800BC" w:rsidRPr="00CF3F7A" w:rsidRDefault="00D800BC" w:rsidP="002D6899">
            <w:pPr>
              <w:spacing w:before="0"/>
              <w:rPr>
                <w:b/>
                <w:lang w:eastAsia="ja-JP"/>
              </w:rPr>
            </w:pPr>
            <w:r w:rsidRPr="00CF3F7A">
              <w:rPr>
                <w:b/>
                <w:lang w:eastAsia="ja-JP"/>
              </w:rPr>
              <w:t xml:space="preserve">Water </w:t>
            </w:r>
            <w:r w:rsidR="004C48FC">
              <w:rPr>
                <w:b/>
                <w:lang w:eastAsia="ja-JP"/>
              </w:rPr>
              <w:t>Allocation</w:t>
            </w:r>
          </w:p>
        </w:tc>
        <w:tc>
          <w:tcPr>
            <w:tcW w:w="6088" w:type="dxa"/>
          </w:tcPr>
          <w:p w14:paraId="3163AD8B" w14:textId="76544C28" w:rsidR="00D800BC" w:rsidRPr="00CF3F7A" w:rsidRDefault="004C48FC" w:rsidP="002D6899">
            <w:pPr>
              <w:spacing w:before="0"/>
              <w:rPr>
                <w:lang w:eastAsia="ja-JP"/>
              </w:rPr>
            </w:pPr>
            <w:r>
              <w:rPr>
                <w:lang w:eastAsia="ja-JP"/>
              </w:rPr>
              <w:t xml:space="preserve">means </w:t>
            </w:r>
            <w:r w:rsidR="002B4CC3">
              <w:rPr>
                <w:lang w:eastAsia="ja-JP"/>
              </w:rPr>
              <w:t xml:space="preserve">the specific volume of water allocated to water access entitlements </w:t>
            </w:r>
            <w:proofErr w:type="gramStart"/>
            <w:r w:rsidR="002B4CC3">
              <w:rPr>
                <w:lang w:eastAsia="ja-JP"/>
              </w:rPr>
              <w:t>in a given</w:t>
            </w:r>
            <w:proofErr w:type="gramEnd"/>
            <w:r w:rsidR="002B4CC3">
              <w:rPr>
                <w:lang w:eastAsia="ja-JP"/>
              </w:rPr>
              <w:t xml:space="preserve"> water accounting period.</w:t>
            </w:r>
          </w:p>
        </w:tc>
      </w:tr>
    </w:tbl>
    <w:p w14:paraId="3CD9DB8D" w14:textId="0CC892C2" w:rsidR="005F01D9" w:rsidRDefault="005F01D9">
      <w:pPr>
        <w:suppressAutoHyphens w:val="0"/>
        <w:spacing w:before="0" w:after="0" w:line="240" w:lineRule="auto"/>
        <w:sectPr w:rsidR="005F01D9" w:rsidSect="00C46075">
          <w:pgSz w:w="11906" w:h="16838"/>
          <w:pgMar w:top="1440" w:right="1080" w:bottom="1440" w:left="1080" w:header="0" w:footer="720" w:gutter="0"/>
          <w:cols w:space="720"/>
          <w:noEndnote/>
          <w:docGrid w:linePitch="326"/>
        </w:sectPr>
      </w:pPr>
    </w:p>
    <w:p w14:paraId="3745D24D" w14:textId="26ADFCE4" w:rsidR="005F01D9" w:rsidRPr="005F01D9" w:rsidRDefault="005F01D9" w:rsidP="00B3503A">
      <w:pPr>
        <w:suppressAutoHyphens w:val="0"/>
        <w:spacing w:before="5640" w:after="0" w:line="240" w:lineRule="auto"/>
        <w:jc w:val="center"/>
        <w:rPr>
          <w:b/>
          <w:bCs/>
          <w:color w:val="FFFFFF"/>
          <w:sz w:val="30"/>
          <w:szCs w:val="30"/>
        </w:rPr>
      </w:pPr>
      <w:r w:rsidRPr="005F01D9">
        <w:rPr>
          <w:noProof/>
          <w:color w:val="FFFFFF"/>
          <w:sz w:val="30"/>
          <w:szCs w:val="30"/>
        </w:rPr>
        <w:lastRenderedPageBreak/>
        <w:drawing>
          <wp:anchor distT="0" distB="0" distL="114300" distR="114300" simplePos="0" relativeHeight="251658241" behindDoc="1" locked="0" layoutInCell="1" allowOverlap="1" wp14:anchorId="2EDDF57D" wp14:editId="70B2ADE1">
            <wp:simplePos x="0" y="0"/>
            <wp:positionH relativeFrom="column">
              <wp:posOffset>-705485</wp:posOffset>
            </wp:positionH>
            <wp:positionV relativeFrom="paragraph">
              <wp:posOffset>-910590</wp:posOffset>
            </wp:positionV>
            <wp:extent cx="7597140" cy="10751185"/>
            <wp:effectExtent l="0" t="0" r="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97140" cy="10751185"/>
                    </a:xfrm>
                    <a:prstGeom prst="rect">
                      <a:avLst/>
                    </a:prstGeom>
                  </pic:spPr>
                </pic:pic>
              </a:graphicData>
            </a:graphic>
            <wp14:sizeRelH relativeFrom="page">
              <wp14:pctWidth>0</wp14:pctWidth>
            </wp14:sizeRelH>
            <wp14:sizeRelV relativeFrom="page">
              <wp14:pctHeight>0</wp14:pctHeight>
            </wp14:sizeRelV>
          </wp:anchor>
        </w:drawing>
      </w:r>
      <w:hyperlink r:id="rId21" w:history="1">
        <w:r w:rsidRPr="005F01D9">
          <w:rPr>
            <w:rStyle w:val="Hyperlink"/>
            <w:b/>
            <w:bCs/>
            <w:color w:val="FFFFFF"/>
            <w:sz w:val="30"/>
            <w:szCs w:val="30"/>
            <w:u w:val="none"/>
          </w:rPr>
          <w:t>igwc.gov.au</w:t>
        </w:r>
      </w:hyperlink>
    </w:p>
    <w:sectPr w:rsidR="005F01D9" w:rsidRPr="005F01D9" w:rsidSect="007E04C8">
      <w:pgSz w:w="11906" w:h="16838"/>
      <w:pgMar w:top="1440" w:right="1080" w:bottom="1440" w:left="1080" w:header="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1C0E" w14:textId="77777777" w:rsidR="0060148B" w:rsidRDefault="0060148B" w:rsidP="00EA4B7A">
      <w:pPr>
        <w:spacing w:before="0" w:after="0" w:line="240" w:lineRule="auto"/>
      </w:pPr>
      <w:r>
        <w:separator/>
      </w:r>
    </w:p>
  </w:endnote>
  <w:endnote w:type="continuationSeparator" w:id="0">
    <w:p w14:paraId="3EDA75C4" w14:textId="77777777" w:rsidR="0060148B" w:rsidRDefault="0060148B" w:rsidP="00EA4B7A">
      <w:pPr>
        <w:spacing w:before="0" w:after="0" w:line="240" w:lineRule="auto"/>
      </w:pPr>
      <w:r>
        <w:continuationSeparator/>
      </w:r>
    </w:p>
  </w:endnote>
  <w:endnote w:type="continuationNotice" w:id="1">
    <w:p w14:paraId="2858057A" w14:textId="77777777" w:rsidR="0060148B" w:rsidRDefault="006014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Roc Grotesk Medium">
    <w:altName w:val="Calibri"/>
    <w:panose1 w:val="00000000000000000000"/>
    <w:charset w:val="00"/>
    <w:family w:val="modern"/>
    <w:notTrueType/>
    <w:pitch w:val="variable"/>
    <w:sig w:usb0="00000007" w:usb1="00000000"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RocGrotesk-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c Grotesk">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14A4" w14:textId="49BF3DCB" w:rsidR="00EA4B7A" w:rsidRDefault="00577F04" w:rsidP="00577F04">
    <w:pPr>
      <w:pStyle w:val="Footer"/>
      <w:tabs>
        <w:tab w:val="clear" w:pos="4513"/>
        <w:tab w:val="clear" w:pos="9026"/>
        <w:tab w:val="center" w:pos="9639"/>
      </w:tabs>
      <w:jc w:val="left"/>
    </w:pPr>
    <w:r>
      <w:rPr>
        <w:noProof/>
      </w:rPr>
      <w:drawing>
        <wp:anchor distT="0" distB="0" distL="114300" distR="114300" simplePos="0" relativeHeight="251659264" behindDoc="1" locked="0" layoutInCell="1" allowOverlap="1" wp14:anchorId="1DEB75BF" wp14:editId="2041B741">
          <wp:simplePos x="0" y="0"/>
          <wp:positionH relativeFrom="column">
            <wp:posOffset>5019530</wp:posOffset>
          </wp:positionH>
          <wp:positionV relativeFrom="paragraph">
            <wp:posOffset>-1268095</wp:posOffset>
          </wp:positionV>
          <wp:extent cx="2194769" cy="2623632"/>
          <wp:effectExtent l="0" t="0" r="2540" b="5715"/>
          <wp:wrapNone/>
          <wp:docPr id="527834580" name="Picture 5278345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alphaModFix amt="36000"/>
                  </a:blip>
                  <a:stretch>
                    <a:fillRect/>
                  </a:stretch>
                </pic:blipFill>
                <pic:spPr>
                  <a:xfrm>
                    <a:off x="0" y="0"/>
                    <a:ext cx="2194769" cy="2623632"/>
                  </a:xfrm>
                  <a:prstGeom prst="rect">
                    <a:avLst/>
                  </a:prstGeom>
                </pic:spPr>
              </pic:pic>
            </a:graphicData>
          </a:graphic>
          <wp14:sizeRelH relativeFrom="page">
            <wp14:pctWidth>0</wp14:pctWidth>
          </wp14:sizeRelH>
          <wp14:sizeRelV relativeFrom="page">
            <wp14:pctHeight>0</wp14:pctHeight>
          </wp14:sizeRelV>
        </wp:anchor>
      </w:drawing>
    </w:r>
    <w:r w:rsidR="00EA4B7A" w:rsidRPr="0091189E">
      <w:t>Inspector</w:t>
    </w:r>
    <w:r w:rsidR="00EA4B7A">
      <w:t>-</w:t>
    </w:r>
    <w:r w:rsidR="00EA4B7A" w:rsidRPr="0091189E">
      <w:t>General of Water Compliance</w:t>
    </w:r>
    <w:r>
      <w:tab/>
    </w:r>
    <w:r w:rsidR="00EA4B7A">
      <w:fldChar w:fldCharType="begin"/>
    </w:r>
    <w:r w:rsidR="00EA4B7A">
      <w:instrText xml:space="preserve"> PAGE   \* MERGEFORMAT </w:instrText>
    </w:r>
    <w:r w:rsidR="00EA4B7A">
      <w:fldChar w:fldCharType="separate"/>
    </w:r>
    <w:r w:rsidR="00EA4B7A">
      <w:t>iii</w:t>
    </w:r>
    <w:r w:rsidR="00EA4B7A">
      <w:rPr>
        <w:noProof/>
      </w:rPr>
      <w:fldChar w:fldCharType="end"/>
    </w:r>
  </w:p>
  <w:p w14:paraId="3C38AB34" w14:textId="77777777" w:rsidR="009E1E58" w:rsidRDefault="009E1E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AE10" w14:textId="77777777" w:rsidR="0060148B" w:rsidRDefault="0060148B" w:rsidP="00EA4B7A">
      <w:pPr>
        <w:spacing w:before="0" w:after="0" w:line="240" w:lineRule="auto"/>
      </w:pPr>
      <w:r>
        <w:separator/>
      </w:r>
    </w:p>
  </w:footnote>
  <w:footnote w:type="continuationSeparator" w:id="0">
    <w:p w14:paraId="2A46DDFF" w14:textId="77777777" w:rsidR="0060148B" w:rsidRDefault="0060148B" w:rsidP="00EA4B7A">
      <w:pPr>
        <w:spacing w:before="0" w:after="0" w:line="240" w:lineRule="auto"/>
      </w:pPr>
      <w:r>
        <w:continuationSeparator/>
      </w:r>
    </w:p>
  </w:footnote>
  <w:footnote w:type="continuationNotice" w:id="1">
    <w:p w14:paraId="7603B88F" w14:textId="77777777" w:rsidR="0060148B" w:rsidRDefault="0060148B">
      <w:pPr>
        <w:spacing w:before="0" w:after="0" w:line="240" w:lineRule="auto"/>
      </w:pPr>
    </w:p>
  </w:footnote>
  <w:footnote w:id="2">
    <w:p w14:paraId="6C2B86DA" w14:textId="3B077EE9" w:rsidR="0098298E" w:rsidRPr="00761AFE" w:rsidRDefault="0098298E">
      <w:pPr>
        <w:pStyle w:val="FootnoteText"/>
        <w:rPr>
          <w:sz w:val="18"/>
          <w:szCs w:val="18"/>
        </w:rPr>
      </w:pPr>
      <w:r w:rsidRPr="00761AFE">
        <w:rPr>
          <w:rStyle w:val="FootnoteReference"/>
          <w:sz w:val="18"/>
          <w:szCs w:val="18"/>
        </w:rPr>
        <w:footnoteRef/>
      </w:r>
      <w:r w:rsidRPr="00761AFE">
        <w:rPr>
          <w:sz w:val="18"/>
          <w:szCs w:val="18"/>
        </w:rPr>
        <w:t xml:space="preserve"> ACCC</w:t>
      </w:r>
      <w:r w:rsidR="00321141" w:rsidRPr="00761AFE">
        <w:rPr>
          <w:sz w:val="18"/>
          <w:szCs w:val="18"/>
        </w:rPr>
        <w:t xml:space="preserve"> Water trading rules final advice</w:t>
      </w:r>
      <w:r w:rsidR="009933AF" w:rsidRPr="00761AFE">
        <w:rPr>
          <w:sz w:val="18"/>
          <w:szCs w:val="18"/>
        </w:rPr>
        <w:t>:</w:t>
      </w:r>
      <w:r w:rsidR="00321141" w:rsidRPr="00761AFE">
        <w:rPr>
          <w:sz w:val="18"/>
          <w:szCs w:val="18"/>
        </w:rPr>
        <w:t xml:space="preserve"> Chapter 9</w:t>
      </w:r>
      <w:r w:rsidR="00232934" w:rsidRPr="00761AFE">
        <w:rPr>
          <w:sz w:val="18"/>
          <w:szCs w:val="18"/>
        </w:rPr>
        <w:t xml:space="preserve"> – Reporting and the availability of information.</w:t>
      </w:r>
    </w:p>
  </w:footnote>
  <w:footnote w:id="3">
    <w:p w14:paraId="7119409E" w14:textId="6D14FF6F" w:rsidR="0040053D" w:rsidRPr="00761AFE" w:rsidRDefault="0040053D">
      <w:pPr>
        <w:pStyle w:val="FootnoteText"/>
        <w:rPr>
          <w:sz w:val="18"/>
          <w:szCs w:val="18"/>
        </w:rPr>
      </w:pPr>
      <w:r w:rsidRPr="00761AFE">
        <w:rPr>
          <w:rStyle w:val="FootnoteReference"/>
          <w:sz w:val="18"/>
          <w:szCs w:val="18"/>
        </w:rPr>
        <w:footnoteRef/>
      </w:r>
      <w:r w:rsidRPr="00761AFE">
        <w:rPr>
          <w:sz w:val="18"/>
          <w:szCs w:val="18"/>
        </w:rPr>
        <w:t xml:space="preserve"> </w:t>
      </w:r>
      <w:r w:rsidR="00FD08DE" w:rsidRPr="00761AFE">
        <w:rPr>
          <w:sz w:val="18"/>
          <w:szCs w:val="18"/>
        </w:rPr>
        <w:t>2012</w:t>
      </w:r>
      <w:r w:rsidR="00DA218D" w:rsidRPr="00761AFE">
        <w:rPr>
          <w:sz w:val="18"/>
          <w:szCs w:val="18"/>
        </w:rPr>
        <w:t xml:space="preserve"> – Basin Plan – Explanatory memorandum at p141.</w:t>
      </w:r>
    </w:p>
  </w:footnote>
  <w:footnote w:id="4">
    <w:p w14:paraId="55199D1F" w14:textId="23377537" w:rsidR="00310859" w:rsidRPr="00761AFE" w:rsidRDefault="00310859">
      <w:pPr>
        <w:pStyle w:val="FootnoteText"/>
        <w:rPr>
          <w:sz w:val="18"/>
          <w:szCs w:val="18"/>
        </w:rPr>
      </w:pPr>
      <w:r w:rsidRPr="00761AFE">
        <w:rPr>
          <w:rStyle w:val="FootnoteReference"/>
          <w:sz w:val="18"/>
          <w:szCs w:val="18"/>
        </w:rPr>
        <w:footnoteRef/>
      </w:r>
      <w:r w:rsidRPr="00761AFE">
        <w:rPr>
          <w:sz w:val="18"/>
          <w:szCs w:val="18"/>
        </w:rPr>
        <w:t xml:space="preserve"> Section 12.48 of the Basin Plan 2012.</w:t>
      </w:r>
    </w:p>
  </w:footnote>
  <w:footnote w:id="5">
    <w:p w14:paraId="715D8BB3" w14:textId="5FDDF6B0" w:rsidR="0058603E" w:rsidRPr="00761AFE" w:rsidRDefault="0058603E">
      <w:pPr>
        <w:pStyle w:val="FootnoteText"/>
        <w:rPr>
          <w:sz w:val="18"/>
          <w:szCs w:val="18"/>
        </w:rPr>
      </w:pPr>
      <w:r w:rsidRPr="00761AFE">
        <w:rPr>
          <w:rStyle w:val="FootnoteReference"/>
          <w:sz w:val="18"/>
          <w:szCs w:val="18"/>
        </w:rPr>
        <w:footnoteRef/>
      </w:r>
      <w:r w:rsidRPr="00761AFE">
        <w:rPr>
          <w:sz w:val="18"/>
          <w:szCs w:val="18"/>
        </w:rPr>
        <w:t xml:space="preserve"> </w:t>
      </w:r>
      <w:r w:rsidR="00ED25B6" w:rsidRPr="00761AFE">
        <w:rPr>
          <w:sz w:val="18"/>
          <w:szCs w:val="18"/>
        </w:rPr>
        <w:t xml:space="preserve">Refer </w:t>
      </w:r>
      <w:r w:rsidR="00D11BF6" w:rsidRPr="00761AFE">
        <w:rPr>
          <w:sz w:val="18"/>
          <w:szCs w:val="18"/>
        </w:rPr>
        <w:t xml:space="preserve">to the </w:t>
      </w:r>
      <w:r w:rsidR="00ED25B6" w:rsidRPr="00761AFE">
        <w:rPr>
          <w:sz w:val="18"/>
          <w:szCs w:val="18"/>
        </w:rPr>
        <w:t xml:space="preserve">Glossary </w:t>
      </w:r>
      <w:r w:rsidR="004A4433" w:rsidRPr="00761AFE">
        <w:rPr>
          <w:sz w:val="18"/>
          <w:szCs w:val="18"/>
        </w:rPr>
        <w:t>for the definition of</w:t>
      </w:r>
      <w:r w:rsidR="00D11BF6" w:rsidRPr="00761AFE">
        <w:rPr>
          <w:sz w:val="18"/>
          <w:szCs w:val="18"/>
        </w:rPr>
        <w:t xml:space="preserve"> a</w:t>
      </w:r>
      <w:r w:rsidR="004A4433" w:rsidRPr="00761AFE">
        <w:rPr>
          <w:sz w:val="18"/>
          <w:szCs w:val="18"/>
        </w:rPr>
        <w:t xml:space="preserve"> ‘water access right’. These investigations </w:t>
      </w:r>
      <w:r w:rsidR="00063C2C" w:rsidRPr="00761AFE">
        <w:rPr>
          <w:sz w:val="18"/>
          <w:szCs w:val="18"/>
        </w:rPr>
        <w:t xml:space="preserve">examined </w:t>
      </w:r>
      <w:r w:rsidR="004A4433" w:rsidRPr="00761AFE">
        <w:rPr>
          <w:sz w:val="18"/>
          <w:szCs w:val="18"/>
        </w:rPr>
        <w:t xml:space="preserve">allocation trades </w:t>
      </w:r>
      <w:r w:rsidR="00063C2C" w:rsidRPr="00761AFE">
        <w:rPr>
          <w:sz w:val="18"/>
          <w:szCs w:val="18"/>
        </w:rPr>
        <w:t xml:space="preserve">(often </w:t>
      </w:r>
      <w:r w:rsidRPr="00761AFE">
        <w:rPr>
          <w:sz w:val="18"/>
          <w:szCs w:val="18"/>
        </w:rPr>
        <w:t xml:space="preserve">referred to </w:t>
      </w:r>
      <w:r w:rsidR="00063C2C" w:rsidRPr="00761AFE">
        <w:rPr>
          <w:sz w:val="18"/>
          <w:szCs w:val="18"/>
        </w:rPr>
        <w:t xml:space="preserve">in NSW </w:t>
      </w:r>
      <w:r w:rsidRPr="00761AFE">
        <w:rPr>
          <w:sz w:val="18"/>
          <w:szCs w:val="18"/>
        </w:rPr>
        <w:t>as ‘temporary trade’</w:t>
      </w:r>
      <w:r w:rsidR="00063C2C" w:rsidRPr="00761AFE">
        <w:rPr>
          <w:sz w:val="18"/>
          <w:szCs w:val="18"/>
        </w:rPr>
        <w:t>)</w:t>
      </w:r>
      <w:r w:rsidRPr="00761AFE">
        <w:rPr>
          <w:sz w:val="18"/>
          <w:szCs w:val="18"/>
        </w:rPr>
        <w:t>.</w:t>
      </w:r>
    </w:p>
  </w:footnote>
  <w:footnote w:id="6">
    <w:p w14:paraId="28F75406" w14:textId="77777777" w:rsidR="00532047" w:rsidRPr="00761AFE" w:rsidRDefault="00532047" w:rsidP="00532047">
      <w:pPr>
        <w:pStyle w:val="FootnoteText"/>
        <w:rPr>
          <w:sz w:val="18"/>
          <w:szCs w:val="18"/>
        </w:rPr>
      </w:pPr>
      <w:r w:rsidRPr="00761AFE">
        <w:rPr>
          <w:rStyle w:val="FootnoteReference"/>
          <w:sz w:val="18"/>
          <w:szCs w:val="18"/>
        </w:rPr>
        <w:footnoteRef/>
      </w:r>
      <w:r w:rsidRPr="00761AFE">
        <w:rPr>
          <w:sz w:val="18"/>
          <w:szCs w:val="18"/>
        </w:rPr>
        <w:t xml:space="preserve"> In NSW see </w:t>
      </w:r>
      <w:hyperlink r:id="rId1" w:history="1">
        <w:r w:rsidRPr="00761AFE">
          <w:rPr>
            <w:rStyle w:val="Hyperlink"/>
            <w:rFonts w:asciiTheme="minorHAnsi" w:hAnsiTheme="minorHAnsi"/>
            <w:sz w:val="18"/>
            <w:szCs w:val="18"/>
          </w:rPr>
          <w:t>Form 71</w:t>
        </w:r>
      </w:hyperlink>
      <w:r w:rsidRPr="00761AFE">
        <w:rPr>
          <w:sz w:val="18"/>
          <w:szCs w:val="18"/>
        </w:rPr>
        <w:t xml:space="preserve"> – Application to assign surface water allocation.</w:t>
      </w:r>
    </w:p>
  </w:footnote>
  <w:footnote w:id="7">
    <w:p w14:paraId="0E029D07" w14:textId="0009C233" w:rsidR="00B976D4" w:rsidRPr="00761AFE" w:rsidRDefault="00B976D4">
      <w:pPr>
        <w:pStyle w:val="FootnoteText"/>
        <w:rPr>
          <w:sz w:val="18"/>
          <w:szCs w:val="18"/>
        </w:rPr>
      </w:pPr>
      <w:r w:rsidRPr="00761AFE">
        <w:rPr>
          <w:rStyle w:val="FootnoteReference"/>
          <w:sz w:val="18"/>
          <w:szCs w:val="18"/>
        </w:rPr>
        <w:footnoteRef/>
      </w:r>
      <w:r w:rsidRPr="00761AFE">
        <w:rPr>
          <w:sz w:val="18"/>
          <w:szCs w:val="18"/>
        </w:rPr>
        <w:t xml:space="preserve"> </w:t>
      </w:r>
      <w:hyperlink r:id="rId2" w:history="1">
        <w:r w:rsidR="0019315F" w:rsidRPr="00761AFE">
          <w:rPr>
            <w:rStyle w:val="Hyperlink"/>
            <w:rFonts w:asciiTheme="minorHAnsi" w:hAnsiTheme="minorHAnsi"/>
            <w:sz w:val="18"/>
            <w:szCs w:val="18"/>
          </w:rPr>
          <w:t xml:space="preserve">2019/20 </w:t>
        </w:r>
        <w:r w:rsidR="003B4F9F" w:rsidRPr="00761AFE">
          <w:rPr>
            <w:rStyle w:val="Hyperlink"/>
            <w:rFonts w:asciiTheme="minorHAnsi" w:hAnsiTheme="minorHAnsi"/>
            <w:sz w:val="18"/>
            <w:szCs w:val="18"/>
          </w:rPr>
          <w:t xml:space="preserve">Australian </w:t>
        </w:r>
        <w:r w:rsidR="0019315F" w:rsidRPr="00761AFE">
          <w:rPr>
            <w:rStyle w:val="Hyperlink"/>
            <w:rFonts w:asciiTheme="minorHAnsi" w:hAnsiTheme="minorHAnsi"/>
            <w:sz w:val="18"/>
            <w:szCs w:val="18"/>
          </w:rPr>
          <w:t>Water Markets report</w:t>
        </w:r>
      </w:hyperlink>
      <w:r w:rsidR="00573762" w:rsidRPr="00761AFE">
        <w:rPr>
          <w:sz w:val="18"/>
          <w:szCs w:val="18"/>
        </w:rPr>
        <w:t xml:space="preserve"> at p33.</w:t>
      </w:r>
    </w:p>
  </w:footnote>
  <w:footnote w:id="8">
    <w:p w14:paraId="361E3398" w14:textId="173DA8F3" w:rsidR="00BF5B21" w:rsidRPr="00761AFE" w:rsidRDefault="00BF5B21">
      <w:pPr>
        <w:pStyle w:val="FootnoteText"/>
        <w:rPr>
          <w:sz w:val="18"/>
          <w:szCs w:val="18"/>
        </w:rPr>
      </w:pPr>
      <w:r w:rsidRPr="00761AFE">
        <w:rPr>
          <w:rStyle w:val="FootnoteReference"/>
          <w:sz w:val="18"/>
          <w:szCs w:val="18"/>
        </w:rPr>
        <w:footnoteRef/>
      </w:r>
      <w:r w:rsidRPr="00761AFE">
        <w:rPr>
          <w:sz w:val="18"/>
          <w:szCs w:val="18"/>
        </w:rPr>
        <w:t xml:space="preserve"> </w:t>
      </w:r>
      <w:r w:rsidR="00452906" w:rsidRPr="00761AFE">
        <w:rPr>
          <w:sz w:val="18"/>
          <w:szCs w:val="18"/>
        </w:rPr>
        <w:t>https://www.igwc.gov.au/about</w:t>
      </w:r>
    </w:p>
  </w:footnote>
  <w:footnote w:id="9">
    <w:p w14:paraId="3FF280F1" w14:textId="77777777" w:rsidR="00005B45" w:rsidRPr="00761AFE" w:rsidRDefault="00005B45" w:rsidP="00005B45">
      <w:pPr>
        <w:pStyle w:val="FootnoteText"/>
        <w:rPr>
          <w:sz w:val="18"/>
          <w:szCs w:val="18"/>
        </w:rPr>
      </w:pPr>
      <w:r w:rsidRPr="00761AFE">
        <w:rPr>
          <w:rStyle w:val="FootnoteReference"/>
          <w:sz w:val="18"/>
          <w:szCs w:val="18"/>
        </w:rPr>
        <w:footnoteRef/>
      </w:r>
      <w:r w:rsidRPr="00761AFE">
        <w:rPr>
          <w:sz w:val="18"/>
          <w:szCs w:val="18"/>
        </w:rPr>
        <w:t xml:space="preserve"> </w:t>
      </w:r>
      <w:bookmarkStart w:id="14" w:name="_Hlk147123886"/>
      <w:r w:rsidRPr="00761AFE">
        <w:rPr>
          <w:sz w:val="18"/>
          <w:szCs w:val="18"/>
        </w:rPr>
        <w:t>Part 10AA of the Water Act 2007 (</w:t>
      </w:r>
      <w:r w:rsidRPr="00761AFE">
        <w:rPr>
          <w:sz w:val="18"/>
          <w:szCs w:val="18"/>
        </w:rPr>
        <w:t>Cth).</w:t>
      </w:r>
      <w:bookmarkEnd w:id="14"/>
    </w:p>
  </w:footnote>
  <w:footnote w:id="10">
    <w:p w14:paraId="55497BE2" w14:textId="77777777" w:rsidR="00005B45" w:rsidRPr="00761AFE" w:rsidRDefault="00005B45" w:rsidP="00005B45">
      <w:pPr>
        <w:pStyle w:val="FootnoteText"/>
        <w:rPr>
          <w:sz w:val="18"/>
          <w:szCs w:val="18"/>
        </w:rPr>
      </w:pPr>
      <w:r w:rsidRPr="00761AFE">
        <w:rPr>
          <w:rStyle w:val="FootnoteReference"/>
          <w:sz w:val="18"/>
          <w:szCs w:val="18"/>
        </w:rPr>
        <w:footnoteRef/>
      </w:r>
      <w:r w:rsidRPr="00761AFE">
        <w:rPr>
          <w:sz w:val="18"/>
          <w:szCs w:val="18"/>
        </w:rPr>
        <w:t xml:space="preserve"> Part 8 of the Water Act 2007 (</w:t>
      </w:r>
      <w:r w:rsidRPr="00761AFE">
        <w:rPr>
          <w:sz w:val="18"/>
          <w:szCs w:val="18"/>
        </w:rPr>
        <w:t>Cth); section 137(a) Water Act.</w:t>
      </w:r>
    </w:p>
  </w:footnote>
  <w:footnote w:id="11">
    <w:p w14:paraId="7F22813D" w14:textId="77777777" w:rsidR="00005B45" w:rsidRPr="00761AFE" w:rsidRDefault="00005B45" w:rsidP="00005B45">
      <w:pPr>
        <w:pStyle w:val="FootnoteText"/>
        <w:rPr>
          <w:sz w:val="18"/>
          <w:szCs w:val="18"/>
        </w:rPr>
      </w:pPr>
      <w:r w:rsidRPr="00761AFE">
        <w:rPr>
          <w:rStyle w:val="FootnoteReference"/>
          <w:sz w:val="18"/>
          <w:szCs w:val="18"/>
        </w:rPr>
        <w:footnoteRef/>
      </w:r>
      <w:r w:rsidRPr="00761AFE">
        <w:rPr>
          <w:sz w:val="18"/>
          <w:szCs w:val="18"/>
        </w:rPr>
        <w:t xml:space="preserve"> Basin Plan 2012.</w:t>
      </w:r>
    </w:p>
  </w:footnote>
  <w:footnote w:id="12">
    <w:p w14:paraId="1504CF8A" w14:textId="791A42C6" w:rsidR="00E31F88" w:rsidRPr="00761AFE" w:rsidRDefault="00E31F88">
      <w:pPr>
        <w:pStyle w:val="FootnoteText"/>
        <w:rPr>
          <w:sz w:val="18"/>
          <w:szCs w:val="18"/>
        </w:rPr>
      </w:pPr>
      <w:r w:rsidRPr="00761AFE">
        <w:rPr>
          <w:rStyle w:val="FootnoteReference"/>
          <w:sz w:val="18"/>
          <w:szCs w:val="18"/>
        </w:rPr>
        <w:footnoteRef/>
      </w:r>
      <w:r w:rsidRPr="00761AFE">
        <w:rPr>
          <w:sz w:val="18"/>
          <w:szCs w:val="18"/>
        </w:rPr>
        <w:t xml:space="preserve"> Section 215E</w:t>
      </w:r>
      <w:r w:rsidR="00FD58FA" w:rsidRPr="00761AFE">
        <w:rPr>
          <w:sz w:val="18"/>
          <w:szCs w:val="18"/>
        </w:rPr>
        <w:t xml:space="preserve"> Water Act.</w:t>
      </w:r>
    </w:p>
  </w:footnote>
  <w:footnote w:id="13">
    <w:p w14:paraId="21F2B51B" w14:textId="11393F26" w:rsidR="005A4BD5" w:rsidRDefault="005A4BD5">
      <w:pPr>
        <w:pStyle w:val="FootnoteText"/>
      </w:pPr>
      <w:r w:rsidRPr="00761AFE">
        <w:rPr>
          <w:rStyle w:val="FootnoteReference"/>
          <w:sz w:val="18"/>
          <w:szCs w:val="18"/>
        </w:rPr>
        <w:footnoteRef/>
      </w:r>
      <w:r w:rsidRPr="00761AFE">
        <w:rPr>
          <w:sz w:val="18"/>
          <w:szCs w:val="18"/>
        </w:rPr>
        <w:t xml:space="preserve"> </w:t>
      </w:r>
      <w:r w:rsidR="006128F5" w:rsidRPr="00761AFE">
        <w:rPr>
          <w:sz w:val="18"/>
          <w:szCs w:val="18"/>
        </w:rPr>
        <w:t>The NSW M</w:t>
      </w:r>
      <w:r w:rsidR="00CF2F10" w:rsidRPr="00761AFE">
        <w:rPr>
          <w:sz w:val="18"/>
          <w:szCs w:val="18"/>
        </w:rPr>
        <w:t>acq</w:t>
      </w:r>
      <w:r w:rsidR="006128F5" w:rsidRPr="00761AFE">
        <w:rPr>
          <w:sz w:val="18"/>
          <w:szCs w:val="18"/>
        </w:rPr>
        <w:t>uarie region</w:t>
      </w:r>
      <w:r w:rsidR="00944B30" w:rsidRPr="00761AFE">
        <w:rPr>
          <w:sz w:val="18"/>
          <w:szCs w:val="18"/>
        </w:rPr>
        <w:t xml:space="preserve"> </w:t>
      </w:r>
      <w:r w:rsidR="00883B02" w:rsidRPr="00761AFE">
        <w:rPr>
          <w:sz w:val="18"/>
          <w:szCs w:val="18"/>
        </w:rPr>
        <w:t xml:space="preserve">water </w:t>
      </w:r>
      <w:r w:rsidR="00944B30" w:rsidRPr="00761AFE">
        <w:rPr>
          <w:sz w:val="18"/>
          <w:szCs w:val="18"/>
        </w:rPr>
        <w:t xml:space="preserve">access licence </w:t>
      </w:r>
      <w:r w:rsidR="0006717A" w:rsidRPr="00761AFE">
        <w:rPr>
          <w:sz w:val="18"/>
          <w:szCs w:val="18"/>
        </w:rPr>
        <w:t>d</w:t>
      </w:r>
      <w:r w:rsidR="00944B30" w:rsidRPr="00761AFE">
        <w:rPr>
          <w:sz w:val="18"/>
          <w:szCs w:val="18"/>
        </w:rPr>
        <w:t>ealing rules</w:t>
      </w:r>
      <w:r w:rsidR="00925AE8" w:rsidRPr="00761AFE">
        <w:rPr>
          <w:sz w:val="18"/>
          <w:szCs w:val="18"/>
        </w:rPr>
        <w:t xml:space="preserve"> are specified </w:t>
      </w:r>
      <w:r w:rsidR="00944B30" w:rsidRPr="00761AFE">
        <w:rPr>
          <w:sz w:val="18"/>
          <w:szCs w:val="18"/>
        </w:rPr>
        <w:t xml:space="preserve">in the </w:t>
      </w:r>
      <w:hyperlink r:id="rId3" w:history="1">
        <w:r w:rsidR="00925AE8" w:rsidRPr="00761AFE">
          <w:rPr>
            <w:rStyle w:val="Hyperlink"/>
            <w:rFonts w:asciiTheme="minorHAnsi" w:hAnsiTheme="minorHAnsi"/>
            <w:sz w:val="18"/>
            <w:szCs w:val="18"/>
          </w:rPr>
          <w:t>W</w:t>
        </w:r>
        <w:r w:rsidR="00944B30" w:rsidRPr="00761AFE">
          <w:rPr>
            <w:rStyle w:val="Hyperlink"/>
            <w:rFonts w:asciiTheme="minorHAnsi" w:hAnsiTheme="minorHAnsi"/>
            <w:sz w:val="18"/>
            <w:szCs w:val="18"/>
          </w:rPr>
          <w:t xml:space="preserve">ater </w:t>
        </w:r>
        <w:r w:rsidR="00925AE8" w:rsidRPr="00761AFE">
          <w:rPr>
            <w:rStyle w:val="Hyperlink"/>
            <w:rFonts w:asciiTheme="minorHAnsi" w:hAnsiTheme="minorHAnsi"/>
            <w:sz w:val="18"/>
            <w:szCs w:val="18"/>
          </w:rPr>
          <w:t>S</w:t>
        </w:r>
        <w:r w:rsidR="00944B30" w:rsidRPr="00761AFE">
          <w:rPr>
            <w:rStyle w:val="Hyperlink"/>
            <w:rFonts w:asciiTheme="minorHAnsi" w:hAnsiTheme="minorHAnsi"/>
            <w:sz w:val="18"/>
            <w:szCs w:val="18"/>
          </w:rPr>
          <w:t xml:space="preserve">haring </w:t>
        </w:r>
        <w:r w:rsidR="00925AE8" w:rsidRPr="00761AFE">
          <w:rPr>
            <w:rStyle w:val="Hyperlink"/>
            <w:rFonts w:asciiTheme="minorHAnsi" w:hAnsiTheme="minorHAnsi"/>
            <w:sz w:val="18"/>
            <w:szCs w:val="18"/>
          </w:rPr>
          <w:t>P</w:t>
        </w:r>
        <w:r w:rsidR="00944B30" w:rsidRPr="00761AFE">
          <w:rPr>
            <w:rStyle w:val="Hyperlink"/>
            <w:rFonts w:asciiTheme="minorHAnsi" w:hAnsiTheme="minorHAnsi"/>
            <w:sz w:val="18"/>
            <w:szCs w:val="18"/>
          </w:rPr>
          <w:t>lan for the M</w:t>
        </w:r>
        <w:r w:rsidR="00CF2F10" w:rsidRPr="00761AFE">
          <w:rPr>
            <w:rStyle w:val="Hyperlink"/>
            <w:rFonts w:asciiTheme="minorHAnsi" w:hAnsiTheme="minorHAnsi"/>
            <w:sz w:val="18"/>
            <w:szCs w:val="18"/>
          </w:rPr>
          <w:t>acq</w:t>
        </w:r>
        <w:r w:rsidR="00944B30" w:rsidRPr="00761AFE">
          <w:rPr>
            <w:rStyle w:val="Hyperlink"/>
            <w:rFonts w:asciiTheme="minorHAnsi" w:hAnsiTheme="minorHAnsi"/>
            <w:sz w:val="18"/>
            <w:szCs w:val="18"/>
          </w:rPr>
          <w:t>uarie and C</w:t>
        </w:r>
        <w:r w:rsidR="00925AE8" w:rsidRPr="00761AFE">
          <w:rPr>
            <w:rStyle w:val="Hyperlink"/>
            <w:rFonts w:asciiTheme="minorHAnsi" w:hAnsiTheme="minorHAnsi"/>
            <w:sz w:val="18"/>
            <w:szCs w:val="18"/>
          </w:rPr>
          <w:t>udge</w:t>
        </w:r>
        <w:r w:rsidR="00944B30" w:rsidRPr="00761AFE">
          <w:rPr>
            <w:rStyle w:val="Hyperlink"/>
            <w:rFonts w:asciiTheme="minorHAnsi" w:hAnsiTheme="minorHAnsi"/>
            <w:sz w:val="18"/>
            <w:szCs w:val="18"/>
          </w:rPr>
          <w:t>gong Regulated Rivers Water</w:t>
        </w:r>
        <w:r w:rsidR="00B011BC" w:rsidRPr="00761AFE">
          <w:rPr>
            <w:rStyle w:val="Hyperlink"/>
            <w:rFonts w:asciiTheme="minorHAnsi" w:hAnsiTheme="minorHAnsi"/>
            <w:sz w:val="18"/>
            <w:szCs w:val="18"/>
          </w:rPr>
          <w:t xml:space="preserve"> Source 2016</w:t>
        </w:r>
      </w:hyperlink>
      <w:r w:rsidR="006D117A" w:rsidRPr="00761AFE">
        <w:rPr>
          <w:sz w:val="18"/>
          <w:szCs w:val="18"/>
        </w:rPr>
        <w:t xml:space="preserve"> (see Part </w:t>
      </w:r>
      <w:r w:rsidR="004A05A8" w:rsidRPr="00761AFE">
        <w:rPr>
          <w:sz w:val="18"/>
          <w:szCs w:val="18"/>
        </w:rPr>
        <w:t>9</w:t>
      </w:r>
      <w:r w:rsidR="006D117A" w:rsidRPr="00761AFE">
        <w:rPr>
          <w:sz w:val="18"/>
          <w:szCs w:val="18"/>
        </w:rPr>
        <w:t>).</w:t>
      </w:r>
    </w:p>
  </w:footnote>
  <w:footnote w:id="14">
    <w:p w14:paraId="310FCAEC" w14:textId="77777777" w:rsidR="0015127A" w:rsidRPr="00761AFE" w:rsidRDefault="0015127A" w:rsidP="0015127A">
      <w:pPr>
        <w:pStyle w:val="FootnoteText"/>
        <w:rPr>
          <w:sz w:val="18"/>
          <w:szCs w:val="18"/>
        </w:rPr>
      </w:pPr>
      <w:r>
        <w:rPr>
          <w:rStyle w:val="FootnoteReference"/>
        </w:rPr>
        <w:footnoteRef/>
      </w:r>
      <w:r>
        <w:t xml:space="preserve"> </w:t>
      </w:r>
      <w:hyperlink r:id="rId4" w:history="1">
        <w:r w:rsidRPr="00761AFE">
          <w:rPr>
            <w:rStyle w:val="Hyperlink"/>
            <w:rFonts w:asciiTheme="minorHAnsi" w:hAnsiTheme="minorHAnsi"/>
            <w:sz w:val="18"/>
            <w:szCs w:val="18"/>
          </w:rPr>
          <w:t>Water Trade Price Reporting Audit</w:t>
        </w:r>
      </w:hyperlink>
      <w:r w:rsidRPr="00761AFE">
        <w:rPr>
          <w:sz w:val="18"/>
          <w:szCs w:val="18"/>
        </w:rPr>
        <w:t>, MDBA – 29 May 2018.</w:t>
      </w:r>
    </w:p>
  </w:footnote>
  <w:footnote w:id="15">
    <w:p w14:paraId="71A47F46" w14:textId="77777777" w:rsidR="0081159F" w:rsidRPr="00761AFE" w:rsidRDefault="0081159F" w:rsidP="0081159F">
      <w:pPr>
        <w:pStyle w:val="FootnoteText"/>
        <w:rPr>
          <w:sz w:val="18"/>
          <w:szCs w:val="18"/>
        </w:rPr>
      </w:pPr>
      <w:r w:rsidRPr="00761AFE">
        <w:rPr>
          <w:rStyle w:val="FootnoteReference"/>
          <w:sz w:val="18"/>
          <w:szCs w:val="18"/>
        </w:rPr>
        <w:footnoteRef/>
      </w:r>
      <w:r w:rsidRPr="00761AFE">
        <w:rPr>
          <w:sz w:val="18"/>
          <w:szCs w:val="18"/>
        </w:rPr>
        <w:t xml:space="preserve"> Ibid.</w:t>
      </w:r>
    </w:p>
  </w:footnote>
  <w:footnote w:id="16">
    <w:p w14:paraId="15B7FB49" w14:textId="5CCACF2E" w:rsidR="005A3C63" w:rsidRPr="00761AFE" w:rsidRDefault="005A3C63">
      <w:pPr>
        <w:pStyle w:val="FootnoteText"/>
        <w:rPr>
          <w:sz w:val="18"/>
          <w:szCs w:val="18"/>
        </w:rPr>
      </w:pPr>
      <w:r w:rsidRPr="00761AFE">
        <w:rPr>
          <w:rStyle w:val="FootnoteReference"/>
          <w:sz w:val="18"/>
          <w:szCs w:val="18"/>
        </w:rPr>
        <w:footnoteRef/>
      </w:r>
      <w:r w:rsidRPr="00761AFE">
        <w:rPr>
          <w:sz w:val="18"/>
          <w:szCs w:val="18"/>
        </w:rPr>
        <w:t xml:space="preserve"> </w:t>
      </w:r>
      <w:bookmarkStart w:id="35" w:name="_Hlk147132534"/>
      <w:r w:rsidR="00BD1827" w:rsidRPr="00761AFE">
        <w:rPr>
          <w:sz w:val="18"/>
          <w:szCs w:val="18"/>
        </w:rPr>
        <w:fldChar w:fldCharType="begin"/>
      </w:r>
      <w:r w:rsidR="00BD1827" w:rsidRPr="00761AFE">
        <w:rPr>
          <w:sz w:val="18"/>
          <w:szCs w:val="18"/>
        </w:rPr>
        <w:instrText>HYPERLINK "https://www.mdba.gov.au/sites/default/files/publications/trade-price-audit-process0.pdf"</w:instrText>
      </w:r>
      <w:r w:rsidR="00BD1827" w:rsidRPr="00761AFE">
        <w:rPr>
          <w:sz w:val="18"/>
          <w:szCs w:val="18"/>
        </w:rPr>
      </w:r>
      <w:r w:rsidR="00BD1827" w:rsidRPr="00761AFE">
        <w:rPr>
          <w:sz w:val="18"/>
          <w:szCs w:val="18"/>
        </w:rPr>
        <w:fldChar w:fldCharType="separate"/>
      </w:r>
      <w:r w:rsidRPr="00761AFE">
        <w:rPr>
          <w:rStyle w:val="Hyperlink"/>
          <w:rFonts w:asciiTheme="minorHAnsi" w:hAnsiTheme="minorHAnsi"/>
          <w:sz w:val="18"/>
          <w:szCs w:val="18"/>
        </w:rPr>
        <w:t>2019 Water trade price reporting audit</w:t>
      </w:r>
      <w:r w:rsidR="00BD1827" w:rsidRPr="00761AFE">
        <w:rPr>
          <w:sz w:val="18"/>
          <w:szCs w:val="18"/>
        </w:rPr>
        <w:fldChar w:fldCharType="end"/>
      </w:r>
      <w:r w:rsidR="00BD1827" w:rsidRPr="00761AFE">
        <w:rPr>
          <w:sz w:val="18"/>
          <w:szCs w:val="18"/>
        </w:rPr>
        <w:t>.</w:t>
      </w:r>
      <w:bookmarkEnd w:id="35"/>
    </w:p>
  </w:footnote>
  <w:footnote w:id="17">
    <w:p w14:paraId="6DF99B00" w14:textId="77777777" w:rsidR="00130250" w:rsidRPr="00761AFE" w:rsidRDefault="00130250" w:rsidP="00130250">
      <w:pPr>
        <w:pStyle w:val="FootnoteText"/>
        <w:rPr>
          <w:sz w:val="18"/>
          <w:szCs w:val="18"/>
        </w:rPr>
      </w:pPr>
      <w:r w:rsidRPr="00761AFE">
        <w:rPr>
          <w:rStyle w:val="FootnoteReference"/>
          <w:sz w:val="18"/>
          <w:szCs w:val="18"/>
        </w:rPr>
        <w:footnoteRef/>
      </w:r>
      <w:r w:rsidRPr="00761AFE">
        <w:rPr>
          <w:sz w:val="18"/>
          <w:szCs w:val="18"/>
        </w:rPr>
        <w:t xml:space="preserve"> </w:t>
      </w:r>
      <w:hyperlink r:id="rId5" w:history="1">
        <w:r w:rsidRPr="00761AFE">
          <w:rPr>
            <w:rStyle w:val="Hyperlink"/>
            <w:rFonts w:asciiTheme="minorHAnsi" w:hAnsiTheme="minorHAnsi"/>
            <w:sz w:val="18"/>
            <w:szCs w:val="18"/>
          </w:rPr>
          <w:t>Transparency in the NSW water market discussion paper</w:t>
        </w:r>
      </w:hyperlink>
      <w:r w:rsidRPr="00761AFE">
        <w:rPr>
          <w:sz w:val="18"/>
          <w:szCs w:val="18"/>
        </w:rPr>
        <w:t xml:space="preserve"> – November 2020.</w:t>
      </w:r>
    </w:p>
  </w:footnote>
  <w:footnote w:id="18">
    <w:p w14:paraId="663E9DCD" w14:textId="77777777" w:rsidR="00D57BAA" w:rsidRPr="00761AFE" w:rsidRDefault="00D57BAA" w:rsidP="00D57BAA">
      <w:pPr>
        <w:pStyle w:val="FootnoteText"/>
        <w:rPr>
          <w:sz w:val="18"/>
          <w:szCs w:val="18"/>
        </w:rPr>
      </w:pPr>
      <w:r w:rsidRPr="00761AFE">
        <w:rPr>
          <w:rStyle w:val="FootnoteReference"/>
          <w:sz w:val="18"/>
          <w:szCs w:val="18"/>
        </w:rPr>
        <w:footnoteRef/>
      </w:r>
      <w:r w:rsidRPr="00761AFE">
        <w:rPr>
          <w:sz w:val="18"/>
          <w:szCs w:val="18"/>
        </w:rPr>
        <w:t xml:space="preserve"> </w:t>
      </w:r>
      <w:bookmarkStart w:id="38" w:name="_Hlk146784667"/>
      <w:r w:rsidRPr="00761AFE">
        <w:fldChar w:fldCharType="begin"/>
      </w:r>
      <w:r w:rsidRPr="00761AFE">
        <w:rPr>
          <w:sz w:val="18"/>
          <w:szCs w:val="18"/>
        </w:rPr>
        <w:instrText>HYPERLINK "https://www.waternsw.com.au/customer-services/ordering-and-trading/trading-water"</w:instrText>
      </w:r>
      <w:r w:rsidRPr="00761AFE">
        <w:fldChar w:fldCharType="separate"/>
      </w:r>
      <w:r w:rsidRPr="00761AFE">
        <w:rPr>
          <w:rStyle w:val="Hyperlink"/>
          <w:rFonts w:asciiTheme="minorHAnsi" w:hAnsiTheme="minorHAnsi"/>
          <w:sz w:val="18"/>
          <w:szCs w:val="18"/>
        </w:rPr>
        <w:t>Form 71</w:t>
      </w:r>
      <w:r w:rsidRPr="00761AFE">
        <w:rPr>
          <w:rStyle w:val="Hyperlink"/>
          <w:rFonts w:asciiTheme="minorHAnsi" w:hAnsiTheme="minorHAnsi"/>
          <w:sz w:val="18"/>
          <w:szCs w:val="18"/>
        </w:rPr>
        <w:fldChar w:fldCharType="end"/>
      </w:r>
      <w:r w:rsidRPr="00761AFE">
        <w:rPr>
          <w:sz w:val="18"/>
          <w:szCs w:val="18"/>
        </w:rPr>
        <w:t xml:space="preserve"> – Application to assign surface water allocation.</w:t>
      </w:r>
      <w:bookmarkEnd w:id="38"/>
    </w:p>
  </w:footnote>
  <w:footnote w:id="19">
    <w:p w14:paraId="3BB0BE3B" w14:textId="73EDE340" w:rsidR="00286ACD" w:rsidRPr="00761AFE" w:rsidRDefault="00286ACD">
      <w:pPr>
        <w:pStyle w:val="FootnoteText"/>
        <w:rPr>
          <w:sz w:val="18"/>
          <w:szCs w:val="18"/>
        </w:rPr>
      </w:pPr>
      <w:r>
        <w:rPr>
          <w:rStyle w:val="FootnoteReference"/>
        </w:rPr>
        <w:footnoteRef/>
      </w:r>
      <w:r>
        <w:t xml:space="preserve"> </w:t>
      </w:r>
      <w:hyperlink r:id="rId6" w:history="1">
        <w:r w:rsidRPr="00761AFE">
          <w:rPr>
            <w:rStyle w:val="Hyperlink"/>
            <w:rFonts w:asciiTheme="minorHAnsi" w:hAnsiTheme="minorHAnsi"/>
            <w:sz w:val="18"/>
            <w:szCs w:val="18"/>
          </w:rPr>
          <w:t>2019 Water trade price reporting audit</w:t>
        </w:r>
      </w:hyperlink>
      <w:r w:rsidRPr="00761AFE">
        <w:rPr>
          <w:sz w:val="18"/>
          <w:szCs w:val="18"/>
        </w:rPr>
        <w:t>.</w:t>
      </w:r>
    </w:p>
  </w:footnote>
  <w:footnote w:id="20">
    <w:p w14:paraId="4BCEF4EF" w14:textId="77777777" w:rsidR="00416F5A" w:rsidRPr="00761AFE" w:rsidRDefault="00416F5A" w:rsidP="00416F5A">
      <w:pPr>
        <w:pStyle w:val="FootnoteText"/>
        <w:rPr>
          <w:sz w:val="18"/>
          <w:szCs w:val="18"/>
        </w:rPr>
      </w:pPr>
      <w:r w:rsidRPr="00761AFE">
        <w:rPr>
          <w:rStyle w:val="FootnoteReference"/>
          <w:sz w:val="18"/>
          <w:szCs w:val="18"/>
        </w:rPr>
        <w:footnoteRef/>
      </w:r>
      <w:r w:rsidRPr="00761AFE">
        <w:rPr>
          <w:sz w:val="18"/>
          <w:szCs w:val="18"/>
        </w:rPr>
        <w:t xml:space="preserve"> Representing 121 out of 302 water allocation trade transactions in the water year.</w:t>
      </w:r>
    </w:p>
  </w:footnote>
  <w:footnote w:id="21">
    <w:p w14:paraId="03B00BD8" w14:textId="3055745F" w:rsidR="00A5763E" w:rsidRPr="0019715C" w:rsidRDefault="00A5763E">
      <w:pPr>
        <w:pStyle w:val="FootnoteText"/>
        <w:rPr>
          <w:sz w:val="18"/>
          <w:szCs w:val="18"/>
        </w:rPr>
      </w:pPr>
      <w:r w:rsidRPr="0019715C">
        <w:rPr>
          <w:rStyle w:val="FootnoteReference"/>
          <w:sz w:val="18"/>
          <w:szCs w:val="18"/>
        </w:rPr>
        <w:footnoteRef/>
      </w:r>
      <w:r w:rsidRPr="0019715C">
        <w:rPr>
          <w:sz w:val="18"/>
          <w:szCs w:val="18"/>
        </w:rPr>
        <w:t xml:space="preserve"> </w:t>
      </w:r>
      <w:r w:rsidR="00C93C64" w:rsidRPr="0019715C">
        <w:rPr>
          <w:sz w:val="18"/>
          <w:szCs w:val="18"/>
        </w:rPr>
        <w:t>These trades are often where the buyer and seller are the same person or entity, trades within a company, or between different branches of government. The water is moved from one commonly owned WAL to another, rather than being “sold”</w:t>
      </w:r>
      <w:r w:rsidR="0046093D" w:rsidRPr="0019715C">
        <w:rPr>
          <w:sz w:val="18"/>
          <w:szCs w:val="18"/>
        </w:rPr>
        <w:t xml:space="preserve"> (often referred to as </w:t>
      </w:r>
      <w:r w:rsidR="00813F99" w:rsidRPr="0019715C">
        <w:rPr>
          <w:sz w:val="18"/>
          <w:szCs w:val="18"/>
        </w:rPr>
        <w:t>administrative transfers)</w:t>
      </w:r>
      <w:r w:rsidR="00C93C64" w:rsidRPr="0019715C">
        <w:rPr>
          <w:sz w:val="18"/>
          <w:szCs w:val="18"/>
        </w:rPr>
        <w:t>.</w:t>
      </w:r>
    </w:p>
  </w:footnote>
  <w:footnote w:id="22">
    <w:p w14:paraId="1C3B16C1" w14:textId="77777777" w:rsidR="004E6137" w:rsidRPr="0019715C" w:rsidRDefault="004E6137" w:rsidP="004E6137">
      <w:pPr>
        <w:pStyle w:val="FootnoteText"/>
        <w:rPr>
          <w:sz w:val="18"/>
          <w:szCs w:val="18"/>
        </w:rPr>
      </w:pPr>
      <w:r w:rsidRPr="0019715C">
        <w:rPr>
          <w:rStyle w:val="FootnoteReference"/>
          <w:sz w:val="18"/>
          <w:szCs w:val="18"/>
        </w:rPr>
        <w:footnoteRef/>
      </w:r>
      <w:r w:rsidRPr="0019715C">
        <w:rPr>
          <w:sz w:val="18"/>
          <w:szCs w:val="18"/>
        </w:rPr>
        <w:t xml:space="preserve"> For example, a water access entitlement or water allocation.</w:t>
      </w:r>
    </w:p>
  </w:footnote>
  <w:footnote w:id="23">
    <w:p w14:paraId="21E49FFD" w14:textId="77777777" w:rsidR="004E6137" w:rsidRPr="0019715C" w:rsidRDefault="004E6137" w:rsidP="004E6137">
      <w:pPr>
        <w:pStyle w:val="FootnoteText"/>
        <w:rPr>
          <w:sz w:val="18"/>
          <w:szCs w:val="18"/>
        </w:rPr>
      </w:pPr>
      <w:r w:rsidRPr="0019715C">
        <w:rPr>
          <w:rStyle w:val="FootnoteReference"/>
          <w:sz w:val="18"/>
          <w:szCs w:val="18"/>
        </w:rPr>
        <w:footnoteRef/>
      </w:r>
      <w:r w:rsidRPr="0019715C">
        <w:rPr>
          <w:sz w:val="18"/>
          <w:szCs w:val="18"/>
        </w:rPr>
        <w:t xml:space="preserve"> </w:t>
      </w:r>
      <w:hyperlink r:id="rId7" w:history="1">
        <w:r w:rsidRPr="0019715C">
          <w:rPr>
            <w:rStyle w:val="Hyperlink"/>
            <w:rFonts w:asciiTheme="minorHAnsi" w:hAnsiTheme="minorHAnsi"/>
            <w:sz w:val="18"/>
            <w:szCs w:val="18"/>
          </w:rPr>
          <w:t>Form 71</w:t>
        </w:r>
      </w:hyperlink>
      <w:r w:rsidRPr="0019715C">
        <w:rPr>
          <w:sz w:val="18"/>
          <w:szCs w:val="18"/>
        </w:rPr>
        <w:t xml:space="preserve"> – Application to assign surface water allocation. </w:t>
      </w:r>
    </w:p>
    <w:p w14:paraId="5ADA7763" w14:textId="77777777" w:rsidR="004E6137" w:rsidRPr="0019715C" w:rsidRDefault="004E6137" w:rsidP="004E6137">
      <w:pPr>
        <w:pStyle w:val="FootnoteText"/>
        <w:rPr>
          <w:sz w:val="18"/>
          <w:szCs w:val="18"/>
        </w:rPr>
      </w:pPr>
      <w:r w:rsidRPr="0019715C">
        <w:rPr>
          <w:sz w:val="18"/>
          <w:szCs w:val="18"/>
        </w:rPr>
        <w:t xml:space="preserve">Note: </w:t>
      </w:r>
      <w:r w:rsidRPr="0019715C">
        <w:rPr>
          <w:sz w:val="18"/>
          <w:szCs w:val="18"/>
        </w:rPr>
        <w:t>WaterNSW is acting lawfully under current water law requirements to approve those zero-dollar water allocation trade transactions.</w:t>
      </w:r>
    </w:p>
  </w:footnote>
  <w:footnote w:id="24">
    <w:p w14:paraId="3CE42154" w14:textId="77777777" w:rsidR="00110010" w:rsidRPr="0019715C" w:rsidRDefault="00110010" w:rsidP="00110010">
      <w:pPr>
        <w:pStyle w:val="FootnoteText"/>
        <w:rPr>
          <w:sz w:val="18"/>
          <w:szCs w:val="18"/>
        </w:rPr>
      </w:pPr>
      <w:r w:rsidRPr="0019715C">
        <w:rPr>
          <w:rStyle w:val="FootnoteReference"/>
          <w:sz w:val="18"/>
          <w:szCs w:val="18"/>
        </w:rPr>
        <w:footnoteRef/>
      </w:r>
      <w:r w:rsidRPr="0019715C">
        <w:rPr>
          <w:sz w:val="18"/>
          <w:szCs w:val="18"/>
        </w:rPr>
        <w:t xml:space="preserve"> See ‘Areas for reform’, </w:t>
      </w:r>
      <w:hyperlink r:id="rId8" w:history="1">
        <w:r w:rsidRPr="0019715C">
          <w:rPr>
            <w:rStyle w:val="Hyperlink"/>
            <w:rFonts w:asciiTheme="minorHAnsi" w:hAnsiTheme="minorHAnsi"/>
            <w:sz w:val="18"/>
            <w:szCs w:val="18"/>
          </w:rPr>
          <w:t>Water market reform: final roadmap report</w:t>
        </w:r>
      </w:hyperlink>
      <w:r w:rsidRPr="0019715C">
        <w:rPr>
          <w:sz w:val="18"/>
          <w:szCs w:val="18"/>
        </w:rPr>
        <w:t xml:space="preserve"> - September 2022 by Daryl Quinlivan AO, at p13.</w:t>
      </w:r>
    </w:p>
  </w:footnote>
  <w:footnote w:id="25">
    <w:p w14:paraId="16DF6531" w14:textId="77777777" w:rsidR="00110010" w:rsidRDefault="00110010" w:rsidP="00110010">
      <w:pPr>
        <w:pStyle w:val="FootnoteText"/>
      </w:pPr>
      <w:r w:rsidRPr="0019715C">
        <w:rPr>
          <w:rStyle w:val="FootnoteReference"/>
          <w:sz w:val="18"/>
          <w:szCs w:val="18"/>
        </w:rPr>
        <w:footnoteRef/>
      </w:r>
      <w:r w:rsidRPr="0019715C">
        <w:rPr>
          <w:sz w:val="18"/>
          <w:szCs w:val="18"/>
        </w:rPr>
        <w:t xml:space="preserve"> The </w:t>
      </w:r>
      <w:hyperlink r:id="rId9" w:history="1">
        <w:r w:rsidRPr="0019715C">
          <w:rPr>
            <w:rStyle w:val="Hyperlink"/>
            <w:rFonts w:asciiTheme="minorHAnsi" w:hAnsiTheme="minorHAnsi"/>
            <w:sz w:val="18"/>
            <w:szCs w:val="18"/>
          </w:rPr>
          <w:t>ACCC’s Murray-Darling Basin – water markets inquiry</w:t>
        </w:r>
      </w:hyperlink>
      <w:r w:rsidRPr="0019715C">
        <w:rPr>
          <w:sz w:val="18"/>
          <w:szCs w:val="18"/>
        </w:rPr>
        <w:t>, at p 99.</w:t>
      </w:r>
    </w:p>
  </w:footnote>
  <w:footnote w:id="26">
    <w:p w14:paraId="1339BBD4" w14:textId="77777777" w:rsidR="00110010" w:rsidRPr="0019715C" w:rsidRDefault="00110010" w:rsidP="00110010">
      <w:pPr>
        <w:pStyle w:val="FootnoteText"/>
        <w:rPr>
          <w:sz w:val="18"/>
          <w:szCs w:val="18"/>
        </w:rPr>
      </w:pPr>
      <w:r w:rsidRPr="0019715C">
        <w:rPr>
          <w:rStyle w:val="FootnoteReference"/>
          <w:sz w:val="18"/>
          <w:szCs w:val="18"/>
        </w:rPr>
        <w:footnoteRef/>
      </w:r>
      <w:r w:rsidRPr="0019715C">
        <w:rPr>
          <w:sz w:val="18"/>
          <w:szCs w:val="18"/>
        </w:rPr>
        <w:t xml:space="preserve"> To be enforced by the proposed Water Markets Agency (see recommendation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EEC4" w14:textId="7FAA8BD2" w:rsidR="00EA4B7A" w:rsidRDefault="003C6B7A" w:rsidP="00EA4B7A">
    <w:pPr>
      <w:pStyle w:val="Header"/>
      <w:spacing w:before="600"/>
    </w:pPr>
    <w:r>
      <w:t>Investigation – trade price reporting in NSW</w:t>
    </w:r>
  </w:p>
  <w:p w14:paraId="19304B67" w14:textId="77777777" w:rsidR="009E1E58" w:rsidRDefault="009E1E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8F5C" w14:textId="56E845C7" w:rsidR="007E04C8" w:rsidRDefault="007E04C8" w:rsidP="007E04C8">
    <w:pPr>
      <w:pStyle w:val="Header"/>
      <w:spacing w:before="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B04D1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EB8556D"/>
    <w:multiLevelType w:val="hybridMultilevel"/>
    <w:tmpl w:val="0E3EA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B5677"/>
    <w:multiLevelType w:val="hybridMultilevel"/>
    <w:tmpl w:val="99747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7EA2E1F"/>
    <w:multiLevelType w:val="hybridMultilevel"/>
    <w:tmpl w:val="4D36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6" w15:restartNumberingAfterBreak="0">
    <w:nsid w:val="1AC527B4"/>
    <w:multiLevelType w:val="hybridMultilevel"/>
    <w:tmpl w:val="C554D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5920A09"/>
    <w:multiLevelType w:val="hybridMultilevel"/>
    <w:tmpl w:val="6020FEBA"/>
    <w:lvl w:ilvl="0" w:tplc="CD861C8C">
      <w:start w:val="1"/>
      <w:numFmt w:val="lowerLetter"/>
      <w:pStyle w:val="Ariallistletters"/>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27011A63"/>
    <w:multiLevelType w:val="hybridMultilevel"/>
    <w:tmpl w:val="1AFCA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2F57E8"/>
    <w:multiLevelType w:val="hybridMultilevel"/>
    <w:tmpl w:val="53789CB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254015B"/>
    <w:multiLevelType w:val="hybridMultilevel"/>
    <w:tmpl w:val="56E2A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4A15FE"/>
    <w:multiLevelType w:val="multilevel"/>
    <w:tmpl w:val="F36C17E8"/>
    <w:numStyleLink w:val="Headinglist"/>
  </w:abstractNum>
  <w:abstractNum w:abstractNumId="13" w15:restartNumberingAfterBreak="0">
    <w:nsid w:val="436B1BB5"/>
    <w:multiLevelType w:val="hybridMultilevel"/>
    <w:tmpl w:val="7F320E76"/>
    <w:lvl w:ilvl="0" w:tplc="49801E7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F23313"/>
    <w:multiLevelType w:val="hybridMultilevel"/>
    <w:tmpl w:val="4ED6CD78"/>
    <w:lvl w:ilvl="0" w:tplc="1482171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B32EA"/>
    <w:multiLevelType w:val="hybridMultilevel"/>
    <w:tmpl w:val="DE18C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676066"/>
    <w:multiLevelType w:val="hybridMultilevel"/>
    <w:tmpl w:val="FA5C5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0" w15:restartNumberingAfterBreak="0">
    <w:nsid w:val="59A97DCC"/>
    <w:multiLevelType w:val="hybridMultilevel"/>
    <w:tmpl w:val="BE52D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3" w15:restartNumberingAfterBreak="0">
    <w:nsid w:val="63092BBC"/>
    <w:multiLevelType w:val="hybridMultilevel"/>
    <w:tmpl w:val="290E63EE"/>
    <w:lvl w:ilvl="0" w:tplc="906CE826">
      <w:start w:val="1"/>
      <w:numFmt w:val="bullet"/>
      <w:pStyle w:val="Box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22B86"/>
    <w:multiLevelType w:val="hybridMultilevel"/>
    <w:tmpl w:val="BF22197E"/>
    <w:lvl w:ilvl="0" w:tplc="49801E7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FE14CA"/>
    <w:multiLevelType w:val="hybridMultilevel"/>
    <w:tmpl w:val="6C846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4A4005"/>
    <w:multiLevelType w:val="hybridMultilevel"/>
    <w:tmpl w:val="76D44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num w:numId="1" w16cid:durableId="138740026">
    <w:abstractNumId w:val="0"/>
  </w:num>
  <w:num w:numId="2" w16cid:durableId="1012224836">
    <w:abstractNumId w:val="14"/>
  </w:num>
  <w:num w:numId="3" w16cid:durableId="2126381086">
    <w:abstractNumId w:val="23"/>
  </w:num>
  <w:num w:numId="4" w16cid:durableId="95949557">
    <w:abstractNumId w:val="16"/>
  </w:num>
  <w:num w:numId="5" w16cid:durableId="1264191280">
    <w:abstractNumId w:val="5"/>
  </w:num>
  <w:num w:numId="6" w16cid:durableId="1479111988">
    <w:abstractNumId w:val="21"/>
  </w:num>
  <w:num w:numId="7" w16cid:durableId="1737586168">
    <w:abstractNumId w:val="22"/>
  </w:num>
  <w:num w:numId="8" w16cid:durableId="1042558513">
    <w:abstractNumId w:val="7"/>
  </w:num>
  <w:num w:numId="9" w16cid:durableId="935749913">
    <w:abstractNumId w:val="12"/>
  </w:num>
  <w:num w:numId="10" w16cid:durableId="639384406">
    <w:abstractNumId w:val="19"/>
  </w:num>
  <w:num w:numId="11" w16cid:durableId="1992753479">
    <w:abstractNumId w:val="27"/>
  </w:num>
  <w:num w:numId="12" w16cid:durableId="841503761">
    <w:abstractNumId w:val="17"/>
  </w:num>
  <w:num w:numId="13" w16cid:durableId="351565544">
    <w:abstractNumId w:val="3"/>
  </w:num>
  <w:num w:numId="14" w16cid:durableId="608971239">
    <w:abstractNumId w:val="8"/>
  </w:num>
  <w:num w:numId="15" w16cid:durableId="1669483016">
    <w:abstractNumId w:val="18"/>
  </w:num>
  <w:num w:numId="16" w16cid:durableId="234976818">
    <w:abstractNumId w:val="11"/>
  </w:num>
  <w:num w:numId="17" w16cid:durableId="597064747">
    <w:abstractNumId w:val="13"/>
  </w:num>
  <w:num w:numId="18" w16cid:durableId="2093042505">
    <w:abstractNumId w:val="24"/>
  </w:num>
  <w:num w:numId="19" w16cid:durableId="1774131885">
    <w:abstractNumId w:val="1"/>
  </w:num>
  <w:num w:numId="20" w16cid:durableId="1882325160">
    <w:abstractNumId w:val="26"/>
  </w:num>
  <w:num w:numId="21" w16cid:durableId="2110268183">
    <w:abstractNumId w:val="25"/>
  </w:num>
  <w:num w:numId="22" w16cid:durableId="1209486761">
    <w:abstractNumId w:val="2"/>
  </w:num>
  <w:num w:numId="23" w16cid:durableId="1650942720">
    <w:abstractNumId w:val="15"/>
  </w:num>
  <w:num w:numId="24" w16cid:durableId="1275282772">
    <w:abstractNumId w:val="20"/>
  </w:num>
  <w:num w:numId="25" w16cid:durableId="1491093716">
    <w:abstractNumId w:val="10"/>
  </w:num>
  <w:num w:numId="26" w16cid:durableId="1698236136">
    <w:abstractNumId w:val="4"/>
  </w:num>
  <w:num w:numId="27" w16cid:durableId="322440039">
    <w:abstractNumId w:val="6"/>
  </w:num>
  <w:num w:numId="28" w16cid:durableId="125416978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419FF22-8DEB-4D4E-B1D1-80A98B6557F0}"/>
    <w:docVar w:name="dgnword-eventsink" w:val="931073160"/>
    <w:docVar w:name="dgnword-lastRevisionsView" w:val="0"/>
  </w:docVars>
  <w:rsids>
    <w:rsidRoot w:val="00832172"/>
    <w:rsid w:val="00000070"/>
    <w:rsid w:val="00000444"/>
    <w:rsid w:val="00000D6A"/>
    <w:rsid w:val="00001168"/>
    <w:rsid w:val="0000242A"/>
    <w:rsid w:val="00002F4C"/>
    <w:rsid w:val="00003883"/>
    <w:rsid w:val="00005B45"/>
    <w:rsid w:val="00005C32"/>
    <w:rsid w:val="000076E7"/>
    <w:rsid w:val="000077E7"/>
    <w:rsid w:val="0000781C"/>
    <w:rsid w:val="000106DE"/>
    <w:rsid w:val="00010B9D"/>
    <w:rsid w:val="00012E04"/>
    <w:rsid w:val="000130B2"/>
    <w:rsid w:val="000136B3"/>
    <w:rsid w:val="00013860"/>
    <w:rsid w:val="00014896"/>
    <w:rsid w:val="00014929"/>
    <w:rsid w:val="00015ED1"/>
    <w:rsid w:val="000162FB"/>
    <w:rsid w:val="000168FF"/>
    <w:rsid w:val="0001748F"/>
    <w:rsid w:val="00017E1A"/>
    <w:rsid w:val="00017E7F"/>
    <w:rsid w:val="0002044C"/>
    <w:rsid w:val="00022686"/>
    <w:rsid w:val="000233BD"/>
    <w:rsid w:val="00023A69"/>
    <w:rsid w:val="00023E2C"/>
    <w:rsid w:val="000257C1"/>
    <w:rsid w:val="000267E0"/>
    <w:rsid w:val="00026EE7"/>
    <w:rsid w:val="000315E7"/>
    <w:rsid w:val="00031840"/>
    <w:rsid w:val="0003240E"/>
    <w:rsid w:val="000326D5"/>
    <w:rsid w:val="000329BF"/>
    <w:rsid w:val="00037598"/>
    <w:rsid w:val="00040177"/>
    <w:rsid w:val="00040F2C"/>
    <w:rsid w:val="00040F5C"/>
    <w:rsid w:val="00040FDB"/>
    <w:rsid w:val="00043094"/>
    <w:rsid w:val="00043556"/>
    <w:rsid w:val="00043836"/>
    <w:rsid w:val="00043C35"/>
    <w:rsid w:val="00044D99"/>
    <w:rsid w:val="00045475"/>
    <w:rsid w:val="00045CF2"/>
    <w:rsid w:val="0004642B"/>
    <w:rsid w:val="00046560"/>
    <w:rsid w:val="00046B4B"/>
    <w:rsid w:val="00047125"/>
    <w:rsid w:val="00047244"/>
    <w:rsid w:val="000476E8"/>
    <w:rsid w:val="00047793"/>
    <w:rsid w:val="00050AE1"/>
    <w:rsid w:val="00050F9B"/>
    <w:rsid w:val="000518B7"/>
    <w:rsid w:val="0005193F"/>
    <w:rsid w:val="00051F70"/>
    <w:rsid w:val="0005398D"/>
    <w:rsid w:val="00053FFF"/>
    <w:rsid w:val="00054BCF"/>
    <w:rsid w:val="00055983"/>
    <w:rsid w:val="00057A5E"/>
    <w:rsid w:val="00057AAB"/>
    <w:rsid w:val="00057C50"/>
    <w:rsid w:val="000621E9"/>
    <w:rsid w:val="00062776"/>
    <w:rsid w:val="00062A26"/>
    <w:rsid w:val="00063465"/>
    <w:rsid w:val="00063C2C"/>
    <w:rsid w:val="000654F8"/>
    <w:rsid w:val="00066B2B"/>
    <w:rsid w:val="0006717A"/>
    <w:rsid w:val="00067B16"/>
    <w:rsid w:val="000708E4"/>
    <w:rsid w:val="000737D0"/>
    <w:rsid w:val="00074F74"/>
    <w:rsid w:val="00075665"/>
    <w:rsid w:val="00076781"/>
    <w:rsid w:val="000767EB"/>
    <w:rsid w:val="00076F2E"/>
    <w:rsid w:val="00084743"/>
    <w:rsid w:val="00087B1F"/>
    <w:rsid w:val="00090101"/>
    <w:rsid w:val="000904EB"/>
    <w:rsid w:val="00091B51"/>
    <w:rsid w:val="0009278B"/>
    <w:rsid w:val="00093BC2"/>
    <w:rsid w:val="00094681"/>
    <w:rsid w:val="00094DAC"/>
    <w:rsid w:val="00095239"/>
    <w:rsid w:val="000954F7"/>
    <w:rsid w:val="000A004E"/>
    <w:rsid w:val="000A223A"/>
    <w:rsid w:val="000A2B8B"/>
    <w:rsid w:val="000A44E1"/>
    <w:rsid w:val="000A625E"/>
    <w:rsid w:val="000A6EE0"/>
    <w:rsid w:val="000A740F"/>
    <w:rsid w:val="000B4D17"/>
    <w:rsid w:val="000B59D9"/>
    <w:rsid w:val="000B7C59"/>
    <w:rsid w:val="000C0167"/>
    <w:rsid w:val="000C06B9"/>
    <w:rsid w:val="000C23D3"/>
    <w:rsid w:val="000C2B9A"/>
    <w:rsid w:val="000C4539"/>
    <w:rsid w:val="000C5029"/>
    <w:rsid w:val="000C5640"/>
    <w:rsid w:val="000C5BAB"/>
    <w:rsid w:val="000C6A73"/>
    <w:rsid w:val="000D1138"/>
    <w:rsid w:val="000D16A3"/>
    <w:rsid w:val="000D17F2"/>
    <w:rsid w:val="000D1850"/>
    <w:rsid w:val="000D18D9"/>
    <w:rsid w:val="000D1CD7"/>
    <w:rsid w:val="000D1F06"/>
    <w:rsid w:val="000D3419"/>
    <w:rsid w:val="000D42F9"/>
    <w:rsid w:val="000D49DC"/>
    <w:rsid w:val="000D4E2B"/>
    <w:rsid w:val="000D58E6"/>
    <w:rsid w:val="000D7846"/>
    <w:rsid w:val="000E132A"/>
    <w:rsid w:val="000E283F"/>
    <w:rsid w:val="000E33BA"/>
    <w:rsid w:val="000E3CED"/>
    <w:rsid w:val="000E524C"/>
    <w:rsid w:val="000E5A91"/>
    <w:rsid w:val="000E668D"/>
    <w:rsid w:val="000E6DC8"/>
    <w:rsid w:val="000E6E0E"/>
    <w:rsid w:val="000E7090"/>
    <w:rsid w:val="000F0173"/>
    <w:rsid w:val="000F07EA"/>
    <w:rsid w:val="000F19B5"/>
    <w:rsid w:val="000F22F3"/>
    <w:rsid w:val="000F2AF1"/>
    <w:rsid w:val="000F3719"/>
    <w:rsid w:val="000F659A"/>
    <w:rsid w:val="000F7B3D"/>
    <w:rsid w:val="000F7C4E"/>
    <w:rsid w:val="00100331"/>
    <w:rsid w:val="0010088E"/>
    <w:rsid w:val="001014F5"/>
    <w:rsid w:val="00101896"/>
    <w:rsid w:val="001029B4"/>
    <w:rsid w:val="001030CD"/>
    <w:rsid w:val="00103900"/>
    <w:rsid w:val="00104C31"/>
    <w:rsid w:val="0010549E"/>
    <w:rsid w:val="00105685"/>
    <w:rsid w:val="00105A6B"/>
    <w:rsid w:val="0010614D"/>
    <w:rsid w:val="00106430"/>
    <w:rsid w:val="00106670"/>
    <w:rsid w:val="00107218"/>
    <w:rsid w:val="00107256"/>
    <w:rsid w:val="001079C6"/>
    <w:rsid w:val="00107A47"/>
    <w:rsid w:val="00110010"/>
    <w:rsid w:val="001105F5"/>
    <w:rsid w:val="00111443"/>
    <w:rsid w:val="001124EA"/>
    <w:rsid w:val="001132C3"/>
    <w:rsid w:val="00113D97"/>
    <w:rsid w:val="00114076"/>
    <w:rsid w:val="00116BC2"/>
    <w:rsid w:val="00116D70"/>
    <w:rsid w:val="00117169"/>
    <w:rsid w:val="00117931"/>
    <w:rsid w:val="00120E94"/>
    <w:rsid w:val="00121020"/>
    <w:rsid w:val="0012164B"/>
    <w:rsid w:val="001225F0"/>
    <w:rsid w:val="001236C7"/>
    <w:rsid w:val="00123BF7"/>
    <w:rsid w:val="00123D63"/>
    <w:rsid w:val="00123E34"/>
    <w:rsid w:val="0012405F"/>
    <w:rsid w:val="0012598F"/>
    <w:rsid w:val="00126FEA"/>
    <w:rsid w:val="00127103"/>
    <w:rsid w:val="00130250"/>
    <w:rsid w:val="001306D8"/>
    <w:rsid w:val="00131408"/>
    <w:rsid w:val="00131A01"/>
    <w:rsid w:val="00132558"/>
    <w:rsid w:val="001340E5"/>
    <w:rsid w:val="00134268"/>
    <w:rsid w:val="0013484B"/>
    <w:rsid w:val="0013504A"/>
    <w:rsid w:val="001361EA"/>
    <w:rsid w:val="001408CB"/>
    <w:rsid w:val="00140BDF"/>
    <w:rsid w:val="00140C77"/>
    <w:rsid w:val="00140ED5"/>
    <w:rsid w:val="00141B2E"/>
    <w:rsid w:val="00142174"/>
    <w:rsid w:val="00142B02"/>
    <w:rsid w:val="00142D35"/>
    <w:rsid w:val="001433CE"/>
    <w:rsid w:val="0014354A"/>
    <w:rsid w:val="001448D8"/>
    <w:rsid w:val="001448FC"/>
    <w:rsid w:val="0014549A"/>
    <w:rsid w:val="001455B7"/>
    <w:rsid w:val="00150B30"/>
    <w:rsid w:val="0015127A"/>
    <w:rsid w:val="00152527"/>
    <w:rsid w:val="001532F9"/>
    <w:rsid w:val="0015443D"/>
    <w:rsid w:val="00154E27"/>
    <w:rsid w:val="00155D23"/>
    <w:rsid w:val="00155F8D"/>
    <w:rsid w:val="0015753A"/>
    <w:rsid w:val="00160969"/>
    <w:rsid w:val="0016183D"/>
    <w:rsid w:val="001622B8"/>
    <w:rsid w:val="00162AA4"/>
    <w:rsid w:val="00164B33"/>
    <w:rsid w:val="00164D23"/>
    <w:rsid w:val="00165D8B"/>
    <w:rsid w:val="0016626B"/>
    <w:rsid w:val="00167CA4"/>
    <w:rsid w:val="00167D70"/>
    <w:rsid w:val="001779D1"/>
    <w:rsid w:val="00180A39"/>
    <w:rsid w:val="001816D8"/>
    <w:rsid w:val="00181837"/>
    <w:rsid w:val="00181FAE"/>
    <w:rsid w:val="00185B2B"/>
    <w:rsid w:val="001861E1"/>
    <w:rsid w:val="0019057A"/>
    <w:rsid w:val="0019145D"/>
    <w:rsid w:val="0019315F"/>
    <w:rsid w:val="001945B4"/>
    <w:rsid w:val="0019715C"/>
    <w:rsid w:val="00197C52"/>
    <w:rsid w:val="001A006C"/>
    <w:rsid w:val="001A219A"/>
    <w:rsid w:val="001A3903"/>
    <w:rsid w:val="001A4C0B"/>
    <w:rsid w:val="001A531F"/>
    <w:rsid w:val="001A645F"/>
    <w:rsid w:val="001A6631"/>
    <w:rsid w:val="001A760C"/>
    <w:rsid w:val="001A7F77"/>
    <w:rsid w:val="001B1550"/>
    <w:rsid w:val="001B161E"/>
    <w:rsid w:val="001B2947"/>
    <w:rsid w:val="001B3877"/>
    <w:rsid w:val="001B4441"/>
    <w:rsid w:val="001B450E"/>
    <w:rsid w:val="001B5022"/>
    <w:rsid w:val="001B5A02"/>
    <w:rsid w:val="001B6695"/>
    <w:rsid w:val="001B7888"/>
    <w:rsid w:val="001B7A5D"/>
    <w:rsid w:val="001B7BC6"/>
    <w:rsid w:val="001C0727"/>
    <w:rsid w:val="001C1B3C"/>
    <w:rsid w:val="001C3749"/>
    <w:rsid w:val="001C4D04"/>
    <w:rsid w:val="001C4E06"/>
    <w:rsid w:val="001C5C8F"/>
    <w:rsid w:val="001C642B"/>
    <w:rsid w:val="001C67A4"/>
    <w:rsid w:val="001C69B1"/>
    <w:rsid w:val="001C6EE3"/>
    <w:rsid w:val="001D0CFB"/>
    <w:rsid w:val="001D151D"/>
    <w:rsid w:val="001D172B"/>
    <w:rsid w:val="001D32AC"/>
    <w:rsid w:val="001D4837"/>
    <w:rsid w:val="001D4A16"/>
    <w:rsid w:val="001D514D"/>
    <w:rsid w:val="001D7970"/>
    <w:rsid w:val="001D7A91"/>
    <w:rsid w:val="001E0FAA"/>
    <w:rsid w:val="001E114F"/>
    <w:rsid w:val="001E19FA"/>
    <w:rsid w:val="001E43C4"/>
    <w:rsid w:val="001E5081"/>
    <w:rsid w:val="001E56AB"/>
    <w:rsid w:val="001E597A"/>
    <w:rsid w:val="001E623D"/>
    <w:rsid w:val="001E70DC"/>
    <w:rsid w:val="001E7F39"/>
    <w:rsid w:val="001F0322"/>
    <w:rsid w:val="001F045E"/>
    <w:rsid w:val="001F1251"/>
    <w:rsid w:val="001F25CD"/>
    <w:rsid w:val="001F3019"/>
    <w:rsid w:val="001F48FF"/>
    <w:rsid w:val="001F5210"/>
    <w:rsid w:val="001F5E38"/>
    <w:rsid w:val="001F64CD"/>
    <w:rsid w:val="002002FE"/>
    <w:rsid w:val="00200B88"/>
    <w:rsid w:val="00202CC6"/>
    <w:rsid w:val="00204E7B"/>
    <w:rsid w:val="00205E78"/>
    <w:rsid w:val="0020603E"/>
    <w:rsid w:val="00206ADC"/>
    <w:rsid w:val="0020780F"/>
    <w:rsid w:val="00207D66"/>
    <w:rsid w:val="00210119"/>
    <w:rsid w:val="002102DC"/>
    <w:rsid w:val="00210B89"/>
    <w:rsid w:val="00211447"/>
    <w:rsid w:val="002123AE"/>
    <w:rsid w:val="0021417A"/>
    <w:rsid w:val="00214BC5"/>
    <w:rsid w:val="00214E16"/>
    <w:rsid w:val="002157EB"/>
    <w:rsid w:val="00215F47"/>
    <w:rsid w:val="002167CE"/>
    <w:rsid w:val="00216E65"/>
    <w:rsid w:val="0021707C"/>
    <w:rsid w:val="00220CE7"/>
    <w:rsid w:val="00224197"/>
    <w:rsid w:val="002249F7"/>
    <w:rsid w:val="00226EA8"/>
    <w:rsid w:val="00227B55"/>
    <w:rsid w:val="002319FF"/>
    <w:rsid w:val="00231B62"/>
    <w:rsid w:val="00232475"/>
    <w:rsid w:val="002324EB"/>
    <w:rsid w:val="00232934"/>
    <w:rsid w:val="002350E5"/>
    <w:rsid w:val="00235C26"/>
    <w:rsid w:val="00236CF4"/>
    <w:rsid w:val="00237830"/>
    <w:rsid w:val="00242703"/>
    <w:rsid w:val="002430A4"/>
    <w:rsid w:val="002456A9"/>
    <w:rsid w:val="002462AE"/>
    <w:rsid w:val="00246609"/>
    <w:rsid w:val="00247613"/>
    <w:rsid w:val="00247742"/>
    <w:rsid w:val="002519F2"/>
    <w:rsid w:val="002532CF"/>
    <w:rsid w:val="0025443B"/>
    <w:rsid w:val="002552A2"/>
    <w:rsid w:val="00256007"/>
    <w:rsid w:val="00256625"/>
    <w:rsid w:val="002568A2"/>
    <w:rsid w:val="00257428"/>
    <w:rsid w:val="00261923"/>
    <w:rsid w:val="00262F7F"/>
    <w:rsid w:val="0026346C"/>
    <w:rsid w:val="002640D8"/>
    <w:rsid w:val="0026432D"/>
    <w:rsid w:val="00264A66"/>
    <w:rsid w:val="00266C57"/>
    <w:rsid w:val="00267C2A"/>
    <w:rsid w:val="002703C1"/>
    <w:rsid w:val="00270416"/>
    <w:rsid w:val="00270BD7"/>
    <w:rsid w:val="002710C5"/>
    <w:rsid w:val="002712F9"/>
    <w:rsid w:val="00271A7D"/>
    <w:rsid w:val="00273BAF"/>
    <w:rsid w:val="0027522A"/>
    <w:rsid w:val="002753B5"/>
    <w:rsid w:val="00277F95"/>
    <w:rsid w:val="002819C8"/>
    <w:rsid w:val="00282C24"/>
    <w:rsid w:val="0028451B"/>
    <w:rsid w:val="00285AD1"/>
    <w:rsid w:val="002860CA"/>
    <w:rsid w:val="00286ACD"/>
    <w:rsid w:val="0028795C"/>
    <w:rsid w:val="0029054B"/>
    <w:rsid w:val="00290D13"/>
    <w:rsid w:val="00291440"/>
    <w:rsid w:val="00292E14"/>
    <w:rsid w:val="00292EEA"/>
    <w:rsid w:val="00293408"/>
    <w:rsid w:val="00293648"/>
    <w:rsid w:val="00293EE8"/>
    <w:rsid w:val="00295E9C"/>
    <w:rsid w:val="002960B0"/>
    <w:rsid w:val="002974FB"/>
    <w:rsid w:val="0029757C"/>
    <w:rsid w:val="00297DCD"/>
    <w:rsid w:val="002A0066"/>
    <w:rsid w:val="002A0EB3"/>
    <w:rsid w:val="002A1F5C"/>
    <w:rsid w:val="002A26A9"/>
    <w:rsid w:val="002A4F9A"/>
    <w:rsid w:val="002A671E"/>
    <w:rsid w:val="002A7328"/>
    <w:rsid w:val="002B08EA"/>
    <w:rsid w:val="002B3658"/>
    <w:rsid w:val="002B4CC3"/>
    <w:rsid w:val="002B52AE"/>
    <w:rsid w:val="002B5F1A"/>
    <w:rsid w:val="002B5FBF"/>
    <w:rsid w:val="002B6129"/>
    <w:rsid w:val="002B7902"/>
    <w:rsid w:val="002B7A02"/>
    <w:rsid w:val="002C0451"/>
    <w:rsid w:val="002C1F75"/>
    <w:rsid w:val="002C2236"/>
    <w:rsid w:val="002C3C36"/>
    <w:rsid w:val="002C5965"/>
    <w:rsid w:val="002C5CA9"/>
    <w:rsid w:val="002C6506"/>
    <w:rsid w:val="002C7362"/>
    <w:rsid w:val="002C7783"/>
    <w:rsid w:val="002D0749"/>
    <w:rsid w:val="002D0CC8"/>
    <w:rsid w:val="002D10B2"/>
    <w:rsid w:val="002D2136"/>
    <w:rsid w:val="002D24A1"/>
    <w:rsid w:val="002D326A"/>
    <w:rsid w:val="002D389D"/>
    <w:rsid w:val="002D4C87"/>
    <w:rsid w:val="002D567E"/>
    <w:rsid w:val="002D6B9C"/>
    <w:rsid w:val="002D7DF9"/>
    <w:rsid w:val="002E04B6"/>
    <w:rsid w:val="002E11DC"/>
    <w:rsid w:val="002E1213"/>
    <w:rsid w:val="002E1236"/>
    <w:rsid w:val="002E27D3"/>
    <w:rsid w:val="002E6232"/>
    <w:rsid w:val="002F04FD"/>
    <w:rsid w:val="002F0B23"/>
    <w:rsid w:val="002F20F7"/>
    <w:rsid w:val="002F27A2"/>
    <w:rsid w:val="002F301E"/>
    <w:rsid w:val="002F4996"/>
    <w:rsid w:val="002F4F4B"/>
    <w:rsid w:val="002F5276"/>
    <w:rsid w:val="002F6728"/>
    <w:rsid w:val="002F68A2"/>
    <w:rsid w:val="003001C4"/>
    <w:rsid w:val="003023C5"/>
    <w:rsid w:val="0030468B"/>
    <w:rsid w:val="00304FB4"/>
    <w:rsid w:val="0030593E"/>
    <w:rsid w:val="003067AB"/>
    <w:rsid w:val="00307086"/>
    <w:rsid w:val="00307E8E"/>
    <w:rsid w:val="00310859"/>
    <w:rsid w:val="003153FF"/>
    <w:rsid w:val="00317799"/>
    <w:rsid w:val="0031780C"/>
    <w:rsid w:val="00321141"/>
    <w:rsid w:val="00321C2F"/>
    <w:rsid w:val="0032234E"/>
    <w:rsid w:val="00323629"/>
    <w:rsid w:val="00323733"/>
    <w:rsid w:val="00323C8D"/>
    <w:rsid w:val="00325343"/>
    <w:rsid w:val="00325539"/>
    <w:rsid w:val="00325B5F"/>
    <w:rsid w:val="00327544"/>
    <w:rsid w:val="00332BFA"/>
    <w:rsid w:val="00335656"/>
    <w:rsid w:val="003361F2"/>
    <w:rsid w:val="0033648C"/>
    <w:rsid w:val="0033669A"/>
    <w:rsid w:val="0034010E"/>
    <w:rsid w:val="00341B97"/>
    <w:rsid w:val="00342D90"/>
    <w:rsid w:val="00342E72"/>
    <w:rsid w:val="0034361E"/>
    <w:rsid w:val="003445D6"/>
    <w:rsid w:val="00345CF8"/>
    <w:rsid w:val="0034616A"/>
    <w:rsid w:val="00350366"/>
    <w:rsid w:val="00350D37"/>
    <w:rsid w:val="00350F20"/>
    <w:rsid w:val="00350FE7"/>
    <w:rsid w:val="00351EEC"/>
    <w:rsid w:val="003529D1"/>
    <w:rsid w:val="003535F2"/>
    <w:rsid w:val="0035437B"/>
    <w:rsid w:val="00354FC1"/>
    <w:rsid w:val="00355168"/>
    <w:rsid w:val="0035667B"/>
    <w:rsid w:val="00357DE8"/>
    <w:rsid w:val="00360497"/>
    <w:rsid w:val="0036060E"/>
    <w:rsid w:val="003611B7"/>
    <w:rsid w:val="003628E9"/>
    <w:rsid w:val="00362BF3"/>
    <w:rsid w:val="00362DEA"/>
    <w:rsid w:val="00362DF9"/>
    <w:rsid w:val="00362F82"/>
    <w:rsid w:val="00363679"/>
    <w:rsid w:val="00364BEF"/>
    <w:rsid w:val="00366619"/>
    <w:rsid w:val="003668DA"/>
    <w:rsid w:val="00366C9A"/>
    <w:rsid w:val="00367BD4"/>
    <w:rsid w:val="00367D18"/>
    <w:rsid w:val="0037210A"/>
    <w:rsid w:val="00372282"/>
    <w:rsid w:val="00373A47"/>
    <w:rsid w:val="0037668D"/>
    <w:rsid w:val="00381740"/>
    <w:rsid w:val="003821B0"/>
    <w:rsid w:val="0038412A"/>
    <w:rsid w:val="00384B7D"/>
    <w:rsid w:val="0038514D"/>
    <w:rsid w:val="0038697E"/>
    <w:rsid w:val="003873A9"/>
    <w:rsid w:val="003915A0"/>
    <w:rsid w:val="0039239A"/>
    <w:rsid w:val="00392E00"/>
    <w:rsid w:val="00394C07"/>
    <w:rsid w:val="0039511D"/>
    <w:rsid w:val="003968BD"/>
    <w:rsid w:val="003A08C2"/>
    <w:rsid w:val="003A0D07"/>
    <w:rsid w:val="003A1B16"/>
    <w:rsid w:val="003A6B53"/>
    <w:rsid w:val="003A722D"/>
    <w:rsid w:val="003B0D8F"/>
    <w:rsid w:val="003B1877"/>
    <w:rsid w:val="003B20B4"/>
    <w:rsid w:val="003B30FE"/>
    <w:rsid w:val="003B4357"/>
    <w:rsid w:val="003B48A2"/>
    <w:rsid w:val="003B4F9F"/>
    <w:rsid w:val="003B5A7B"/>
    <w:rsid w:val="003B7277"/>
    <w:rsid w:val="003B78D6"/>
    <w:rsid w:val="003B7A20"/>
    <w:rsid w:val="003B7D53"/>
    <w:rsid w:val="003B7E6C"/>
    <w:rsid w:val="003C04F2"/>
    <w:rsid w:val="003C0842"/>
    <w:rsid w:val="003C08DB"/>
    <w:rsid w:val="003C179A"/>
    <w:rsid w:val="003C3452"/>
    <w:rsid w:val="003C3490"/>
    <w:rsid w:val="003C3714"/>
    <w:rsid w:val="003C54B1"/>
    <w:rsid w:val="003C5BBF"/>
    <w:rsid w:val="003C6B7A"/>
    <w:rsid w:val="003C6BF4"/>
    <w:rsid w:val="003C7725"/>
    <w:rsid w:val="003D1E54"/>
    <w:rsid w:val="003D285A"/>
    <w:rsid w:val="003D32D4"/>
    <w:rsid w:val="003D414E"/>
    <w:rsid w:val="003D6F3E"/>
    <w:rsid w:val="003D7348"/>
    <w:rsid w:val="003D7D95"/>
    <w:rsid w:val="003E046D"/>
    <w:rsid w:val="003E08C6"/>
    <w:rsid w:val="003E0CBC"/>
    <w:rsid w:val="003E2EC1"/>
    <w:rsid w:val="003E2FBF"/>
    <w:rsid w:val="003E3187"/>
    <w:rsid w:val="003E3C19"/>
    <w:rsid w:val="003E4133"/>
    <w:rsid w:val="003E449A"/>
    <w:rsid w:val="003E4FB9"/>
    <w:rsid w:val="003E515C"/>
    <w:rsid w:val="003E76A2"/>
    <w:rsid w:val="003F134D"/>
    <w:rsid w:val="003F1E48"/>
    <w:rsid w:val="003F20F5"/>
    <w:rsid w:val="003F29B1"/>
    <w:rsid w:val="003F4011"/>
    <w:rsid w:val="003F437F"/>
    <w:rsid w:val="003F6273"/>
    <w:rsid w:val="003F6CAB"/>
    <w:rsid w:val="003F7B99"/>
    <w:rsid w:val="004002C2"/>
    <w:rsid w:val="0040053D"/>
    <w:rsid w:val="00400917"/>
    <w:rsid w:val="0040140D"/>
    <w:rsid w:val="004015EC"/>
    <w:rsid w:val="00403F44"/>
    <w:rsid w:val="00404111"/>
    <w:rsid w:val="0040751D"/>
    <w:rsid w:val="00407975"/>
    <w:rsid w:val="00412069"/>
    <w:rsid w:val="004129C8"/>
    <w:rsid w:val="00413C46"/>
    <w:rsid w:val="00414196"/>
    <w:rsid w:val="00414750"/>
    <w:rsid w:val="004149D6"/>
    <w:rsid w:val="0041538C"/>
    <w:rsid w:val="004157C1"/>
    <w:rsid w:val="0041664E"/>
    <w:rsid w:val="00416F5A"/>
    <w:rsid w:val="004207BA"/>
    <w:rsid w:val="00420DDE"/>
    <w:rsid w:val="0042105B"/>
    <w:rsid w:val="004238D6"/>
    <w:rsid w:val="00423D95"/>
    <w:rsid w:val="004243A4"/>
    <w:rsid w:val="004260D9"/>
    <w:rsid w:val="004266D4"/>
    <w:rsid w:val="00427FE8"/>
    <w:rsid w:val="004307D8"/>
    <w:rsid w:val="00433EED"/>
    <w:rsid w:val="004358A5"/>
    <w:rsid w:val="00436C57"/>
    <w:rsid w:val="00437573"/>
    <w:rsid w:val="004402E4"/>
    <w:rsid w:val="0044153C"/>
    <w:rsid w:val="0044259C"/>
    <w:rsid w:val="00442B78"/>
    <w:rsid w:val="00445140"/>
    <w:rsid w:val="00445FE6"/>
    <w:rsid w:val="0044618D"/>
    <w:rsid w:val="004477EC"/>
    <w:rsid w:val="00447C4C"/>
    <w:rsid w:val="00447E6C"/>
    <w:rsid w:val="004519D0"/>
    <w:rsid w:val="00452906"/>
    <w:rsid w:val="00453D0B"/>
    <w:rsid w:val="00454814"/>
    <w:rsid w:val="00454E71"/>
    <w:rsid w:val="00456130"/>
    <w:rsid w:val="00456DDF"/>
    <w:rsid w:val="004577C0"/>
    <w:rsid w:val="0046093D"/>
    <w:rsid w:val="004620F6"/>
    <w:rsid w:val="0046249B"/>
    <w:rsid w:val="004636CE"/>
    <w:rsid w:val="00463BBB"/>
    <w:rsid w:val="00465BB0"/>
    <w:rsid w:val="004663A4"/>
    <w:rsid w:val="00466553"/>
    <w:rsid w:val="004667AA"/>
    <w:rsid w:val="00466ED2"/>
    <w:rsid w:val="00471798"/>
    <w:rsid w:val="00471AB6"/>
    <w:rsid w:val="004740DB"/>
    <w:rsid w:val="00474300"/>
    <w:rsid w:val="00474BB8"/>
    <w:rsid w:val="00475C93"/>
    <w:rsid w:val="00475F52"/>
    <w:rsid w:val="004766C6"/>
    <w:rsid w:val="00477D51"/>
    <w:rsid w:val="00480763"/>
    <w:rsid w:val="00480AE5"/>
    <w:rsid w:val="00480FF2"/>
    <w:rsid w:val="00481115"/>
    <w:rsid w:val="00481547"/>
    <w:rsid w:val="00481E81"/>
    <w:rsid w:val="00482FD6"/>
    <w:rsid w:val="00483079"/>
    <w:rsid w:val="004833AB"/>
    <w:rsid w:val="00483578"/>
    <w:rsid w:val="00483E36"/>
    <w:rsid w:val="004875D1"/>
    <w:rsid w:val="0048775D"/>
    <w:rsid w:val="004905A0"/>
    <w:rsid w:val="00490929"/>
    <w:rsid w:val="00491544"/>
    <w:rsid w:val="00493614"/>
    <w:rsid w:val="004943F3"/>
    <w:rsid w:val="00494980"/>
    <w:rsid w:val="004959AF"/>
    <w:rsid w:val="004A05A8"/>
    <w:rsid w:val="004A1106"/>
    <w:rsid w:val="004A1FF2"/>
    <w:rsid w:val="004A204D"/>
    <w:rsid w:val="004A2A3C"/>
    <w:rsid w:val="004A39AA"/>
    <w:rsid w:val="004A4433"/>
    <w:rsid w:val="004A50BD"/>
    <w:rsid w:val="004A5481"/>
    <w:rsid w:val="004A6E66"/>
    <w:rsid w:val="004A790E"/>
    <w:rsid w:val="004B00EB"/>
    <w:rsid w:val="004B1D72"/>
    <w:rsid w:val="004B2808"/>
    <w:rsid w:val="004B32E5"/>
    <w:rsid w:val="004B4DF9"/>
    <w:rsid w:val="004B544F"/>
    <w:rsid w:val="004B5809"/>
    <w:rsid w:val="004B5974"/>
    <w:rsid w:val="004B5AA0"/>
    <w:rsid w:val="004B6CFA"/>
    <w:rsid w:val="004B702E"/>
    <w:rsid w:val="004C367B"/>
    <w:rsid w:val="004C406C"/>
    <w:rsid w:val="004C48FC"/>
    <w:rsid w:val="004C4942"/>
    <w:rsid w:val="004C6E21"/>
    <w:rsid w:val="004C7FA1"/>
    <w:rsid w:val="004D0FDF"/>
    <w:rsid w:val="004D144F"/>
    <w:rsid w:val="004D1D3C"/>
    <w:rsid w:val="004D23BE"/>
    <w:rsid w:val="004D5AAA"/>
    <w:rsid w:val="004E02F6"/>
    <w:rsid w:val="004E0DB6"/>
    <w:rsid w:val="004E3476"/>
    <w:rsid w:val="004E37E9"/>
    <w:rsid w:val="004E57DF"/>
    <w:rsid w:val="004E5E63"/>
    <w:rsid w:val="004E6137"/>
    <w:rsid w:val="004E6B62"/>
    <w:rsid w:val="004E7C2A"/>
    <w:rsid w:val="004F397B"/>
    <w:rsid w:val="004F3D62"/>
    <w:rsid w:val="004F732E"/>
    <w:rsid w:val="005008D9"/>
    <w:rsid w:val="00500BC3"/>
    <w:rsid w:val="00500D18"/>
    <w:rsid w:val="00500D21"/>
    <w:rsid w:val="00501E24"/>
    <w:rsid w:val="0050300B"/>
    <w:rsid w:val="0050465E"/>
    <w:rsid w:val="00505CEF"/>
    <w:rsid w:val="00506467"/>
    <w:rsid w:val="005103C7"/>
    <w:rsid w:val="005105EF"/>
    <w:rsid w:val="00510B3C"/>
    <w:rsid w:val="00510C8D"/>
    <w:rsid w:val="00513FA1"/>
    <w:rsid w:val="00515AD9"/>
    <w:rsid w:val="0051602F"/>
    <w:rsid w:val="00516DC0"/>
    <w:rsid w:val="0052068E"/>
    <w:rsid w:val="005227F9"/>
    <w:rsid w:val="00523920"/>
    <w:rsid w:val="00523934"/>
    <w:rsid w:val="00524D81"/>
    <w:rsid w:val="00525736"/>
    <w:rsid w:val="0052727B"/>
    <w:rsid w:val="005277ED"/>
    <w:rsid w:val="00531A78"/>
    <w:rsid w:val="00532047"/>
    <w:rsid w:val="00532605"/>
    <w:rsid w:val="00532821"/>
    <w:rsid w:val="00534434"/>
    <w:rsid w:val="005346B3"/>
    <w:rsid w:val="00534D94"/>
    <w:rsid w:val="0053630F"/>
    <w:rsid w:val="00536DF1"/>
    <w:rsid w:val="00536E58"/>
    <w:rsid w:val="005373A2"/>
    <w:rsid w:val="00537E50"/>
    <w:rsid w:val="005400DB"/>
    <w:rsid w:val="00541FBE"/>
    <w:rsid w:val="00545EAB"/>
    <w:rsid w:val="00547532"/>
    <w:rsid w:val="005479D6"/>
    <w:rsid w:val="00547BF1"/>
    <w:rsid w:val="00552955"/>
    <w:rsid w:val="00552ECF"/>
    <w:rsid w:val="00553429"/>
    <w:rsid w:val="00554567"/>
    <w:rsid w:val="005547CF"/>
    <w:rsid w:val="00554F23"/>
    <w:rsid w:val="00556868"/>
    <w:rsid w:val="00556E08"/>
    <w:rsid w:val="00557279"/>
    <w:rsid w:val="00557CE4"/>
    <w:rsid w:val="00560806"/>
    <w:rsid w:val="00560AC5"/>
    <w:rsid w:val="0056153E"/>
    <w:rsid w:val="0056217B"/>
    <w:rsid w:val="00562456"/>
    <w:rsid w:val="0056425F"/>
    <w:rsid w:val="00564846"/>
    <w:rsid w:val="00564F8D"/>
    <w:rsid w:val="00566345"/>
    <w:rsid w:val="00567070"/>
    <w:rsid w:val="00571D74"/>
    <w:rsid w:val="00573762"/>
    <w:rsid w:val="00573A8E"/>
    <w:rsid w:val="00575735"/>
    <w:rsid w:val="00575CA8"/>
    <w:rsid w:val="005768E0"/>
    <w:rsid w:val="0057697B"/>
    <w:rsid w:val="00576EAF"/>
    <w:rsid w:val="00576F0C"/>
    <w:rsid w:val="0057784B"/>
    <w:rsid w:val="00577F04"/>
    <w:rsid w:val="00582113"/>
    <w:rsid w:val="005821D3"/>
    <w:rsid w:val="00582AC9"/>
    <w:rsid w:val="00582C46"/>
    <w:rsid w:val="00583A03"/>
    <w:rsid w:val="00584116"/>
    <w:rsid w:val="0058426F"/>
    <w:rsid w:val="00584AA8"/>
    <w:rsid w:val="00584BC9"/>
    <w:rsid w:val="0058552D"/>
    <w:rsid w:val="00585991"/>
    <w:rsid w:val="0058603E"/>
    <w:rsid w:val="005863F7"/>
    <w:rsid w:val="0058663C"/>
    <w:rsid w:val="00587F42"/>
    <w:rsid w:val="00587FF6"/>
    <w:rsid w:val="00590FBD"/>
    <w:rsid w:val="005911A8"/>
    <w:rsid w:val="00592731"/>
    <w:rsid w:val="00592E08"/>
    <w:rsid w:val="005955A6"/>
    <w:rsid w:val="00595F70"/>
    <w:rsid w:val="005978AA"/>
    <w:rsid w:val="005979C1"/>
    <w:rsid w:val="005A120C"/>
    <w:rsid w:val="005A1611"/>
    <w:rsid w:val="005A2207"/>
    <w:rsid w:val="005A254F"/>
    <w:rsid w:val="005A2754"/>
    <w:rsid w:val="005A397C"/>
    <w:rsid w:val="005A3C63"/>
    <w:rsid w:val="005A3EC1"/>
    <w:rsid w:val="005A4BD5"/>
    <w:rsid w:val="005A71D2"/>
    <w:rsid w:val="005B1BF9"/>
    <w:rsid w:val="005B3264"/>
    <w:rsid w:val="005B3494"/>
    <w:rsid w:val="005B634E"/>
    <w:rsid w:val="005B73C2"/>
    <w:rsid w:val="005B7D1F"/>
    <w:rsid w:val="005C2134"/>
    <w:rsid w:val="005C2607"/>
    <w:rsid w:val="005C32F9"/>
    <w:rsid w:val="005C444D"/>
    <w:rsid w:val="005C7180"/>
    <w:rsid w:val="005C7962"/>
    <w:rsid w:val="005D06F2"/>
    <w:rsid w:val="005D135D"/>
    <w:rsid w:val="005D3203"/>
    <w:rsid w:val="005D357B"/>
    <w:rsid w:val="005D3B89"/>
    <w:rsid w:val="005D43EE"/>
    <w:rsid w:val="005D5680"/>
    <w:rsid w:val="005D5D3B"/>
    <w:rsid w:val="005D5DA5"/>
    <w:rsid w:val="005D61E8"/>
    <w:rsid w:val="005D67AA"/>
    <w:rsid w:val="005D7660"/>
    <w:rsid w:val="005D7DB3"/>
    <w:rsid w:val="005E03F9"/>
    <w:rsid w:val="005E0800"/>
    <w:rsid w:val="005E14AD"/>
    <w:rsid w:val="005E1E6F"/>
    <w:rsid w:val="005E299A"/>
    <w:rsid w:val="005E3D02"/>
    <w:rsid w:val="005E5A9F"/>
    <w:rsid w:val="005E79F2"/>
    <w:rsid w:val="005F01D9"/>
    <w:rsid w:val="005F1E41"/>
    <w:rsid w:val="005F2388"/>
    <w:rsid w:val="005F3229"/>
    <w:rsid w:val="005F4070"/>
    <w:rsid w:val="005F4E3E"/>
    <w:rsid w:val="005F652C"/>
    <w:rsid w:val="005F6E42"/>
    <w:rsid w:val="005F7F76"/>
    <w:rsid w:val="006001F6"/>
    <w:rsid w:val="006005DD"/>
    <w:rsid w:val="00601191"/>
    <w:rsid w:val="006011C8"/>
    <w:rsid w:val="0060148B"/>
    <w:rsid w:val="00601FA5"/>
    <w:rsid w:val="00602218"/>
    <w:rsid w:val="00602FA3"/>
    <w:rsid w:val="0060445B"/>
    <w:rsid w:val="0060466E"/>
    <w:rsid w:val="00606782"/>
    <w:rsid w:val="00607706"/>
    <w:rsid w:val="00610C54"/>
    <w:rsid w:val="00611189"/>
    <w:rsid w:val="006128F5"/>
    <w:rsid w:val="00613033"/>
    <w:rsid w:val="006133C9"/>
    <w:rsid w:val="00613566"/>
    <w:rsid w:val="006144D7"/>
    <w:rsid w:val="00614B58"/>
    <w:rsid w:val="0061665B"/>
    <w:rsid w:val="00616F5B"/>
    <w:rsid w:val="00616FAA"/>
    <w:rsid w:val="0062055D"/>
    <w:rsid w:val="00620A02"/>
    <w:rsid w:val="00620A8A"/>
    <w:rsid w:val="00620E09"/>
    <w:rsid w:val="00621020"/>
    <w:rsid w:val="00621449"/>
    <w:rsid w:val="00621787"/>
    <w:rsid w:val="00623CEC"/>
    <w:rsid w:val="006245D2"/>
    <w:rsid w:val="00624E1E"/>
    <w:rsid w:val="00626D54"/>
    <w:rsid w:val="006307C4"/>
    <w:rsid w:val="0063136F"/>
    <w:rsid w:val="006323B0"/>
    <w:rsid w:val="006325A1"/>
    <w:rsid w:val="006327C0"/>
    <w:rsid w:val="00632D0D"/>
    <w:rsid w:val="00632DCE"/>
    <w:rsid w:val="00633465"/>
    <w:rsid w:val="006335F5"/>
    <w:rsid w:val="0063419E"/>
    <w:rsid w:val="00643809"/>
    <w:rsid w:val="00644257"/>
    <w:rsid w:val="00646F02"/>
    <w:rsid w:val="00650953"/>
    <w:rsid w:val="00650F08"/>
    <w:rsid w:val="006524DD"/>
    <w:rsid w:val="006524EC"/>
    <w:rsid w:val="0065451D"/>
    <w:rsid w:val="00654874"/>
    <w:rsid w:val="00655D97"/>
    <w:rsid w:val="0065789F"/>
    <w:rsid w:val="00657C42"/>
    <w:rsid w:val="00660E76"/>
    <w:rsid w:val="00661171"/>
    <w:rsid w:val="00661DF5"/>
    <w:rsid w:val="00661EF4"/>
    <w:rsid w:val="00661F24"/>
    <w:rsid w:val="00662C8C"/>
    <w:rsid w:val="00662D56"/>
    <w:rsid w:val="006649EA"/>
    <w:rsid w:val="00665533"/>
    <w:rsid w:val="006656BE"/>
    <w:rsid w:val="00665797"/>
    <w:rsid w:val="00665B5B"/>
    <w:rsid w:val="00666596"/>
    <w:rsid w:val="00666905"/>
    <w:rsid w:val="006669DA"/>
    <w:rsid w:val="00670B1B"/>
    <w:rsid w:val="00671152"/>
    <w:rsid w:val="00671CB8"/>
    <w:rsid w:val="00672122"/>
    <w:rsid w:val="00672ED3"/>
    <w:rsid w:val="00673218"/>
    <w:rsid w:val="006749A6"/>
    <w:rsid w:val="0067542F"/>
    <w:rsid w:val="00675ABD"/>
    <w:rsid w:val="00675BB5"/>
    <w:rsid w:val="00676BED"/>
    <w:rsid w:val="00677FC0"/>
    <w:rsid w:val="006803E4"/>
    <w:rsid w:val="0068057A"/>
    <w:rsid w:val="0068133A"/>
    <w:rsid w:val="006818BE"/>
    <w:rsid w:val="00682325"/>
    <w:rsid w:val="006831CD"/>
    <w:rsid w:val="00683834"/>
    <w:rsid w:val="00683EC1"/>
    <w:rsid w:val="006840A2"/>
    <w:rsid w:val="0068424E"/>
    <w:rsid w:val="006860B7"/>
    <w:rsid w:val="00686151"/>
    <w:rsid w:val="006861C6"/>
    <w:rsid w:val="006871BA"/>
    <w:rsid w:val="00687610"/>
    <w:rsid w:val="00690429"/>
    <w:rsid w:val="00690A26"/>
    <w:rsid w:val="00690F91"/>
    <w:rsid w:val="00692022"/>
    <w:rsid w:val="006926F1"/>
    <w:rsid w:val="00692FFA"/>
    <w:rsid w:val="00693B4E"/>
    <w:rsid w:val="006950E0"/>
    <w:rsid w:val="00696C7B"/>
    <w:rsid w:val="00697F3E"/>
    <w:rsid w:val="006A1909"/>
    <w:rsid w:val="006A28B7"/>
    <w:rsid w:val="006A2ED7"/>
    <w:rsid w:val="006A334E"/>
    <w:rsid w:val="006A4634"/>
    <w:rsid w:val="006A467A"/>
    <w:rsid w:val="006A4B65"/>
    <w:rsid w:val="006A5E90"/>
    <w:rsid w:val="006A7400"/>
    <w:rsid w:val="006B0063"/>
    <w:rsid w:val="006B0386"/>
    <w:rsid w:val="006B05E4"/>
    <w:rsid w:val="006B0EA0"/>
    <w:rsid w:val="006B130C"/>
    <w:rsid w:val="006B1389"/>
    <w:rsid w:val="006B2933"/>
    <w:rsid w:val="006B2DB5"/>
    <w:rsid w:val="006B3C34"/>
    <w:rsid w:val="006B521C"/>
    <w:rsid w:val="006B5986"/>
    <w:rsid w:val="006B60D2"/>
    <w:rsid w:val="006B6F32"/>
    <w:rsid w:val="006B7ADE"/>
    <w:rsid w:val="006C0D30"/>
    <w:rsid w:val="006C12CC"/>
    <w:rsid w:val="006C482C"/>
    <w:rsid w:val="006C4E66"/>
    <w:rsid w:val="006C56C0"/>
    <w:rsid w:val="006C5EF9"/>
    <w:rsid w:val="006C7924"/>
    <w:rsid w:val="006D02F5"/>
    <w:rsid w:val="006D0E06"/>
    <w:rsid w:val="006D117A"/>
    <w:rsid w:val="006D1578"/>
    <w:rsid w:val="006D1D7B"/>
    <w:rsid w:val="006D4077"/>
    <w:rsid w:val="006D4781"/>
    <w:rsid w:val="006D4958"/>
    <w:rsid w:val="006D4EAA"/>
    <w:rsid w:val="006D6A56"/>
    <w:rsid w:val="006D7178"/>
    <w:rsid w:val="006E0889"/>
    <w:rsid w:val="006E2224"/>
    <w:rsid w:val="006E3695"/>
    <w:rsid w:val="006E4357"/>
    <w:rsid w:val="006E466C"/>
    <w:rsid w:val="006E52B7"/>
    <w:rsid w:val="006E5E75"/>
    <w:rsid w:val="006E6650"/>
    <w:rsid w:val="006E72BB"/>
    <w:rsid w:val="006E7D80"/>
    <w:rsid w:val="006F05D4"/>
    <w:rsid w:val="006F1635"/>
    <w:rsid w:val="006F37AD"/>
    <w:rsid w:val="006F515F"/>
    <w:rsid w:val="006F6492"/>
    <w:rsid w:val="006F6FB9"/>
    <w:rsid w:val="006F77A3"/>
    <w:rsid w:val="0070078D"/>
    <w:rsid w:val="007009CF"/>
    <w:rsid w:val="00701D9D"/>
    <w:rsid w:val="00702529"/>
    <w:rsid w:val="0070269F"/>
    <w:rsid w:val="00703728"/>
    <w:rsid w:val="00703B47"/>
    <w:rsid w:val="00704871"/>
    <w:rsid w:val="00704A4E"/>
    <w:rsid w:val="00704BF0"/>
    <w:rsid w:val="007058AD"/>
    <w:rsid w:val="0070597A"/>
    <w:rsid w:val="00705CA1"/>
    <w:rsid w:val="00705F35"/>
    <w:rsid w:val="0070616C"/>
    <w:rsid w:val="0070667F"/>
    <w:rsid w:val="00707533"/>
    <w:rsid w:val="00710AEB"/>
    <w:rsid w:val="00712DC5"/>
    <w:rsid w:val="00712E55"/>
    <w:rsid w:val="00713A85"/>
    <w:rsid w:val="007143A6"/>
    <w:rsid w:val="007148FB"/>
    <w:rsid w:val="00715075"/>
    <w:rsid w:val="00715BA5"/>
    <w:rsid w:val="00716CB0"/>
    <w:rsid w:val="00716D9E"/>
    <w:rsid w:val="00717137"/>
    <w:rsid w:val="007173F0"/>
    <w:rsid w:val="00717D69"/>
    <w:rsid w:val="007200A9"/>
    <w:rsid w:val="007206F9"/>
    <w:rsid w:val="00721007"/>
    <w:rsid w:val="00724A6C"/>
    <w:rsid w:val="00725440"/>
    <w:rsid w:val="0072650F"/>
    <w:rsid w:val="007270EC"/>
    <w:rsid w:val="00730678"/>
    <w:rsid w:val="00731ECE"/>
    <w:rsid w:val="00733334"/>
    <w:rsid w:val="00734B2A"/>
    <w:rsid w:val="00736754"/>
    <w:rsid w:val="00737487"/>
    <w:rsid w:val="007374AB"/>
    <w:rsid w:val="007379D9"/>
    <w:rsid w:val="00737DA2"/>
    <w:rsid w:val="00740933"/>
    <w:rsid w:val="00741627"/>
    <w:rsid w:val="007421ED"/>
    <w:rsid w:val="0074291F"/>
    <w:rsid w:val="00742946"/>
    <w:rsid w:val="00744508"/>
    <w:rsid w:val="007445F2"/>
    <w:rsid w:val="007464D2"/>
    <w:rsid w:val="007465F7"/>
    <w:rsid w:val="00746D44"/>
    <w:rsid w:val="00747A92"/>
    <w:rsid w:val="007526E2"/>
    <w:rsid w:val="00752BCB"/>
    <w:rsid w:val="00755BC1"/>
    <w:rsid w:val="00756F2B"/>
    <w:rsid w:val="007570E0"/>
    <w:rsid w:val="00757F58"/>
    <w:rsid w:val="0076199B"/>
    <w:rsid w:val="00761AFE"/>
    <w:rsid w:val="00761B82"/>
    <w:rsid w:val="00762388"/>
    <w:rsid w:val="0076271B"/>
    <w:rsid w:val="00763453"/>
    <w:rsid w:val="007642D6"/>
    <w:rsid w:val="007644EE"/>
    <w:rsid w:val="00765A2D"/>
    <w:rsid w:val="0076646F"/>
    <w:rsid w:val="00767D78"/>
    <w:rsid w:val="00770763"/>
    <w:rsid w:val="00772E7E"/>
    <w:rsid w:val="0077351A"/>
    <w:rsid w:val="00774AB4"/>
    <w:rsid w:val="00774BA0"/>
    <w:rsid w:val="007757E4"/>
    <w:rsid w:val="00776108"/>
    <w:rsid w:val="00776E92"/>
    <w:rsid w:val="0078117D"/>
    <w:rsid w:val="00782326"/>
    <w:rsid w:val="007827A2"/>
    <w:rsid w:val="00782A3A"/>
    <w:rsid w:val="00784AC6"/>
    <w:rsid w:val="00785037"/>
    <w:rsid w:val="00785842"/>
    <w:rsid w:val="00785907"/>
    <w:rsid w:val="007876DD"/>
    <w:rsid w:val="007879DA"/>
    <w:rsid w:val="007913E2"/>
    <w:rsid w:val="00791999"/>
    <w:rsid w:val="00794754"/>
    <w:rsid w:val="00796290"/>
    <w:rsid w:val="007A0313"/>
    <w:rsid w:val="007A18D1"/>
    <w:rsid w:val="007A1FF1"/>
    <w:rsid w:val="007A27CE"/>
    <w:rsid w:val="007A3FE9"/>
    <w:rsid w:val="007A4406"/>
    <w:rsid w:val="007A4529"/>
    <w:rsid w:val="007A4809"/>
    <w:rsid w:val="007A4A38"/>
    <w:rsid w:val="007A4A87"/>
    <w:rsid w:val="007A6404"/>
    <w:rsid w:val="007A668B"/>
    <w:rsid w:val="007B0668"/>
    <w:rsid w:val="007B0A13"/>
    <w:rsid w:val="007B1009"/>
    <w:rsid w:val="007B2373"/>
    <w:rsid w:val="007B23E4"/>
    <w:rsid w:val="007B288D"/>
    <w:rsid w:val="007B406C"/>
    <w:rsid w:val="007B4E4B"/>
    <w:rsid w:val="007B51C7"/>
    <w:rsid w:val="007B53A1"/>
    <w:rsid w:val="007B58D4"/>
    <w:rsid w:val="007B6160"/>
    <w:rsid w:val="007B7878"/>
    <w:rsid w:val="007C0676"/>
    <w:rsid w:val="007C0929"/>
    <w:rsid w:val="007C0B10"/>
    <w:rsid w:val="007C1D41"/>
    <w:rsid w:val="007C276D"/>
    <w:rsid w:val="007C2B3E"/>
    <w:rsid w:val="007C3648"/>
    <w:rsid w:val="007C429E"/>
    <w:rsid w:val="007C547F"/>
    <w:rsid w:val="007C5D84"/>
    <w:rsid w:val="007C6FB3"/>
    <w:rsid w:val="007C7B3B"/>
    <w:rsid w:val="007C7F36"/>
    <w:rsid w:val="007D0926"/>
    <w:rsid w:val="007D0CA3"/>
    <w:rsid w:val="007D1181"/>
    <w:rsid w:val="007D272F"/>
    <w:rsid w:val="007D2A71"/>
    <w:rsid w:val="007D2D80"/>
    <w:rsid w:val="007D2DA4"/>
    <w:rsid w:val="007D35DA"/>
    <w:rsid w:val="007D58D4"/>
    <w:rsid w:val="007D5ED8"/>
    <w:rsid w:val="007D7C2E"/>
    <w:rsid w:val="007E0210"/>
    <w:rsid w:val="007E04C8"/>
    <w:rsid w:val="007E0A74"/>
    <w:rsid w:val="007E0E1E"/>
    <w:rsid w:val="007E1A85"/>
    <w:rsid w:val="007E26E0"/>
    <w:rsid w:val="007E2ECB"/>
    <w:rsid w:val="007E2ED4"/>
    <w:rsid w:val="007E4A49"/>
    <w:rsid w:val="007E4C6D"/>
    <w:rsid w:val="007E68C5"/>
    <w:rsid w:val="007F0DCD"/>
    <w:rsid w:val="007F301A"/>
    <w:rsid w:val="007F31A5"/>
    <w:rsid w:val="007F3C6F"/>
    <w:rsid w:val="007F40D1"/>
    <w:rsid w:val="007F5D35"/>
    <w:rsid w:val="007F6B84"/>
    <w:rsid w:val="007F6F4A"/>
    <w:rsid w:val="007F7FA1"/>
    <w:rsid w:val="0080059A"/>
    <w:rsid w:val="00802168"/>
    <w:rsid w:val="00802CDF"/>
    <w:rsid w:val="00802CEA"/>
    <w:rsid w:val="00803B60"/>
    <w:rsid w:val="00803CB3"/>
    <w:rsid w:val="008040DB"/>
    <w:rsid w:val="00804921"/>
    <w:rsid w:val="00805127"/>
    <w:rsid w:val="00805139"/>
    <w:rsid w:val="008054EF"/>
    <w:rsid w:val="00806514"/>
    <w:rsid w:val="00807C0E"/>
    <w:rsid w:val="0081009A"/>
    <w:rsid w:val="008102DB"/>
    <w:rsid w:val="0081159F"/>
    <w:rsid w:val="008137D7"/>
    <w:rsid w:val="00813F99"/>
    <w:rsid w:val="0081402B"/>
    <w:rsid w:val="00814677"/>
    <w:rsid w:val="008148DB"/>
    <w:rsid w:val="008149DF"/>
    <w:rsid w:val="00815830"/>
    <w:rsid w:val="00815A66"/>
    <w:rsid w:val="00816E7E"/>
    <w:rsid w:val="00820554"/>
    <w:rsid w:val="0082134F"/>
    <w:rsid w:val="008217A9"/>
    <w:rsid w:val="00822383"/>
    <w:rsid w:val="008234B5"/>
    <w:rsid w:val="00825E36"/>
    <w:rsid w:val="00826BBE"/>
    <w:rsid w:val="00826C20"/>
    <w:rsid w:val="0083010F"/>
    <w:rsid w:val="00832172"/>
    <w:rsid w:val="00832C09"/>
    <w:rsid w:val="00832C30"/>
    <w:rsid w:val="008333FE"/>
    <w:rsid w:val="008334C4"/>
    <w:rsid w:val="0083373E"/>
    <w:rsid w:val="008337F5"/>
    <w:rsid w:val="00833ABE"/>
    <w:rsid w:val="00833BA4"/>
    <w:rsid w:val="00836A5B"/>
    <w:rsid w:val="00837CF3"/>
    <w:rsid w:val="00843054"/>
    <w:rsid w:val="008438B2"/>
    <w:rsid w:val="00843998"/>
    <w:rsid w:val="00843E95"/>
    <w:rsid w:val="00844781"/>
    <w:rsid w:val="00844825"/>
    <w:rsid w:val="00844AD9"/>
    <w:rsid w:val="00845A0D"/>
    <w:rsid w:val="00845A34"/>
    <w:rsid w:val="008468D6"/>
    <w:rsid w:val="00850120"/>
    <w:rsid w:val="00853E09"/>
    <w:rsid w:val="00855AD7"/>
    <w:rsid w:val="00856163"/>
    <w:rsid w:val="00857C29"/>
    <w:rsid w:val="0086042A"/>
    <w:rsid w:val="00860679"/>
    <w:rsid w:val="00860BD6"/>
    <w:rsid w:val="00863F10"/>
    <w:rsid w:val="00864FB1"/>
    <w:rsid w:val="00865378"/>
    <w:rsid w:val="00865547"/>
    <w:rsid w:val="00866B99"/>
    <w:rsid w:val="00871248"/>
    <w:rsid w:val="008716B2"/>
    <w:rsid w:val="00873064"/>
    <w:rsid w:val="008731E3"/>
    <w:rsid w:val="0087383A"/>
    <w:rsid w:val="00873A09"/>
    <w:rsid w:val="0087421F"/>
    <w:rsid w:val="00874E93"/>
    <w:rsid w:val="00875DF2"/>
    <w:rsid w:val="00875F8A"/>
    <w:rsid w:val="00876F3C"/>
    <w:rsid w:val="00877FFB"/>
    <w:rsid w:val="00880DD6"/>
    <w:rsid w:val="008826D9"/>
    <w:rsid w:val="00882A2F"/>
    <w:rsid w:val="00882DF3"/>
    <w:rsid w:val="00882EAA"/>
    <w:rsid w:val="008833C8"/>
    <w:rsid w:val="008836BB"/>
    <w:rsid w:val="00883B02"/>
    <w:rsid w:val="00883B42"/>
    <w:rsid w:val="00886BF1"/>
    <w:rsid w:val="00886E21"/>
    <w:rsid w:val="008901F4"/>
    <w:rsid w:val="00890C3F"/>
    <w:rsid w:val="00891BF2"/>
    <w:rsid w:val="00892745"/>
    <w:rsid w:val="00894090"/>
    <w:rsid w:val="00894655"/>
    <w:rsid w:val="00895104"/>
    <w:rsid w:val="00895768"/>
    <w:rsid w:val="0089663C"/>
    <w:rsid w:val="00896E45"/>
    <w:rsid w:val="008970C4"/>
    <w:rsid w:val="00897907"/>
    <w:rsid w:val="00897EBC"/>
    <w:rsid w:val="008A07D6"/>
    <w:rsid w:val="008A0F71"/>
    <w:rsid w:val="008A177D"/>
    <w:rsid w:val="008A1FA8"/>
    <w:rsid w:val="008A2D14"/>
    <w:rsid w:val="008A4096"/>
    <w:rsid w:val="008A5AAD"/>
    <w:rsid w:val="008A651A"/>
    <w:rsid w:val="008A7618"/>
    <w:rsid w:val="008A7D48"/>
    <w:rsid w:val="008B131B"/>
    <w:rsid w:val="008B1361"/>
    <w:rsid w:val="008B1B0C"/>
    <w:rsid w:val="008B2024"/>
    <w:rsid w:val="008B43C0"/>
    <w:rsid w:val="008B499C"/>
    <w:rsid w:val="008B5764"/>
    <w:rsid w:val="008B7F99"/>
    <w:rsid w:val="008C1592"/>
    <w:rsid w:val="008C16CB"/>
    <w:rsid w:val="008C209E"/>
    <w:rsid w:val="008C20F7"/>
    <w:rsid w:val="008C2D73"/>
    <w:rsid w:val="008C413E"/>
    <w:rsid w:val="008C5608"/>
    <w:rsid w:val="008C73E9"/>
    <w:rsid w:val="008C7E6C"/>
    <w:rsid w:val="008D0DBC"/>
    <w:rsid w:val="008D16BF"/>
    <w:rsid w:val="008D480C"/>
    <w:rsid w:val="008D4C7B"/>
    <w:rsid w:val="008D5B01"/>
    <w:rsid w:val="008D61EE"/>
    <w:rsid w:val="008D6498"/>
    <w:rsid w:val="008E127C"/>
    <w:rsid w:val="008E1720"/>
    <w:rsid w:val="008E1893"/>
    <w:rsid w:val="008E32FE"/>
    <w:rsid w:val="008E34AC"/>
    <w:rsid w:val="008E39C1"/>
    <w:rsid w:val="008E47AC"/>
    <w:rsid w:val="008E4851"/>
    <w:rsid w:val="008E51D4"/>
    <w:rsid w:val="008E728C"/>
    <w:rsid w:val="008E73E5"/>
    <w:rsid w:val="008E761C"/>
    <w:rsid w:val="008F03B6"/>
    <w:rsid w:val="008F15F7"/>
    <w:rsid w:val="008F1A3B"/>
    <w:rsid w:val="008F3614"/>
    <w:rsid w:val="008F3F63"/>
    <w:rsid w:val="008F56F3"/>
    <w:rsid w:val="008F636C"/>
    <w:rsid w:val="008F6871"/>
    <w:rsid w:val="008F744D"/>
    <w:rsid w:val="008F7D43"/>
    <w:rsid w:val="008F7F40"/>
    <w:rsid w:val="008F7F4B"/>
    <w:rsid w:val="00901780"/>
    <w:rsid w:val="00902058"/>
    <w:rsid w:val="00902066"/>
    <w:rsid w:val="0090388A"/>
    <w:rsid w:val="00903ABE"/>
    <w:rsid w:val="00903E92"/>
    <w:rsid w:val="00905107"/>
    <w:rsid w:val="009061C3"/>
    <w:rsid w:val="009067C7"/>
    <w:rsid w:val="00907FA2"/>
    <w:rsid w:val="0091005E"/>
    <w:rsid w:val="00911DFD"/>
    <w:rsid w:val="009124C3"/>
    <w:rsid w:val="0091250F"/>
    <w:rsid w:val="009134AA"/>
    <w:rsid w:val="00914AE8"/>
    <w:rsid w:val="00914C00"/>
    <w:rsid w:val="00914E73"/>
    <w:rsid w:val="00915D67"/>
    <w:rsid w:val="00916021"/>
    <w:rsid w:val="009163D7"/>
    <w:rsid w:val="00916575"/>
    <w:rsid w:val="00917C17"/>
    <w:rsid w:val="009203DF"/>
    <w:rsid w:val="0092084F"/>
    <w:rsid w:val="00920F69"/>
    <w:rsid w:val="0092225E"/>
    <w:rsid w:val="00922410"/>
    <w:rsid w:val="009224DC"/>
    <w:rsid w:val="00922E08"/>
    <w:rsid w:val="00923579"/>
    <w:rsid w:val="009247B0"/>
    <w:rsid w:val="00925040"/>
    <w:rsid w:val="009252B3"/>
    <w:rsid w:val="00925AE8"/>
    <w:rsid w:val="009264D0"/>
    <w:rsid w:val="00927B30"/>
    <w:rsid w:val="0093037C"/>
    <w:rsid w:val="009303E4"/>
    <w:rsid w:val="0093053B"/>
    <w:rsid w:val="009307DD"/>
    <w:rsid w:val="00930C58"/>
    <w:rsid w:val="00932B67"/>
    <w:rsid w:val="00933C25"/>
    <w:rsid w:val="00933C89"/>
    <w:rsid w:val="00935242"/>
    <w:rsid w:val="009357AC"/>
    <w:rsid w:val="00936C12"/>
    <w:rsid w:val="00940A6F"/>
    <w:rsid w:val="00940D4F"/>
    <w:rsid w:val="009412A9"/>
    <w:rsid w:val="00941A98"/>
    <w:rsid w:val="00944B30"/>
    <w:rsid w:val="00950D29"/>
    <w:rsid w:val="00952D49"/>
    <w:rsid w:val="00952F6F"/>
    <w:rsid w:val="00955356"/>
    <w:rsid w:val="009578D1"/>
    <w:rsid w:val="00957C86"/>
    <w:rsid w:val="00960990"/>
    <w:rsid w:val="009609EF"/>
    <w:rsid w:val="00960FF0"/>
    <w:rsid w:val="00961A76"/>
    <w:rsid w:val="00962A14"/>
    <w:rsid w:val="00962E99"/>
    <w:rsid w:val="00963892"/>
    <w:rsid w:val="00963C32"/>
    <w:rsid w:val="00966D91"/>
    <w:rsid w:val="00967D34"/>
    <w:rsid w:val="00967FC8"/>
    <w:rsid w:val="00970A7F"/>
    <w:rsid w:val="00973069"/>
    <w:rsid w:val="009734A3"/>
    <w:rsid w:val="009736E7"/>
    <w:rsid w:val="00973A22"/>
    <w:rsid w:val="00973AFF"/>
    <w:rsid w:val="00973D15"/>
    <w:rsid w:val="00974501"/>
    <w:rsid w:val="00974A68"/>
    <w:rsid w:val="00974AB3"/>
    <w:rsid w:val="009755D3"/>
    <w:rsid w:val="00975EFB"/>
    <w:rsid w:val="0097600A"/>
    <w:rsid w:val="00976F0E"/>
    <w:rsid w:val="00977C20"/>
    <w:rsid w:val="009804AB"/>
    <w:rsid w:val="009806C3"/>
    <w:rsid w:val="009817F9"/>
    <w:rsid w:val="009822A2"/>
    <w:rsid w:val="00982665"/>
    <w:rsid w:val="0098298E"/>
    <w:rsid w:val="00982A43"/>
    <w:rsid w:val="00982C7F"/>
    <w:rsid w:val="00983206"/>
    <w:rsid w:val="00984EC7"/>
    <w:rsid w:val="009863A2"/>
    <w:rsid w:val="009865C2"/>
    <w:rsid w:val="0099009B"/>
    <w:rsid w:val="009924C3"/>
    <w:rsid w:val="00992593"/>
    <w:rsid w:val="00992717"/>
    <w:rsid w:val="009930A9"/>
    <w:rsid w:val="00993274"/>
    <w:rsid w:val="009933AF"/>
    <w:rsid w:val="00994EB1"/>
    <w:rsid w:val="0099580F"/>
    <w:rsid w:val="00995DAA"/>
    <w:rsid w:val="00995EDB"/>
    <w:rsid w:val="00997297"/>
    <w:rsid w:val="00997A42"/>
    <w:rsid w:val="009A0A87"/>
    <w:rsid w:val="009A171B"/>
    <w:rsid w:val="009A1F2E"/>
    <w:rsid w:val="009A2AF1"/>
    <w:rsid w:val="009A618D"/>
    <w:rsid w:val="009A6AB1"/>
    <w:rsid w:val="009A6AB2"/>
    <w:rsid w:val="009B0FA9"/>
    <w:rsid w:val="009B165D"/>
    <w:rsid w:val="009B2152"/>
    <w:rsid w:val="009B295F"/>
    <w:rsid w:val="009B2A6C"/>
    <w:rsid w:val="009B2E70"/>
    <w:rsid w:val="009B303B"/>
    <w:rsid w:val="009B34E9"/>
    <w:rsid w:val="009B3E74"/>
    <w:rsid w:val="009B42BB"/>
    <w:rsid w:val="009B46C8"/>
    <w:rsid w:val="009B472B"/>
    <w:rsid w:val="009B5182"/>
    <w:rsid w:val="009B5F8D"/>
    <w:rsid w:val="009B5F9E"/>
    <w:rsid w:val="009B669D"/>
    <w:rsid w:val="009C1B3E"/>
    <w:rsid w:val="009C7669"/>
    <w:rsid w:val="009D14DA"/>
    <w:rsid w:val="009D18CA"/>
    <w:rsid w:val="009D4040"/>
    <w:rsid w:val="009D42B9"/>
    <w:rsid w:val="009D4FB1"/>
    <w:rsid w:val="009D58D6"/>
    <w:rsid w:val="009D5C50"/>
    <w:rsid w:val="009D5DBE"/>
    <w:rsid w:val="009D7B39"/>
    <w:rsid w:val="009E016C"/>
    <w:rsid w:val="009E0416"/>
    <w:rsid w:val="009E095D"/>
    <w:rsid w:val="009E1696"/>
    <w:rsid w:val="009E1E58"/>
    <w:rsid w:val="009E1FE6"/>
    <w:rsid w:val="009E2D15"/>
    <w:rsid w:val="009E2EE6"/>
    <w:rsid w:val="009E3A07"/>
    <w:rsid w:val="009E406A"/>
    <w:rsid w:val="009E700F"/>
    <w:rsid w:val="009E745B"/>
    <w:rsid w:val="009F0058"/>
    <w:rsid w:val="009F2BC7"/>
    <w:rsid w:val="009F3736"/>
    <w:rsid w:val="009F39C2"/>
    <w:rsid w:val="009F46C1"/>
    <w:rsid w:val="009F4E40"/>
    <w:rsid w:val="009F56DF"/>
    <w:rsid w:val="009F5BB9"/>
    <w:rsid w:val="009F6211"/>
    <w:rsid w:val="009F6FBB"/>
    <w:rsid w:val="009F7144"/>
    <w:rsid w:val="009F7379"/>
    <w:rsid w:val="009F76EF"/>
    <w:rsid w:val="009F7FB1"/>
    <w:rsid w:val="00A01031"/>
    <w:rsid w:val="00A037A9"/>
    <w:rsid w:val="00A051EC"/>
    <w:rsid w:val="00A07A8B"/>
    <w:rsid w:val="00A114F5"/>
    <w:rsid w:val="00A115B2"/>
    <w:rsid w:val="00A115E1"/>
    <w:rsid w:val="00A11DB4"/>
    <w:rsid w:val="00A14001"/>
    <w:rsid w:val="00A141E8"/>
    <w:rsid w:val="00A147D5"/>
    <w:rsid w:val="00A1591A"/>
    <w:rsid w:val="00A16410"/>
    <w:rsid w:val="00A16854"/>
    <w:rsid w:val="00A17503"/>
    <w:rsid w:val="00A203C4"/>
    <w:rsid w:val="00A212F4"/>
    <w:rsid w:val="00A22BCE"/>
    <w:rsid w:val="00A22F8B"/>
    <w:rsid w:val="00A24A59"/>
    <w:rsid w:val="00A25041"/>
    <w:rsid w:val="00A270E3"/>
    <w:rsid w:val="00A275EB"/>
    <w:rsid w:val="00A27B4A"/>
    <w:rsid w:val="00A30272"/>
    <w:rsid w:val="00A30496"/>
    <w:rsid w:val="00A30820"/>
    <w:rsid w:val="00A3200E"/>
    <w:rsid w:val="00A32033"/>
    <w:rsid w:val="00A32283"/>
    <w:rsid w:val="00A34696"/>
    <w:rsid w:val="00A34931"/>
    <w:rsid w:val="00A34E27"/>
    <w:rsid w:val="00A35410"/>
    <w:rsid w:val="00A36473"/>
    <w:rsid w:val="00A37B3F"/>
    <w:rsid w:val="00A423FB"/>
    <w:rsid w:val="00A42EC4"/>
    <w:rsid w:val="00A4410B"/>
    <w:rsid w:val="00A44F17"/>
    <w:rsid w:val="00A457D2"/>
    <w:rsid w:val="00A4788D"/>
    <w:rsid w:val="00A47CC2"/>
    <w:rsid w:val="00A50CFD"/>
    <w:rsid w:val="00A51368"/>
    <w:rsid w:val="00A5174F"/>
    <w:rsid w:val="00A52803"/>
    <w:rsid w:val="00A52C2A"/>
    <w:rsid w:val="00A5338B"/>
    <w:rsid w:val="00A54EDE"/>
    <w:rsid w:val="00A55648"/>
    <w:rsid w:val="00A5571C"/>
    <w:rsid w:val="00A57569"/>
    <w:rsid w:val="00A5763E"/>
    <w:rsid w:val="00A5791F"/>
    <w:rsid w:val="00A57B2E"/>
    <w:rsid w:val="00A6151D"/>
    <w:rsid w:val="00A62A1E"/>
    <w:rsid w:val="00A638AC"/>
    <w:rsid w:val="00A66725"/>
    <w:rsid w:val="00A70003"/>
    <w:rsid w:val="00A70745"/>
    <w:rsid w:val="00A7155D"/>
    <w:rsid w:val="00A72754"/>
    <w:rsid w:val="00A7393F"/>
    <w:rsid w:val="00A73BF9"/>
    <w:rsid w:val="00A74161"/>
    <w:rsid w:val="00A758E8"/>
    <w:rsid w:val="00A763D6"/>
    <w:rsid w:val="00A76B46"/>
    <w:rsid w:val="00A80C5C"/>
    <w:rsid w:val="00A80CC5"/>
    <w:rsid w:val="00A813CF"/>
    <w:rsid w:val="00A82BFD"/>
    <w:rsid w:val="00A852FF"/>
    <w:rsid w:val="00A860EF"/>
    <w:rsid w:val="00A863C5"/>
    <w:rsid w:val="00A871FC"/>
    <w:rsid w:val="00A87AAD"/>
    <w:rsid w:val="00A90416"/>
    <w:rsid w:val="00A907BA"/>
    <w:rsid w:val="00A9192F"/>
    <w:rsid w:val="00A925EB"/>
    <w:rsid w:val="00A92684"/>
    <w:rsid w:val="00A9288E"/>
    <w:rsid w:val="00A93889"/>
    <w:rsid w:val="00A942A0"/>
    <w:rsid w:val="00A94551"/>
    <w:rsid w:val="00A94BDD"/>
    <w:rsid w:val="00A956FB"/>
    <w:rsid w:val="00A95A3B"/>
    <w:rsid w:val="00A9619E"/>
    <w:rsid w:val="00AA0028"/>
    <w:rsid w:val="00AA0555"/>
    <w:rsid w:val="00AA074E"/>
    <w:rsid w:val="00AA1421"/>
    <w:rsid w:val="00AA400A"/>
    <w:rsid w:val="00AA5B88"/>
    <w:rsid w:val="00AA65B0"/>
    <w:rsid w:val="00AB36B5"/>
    <w:rsid w:val="00AB3979"/>
    <w:rsid w:val="00AB61E4"/>
    <w:rsid w:val="00AB670E"/>
    <w:rsid w:val="00AB6EFE"/>
    <w:rsid w:val="00AB7218"/>
    <w:rsid w:val="00AC11C6"/>
    <w:rsid w:val="00AC2621"/>
    <w:rsid w:val="00AC3662"/>
    <w:rsid w:val="00AC399A"/>
    <w:rsid w:val="00AC48F5"/>
    <w:rsid w:val="00AC5A70"/>
    <w:rsid w:val="00AC6933"/>
    <w:rsid w:val="00AC7691"/>
    <w:rsid w:val="00AD3A18"/>
    <w:rsid w:val="00AD531F"/>
    <w:rsid w:val="00AD5C5A"/>
    <w:rsid w:val="00AD60A8"/>
    <w:rsid w:val="00AD768A"/>
    <w:rsid w:val="00AE11CA"/>
    <w:rsid w:val="00AE1EEE"/>
    <w:rsid w:val="00AE2111"/>
    <w:rsid w:val="00AE36A9"/>
    <w:rsid w:val="00AE4726"/>
    <w:rsid w:val="00AF04AB"/>
    <w:rsid w:val="00AF0504"/>
    <w:rsid w:val="00AF0F52"/>
    <w:rsid w:val="00AF56BD"/>
    <w:rsid w:val="00AF5ADB"/>
    <w:rsid w:val="00AF5D6E"/>
    <w:rsid w:val="00AF5EF2"/>
    <w:rsid w:val="00AF5F35"/>
    <w:rsid w:val="00AF6E79"/>
    <w:rsid w:val="00AF74BE"/>
    <w:rsid w:val="00B00E63"/>
    <w:rsid w:val="00B00ED2"/>
    <w:rsid w:val="00B011BC"/>
    <w:rsid w:val="00B01277"/>
    <w:rsid w:val="00B025F9"/>
    <w:rsid w:val="00B02A3D"/>
    <w:rsid w:val="00B02A57"/>
    <w:rsid w:val="00B03B03"/>
    <w:rsid w:val="00B04BE9"/>
    <w:rsid w:val="00B06455"/>
    <w:rsid w:val="00B12480"/>
    <w:rsid w:val="00B12833"/>
    <w:rsid w:val="00B12E33"/>
    <w:rsid w:val="00B13AAD"/>
    <w:rsid w:val="00B13B7B"/>
    <w:rsid w:val="00B13DB4"/>
    <w:rsid w:val="00B13DD8"/>
    <w:rsid w:val="00B13E91"/>
    <w:rsid w:val="00B14485"/>
    <w:rsid w:val="00B14F48"/>
    <w:rsid w:val="00B159F7"/>
    <w:rsid w:val="00B15C6F"/>
    <w:rsid w:val="00B175ED"/>
    <w:rsid w:val="00B1773E"/>
    <w:rsid w:val="00B2007B"/>
    <w:rsid w:val="00B2064F"/>
    <w:rsid w:val="00B2104E"/>
    <w:rsid w:val="00B23727"/>
    <w:rsid w:val="00B25DE9"/>
    <w:rsid w:val="00B25E28"/>
    <w:rsid w:val="00B30F80"/>
    <w:rsid w:val="00B32E13"/>
    <w:rsid w:val="00B330E2"/>
    <w:rsid w:val="00B336A6"/>
    <w:rsid w:val="00B3503A"/>
    <w:rsid w:val="00B35322"/>
    <w:rsid w:val="00B354B4"/>
    <w:rsid w:val="00B357C4"/>
    <w:rsid w:val="00B357C6"/>
    <w:rsid w:val="00B35D1B"/>
    <w:rsid w:val="00B37EA4"/>
    <w:rsid w:val="00B37ED7"/>
    <w:rsid w:val="00B41DEB"/>
    <w:rsid w:val="00B42680"/>
    <w:rsid w:val="00B4379F"/>
    <w:rsid w:val="00B44C13"/>
    <w:rsid w:val="00B44DF3"/>
    <w:rsid w:val="00B45722"/>
    <w:rsid w:val="00B46403"/>
    <w:rsid w:val="00B5041B"/>
    <w:rsid w:val="00B50C70"/>
    <w:rsid w:val="00B5241D"/>
    <w:rsid w:val="00B525FC"/>
    <w:rsid w:val="00B53ADE"/>
    <w:rsid w:val="00B5460C"/>
    <w:rsid w:val="00B55135"/>
    <w:rsid w:val="00B5542E"/>
    <w:rsid w:val="00B556F9"/>
    <w:rsid w:val="00B6035F"/>
    <w:rsid w:val="00B603EB"/>
    <w:rsid w:val="00B60525"/>
    <w:rsid w:val="00B61E63"/>
    <w:rsid w:val="00B62AB2"/>
    <w:rsid w:val="00B62C32"/>
    <w:rsid w:val="00B63C31"/>
    <w:rsid w:val="00B6442E"/>
    <w:rsid w:val="00B669BE"/>
    <w:rsid w:val="00B66C01"/>
    <w:rsid w:val="00B67299"/>
    <w:rsid w:val="00B674A8"/>
    <w:rsid w:val="00B733E9"/>
    <w:rsid w:val="00B73EDA"/>
    <w:rsid w:val="00B7457A"/>
    <w:rsid w:val="00B756E4"/>
    <w:rsid w:val="00B75F92"/>
    <w:rsid w:val="00B77BA8"/>
    <w:rsid w:val="00B81641"/>
    <w:rsid w:val="00B818E2"/>
    <w:rsid w:val="00B819F2"/>
    <w:rsid w:val="00B82631"/>
    <w:rsid w:val="00B82708"/>
    <w:rsid w:val="00B82BFB"/>
    <w:rsid w:val="00B83C6F"/>
    <w:rsid w:val="00B83CF7"/>
    <w:rsid w:val="00B83EE8"/>
    <w:rsid w:val="00B84771"/>
    <w:rsid w:val="00B8617D"/>
    <w:rsid w:val="00B87586"/>
    <w:rsid w:val="00B91158"/>
    <w:rsid w:val="00B914E8"/>
    <w:rsid w:val="00B92242"/>
    <w:rsid w:val="00B92443"/>
    <w:rsid w:val="00B928B3"/>
    <w:rsid w:val="00B94082"/>
    <w:rsid w:val="00B9660C"/>
    <w:rsid w:val="00B976D4"/>
    <w:rsid w:val="00BA168E"/>
    <w:rsid w:val="00BA3C2D"/>
    <w:rsid w:val="00BA4894"/>
    <w:rsid w:val="00BA65B9"/>
    <w:rsid w:val="00BB05D2"/>
    <w:rsid w:val="00BB0A7C"/>
    <w:rsid w:val="00BB1464"/>
    <w:rsid w:val="00BB1D0B"/>
    <w:rsid w:val="00BB1EE2"/>
    <w:rsid w:val="00BB2429"/>
    <w:rsid w:val="00BB32FC"/>
    <w:rsid w:val="00BB3A0E"/>
    <w:rsid w:val="00BB5E91"/>
    <w:rsid w:val="00BB6380"/>
    <w:rsid w:val="00BC0500"/>
    <w:rsid w:val="00BC0597"/>
    <w:rsid w:val="00BC176D"/>
    <w:rsid w:val="00BC2235"/>
    <w:rsid w:val="00BC5B31"/>
    <w:rsid w:val="00BD0DF9"/>
    <w:rsid w:val="00BD1827"/>
    <w:rsid w:val="00BD22E2"/>
    <w:rsid w:val="00BD271D"/>
    <w:rsid w:val="00BD2CB7"/>
    <w:rsid w:val="00BD2EEE"/>
    <w:rsid w:val="00BD38AF"/>
    <w:rsid w:val="00BD3AEB"/>
    <w:rsid w:val="00BD43EF"/>
    <w:rsid w:val="00BD733A"/>
    <w:rsid w:val="00BD77B1"/>
    <w:rsid w:val="00BE14F9"/>
    <w:rsid w:val="00BE2D83"/>
    <w:rsid w:val="00BE3F10"/>
    <w:rsid w:val="00BE41EE"/>
    <w:rsid w:val="00BE46FE"/>
    <w:rsid w:val="00BE4D1C"/>
    <w:rsid w:val="00BE55C8"/>
    <w:rsid w:val="00BE5625"/>
    <w:rsid w:val="00BE6F84"/>
    <w:rsid w:val="00BF02EE"/>
    <w:rsid w:val="00BF0753"/>
    <w:rsid w:val="00BF0A10"/>
    <w:rsid w:val="00BF0B5E"/>
    <w:rsid w:val="00BF0FD8"/>
    <w:rsid w:val="00BF16C5"/>
    <w:rsid w:val="00BF3C19"/>
    <w:rsid w:val="00BF55C4"/>
    <w:rsid w:val="00BF5B21"/>
    <w:rsid w:val="00BF69CD"/>
    <w:rsid w:val="00BF717A"/>
    <w:rsid w:val="00BF76EA"/>
    <w:rsid w:val="00C002A4"/>
    <w:rsid w:val="00C01066"/>
    <w:rsid w:val="00C02246"/>
    <w:rsid w:val="00C041FA"/>
    <w:rsid w:val="00C0446F"/>
    <w:rsid w:val="00C0456E"/>
    <w:rsid w:val="00C05396"/>
    <w:rsid w:val="00C055CA"/>
    <w:rsid w:val="00C07C49"/>
    <w:rsid w:val="00C10818"/>
    <w:rsid w:val="00C11F49"/>
    <w:rsid w:val="00C1430F"/>
    <w:rsid w:val="00C14CEC"/>
    <w:rsid w:val="00C15796"/>
    <w:rsid w:val="00C15EE9"/>
    <w:rsid w:val="00C16581"/>
    <w:rsid w:val="00C16AFC"/>
    <w:rsid w:val="00C16B38"/>
    <w:rsid w:val="00C17183"/>
    <w:rsid w:val="00C202FB"/>
    <w:rsid w:val="00C2075E"/>
    <w:rsid w:val="00C20F67"/>
    <w:rsid w:val="00C21801"/>
    <w:rsid w:val="00C235E4"/>
    <w:rsid w:val="00C25309"/>
    <w:rsid w:val="00C256A5"/>
    <w:rsid w:val="00C265C9"/>
    <w:rsid w:val="00C2714A"/>
    <w:rsid w:val="00C27EB6"/>
    <w:rsid w:val="00C30994"/>
    <w:rsid w:val="00C31861"/>
    <w:rsid w:val="00C3289D"/>
    <w:rsid w:val="00C33C04"/>
    <w:rsid w:val="00C33E06"/>
    <w:rsid w:val="00C355E8"/>
    <w:rsid w:val="00C35B5B"/>
    <w:rsid w:val="00C361C5"/>
    <w:rsid w:val="00C3672C"/>
    <w:rsid w:val="00C37909"/>
    <w:rsid w:val="00C41C9A"/>
    <w:rsid w:val="00C42073"/>
    <w:rsid w:val="00C42634"/>
    <w:rsid w:val="00C42F36"/>
    <w:rsid w:val="00C4351B"/>
    <w:rsid w:val="00C43626"/>
    <w:rsid w:val="00C4498B"/>
    <w:rsid w:val="00C46075"/>
    <w:rsid w:val="00C4640C"/>
    <w:rsid w:val="00C46549"/>
    <w:rsid w:val="00C4706A"/>
    <w:rsid w:val="00C501C5"/>
    <w:rsid w:val="00C508B3"/>
    <w:rsid w:val="00C51074"/>
    <w:rsid w:val="00C512CB"/>
    <w:rsid w:val="00C51EF2"/>
    <w:rsid w:val="00C54D88"/>
    <w:rsid w:val="00C555AB"/>
    <w:rsid w:val="00C55ADF"/>
    <w:rsid w:val="00C565B8"/>
    <w:rsid w:val="00C57EA7"/>
    <w:rsid w:val="00C603AA"/>
    <w:rsid w:val="00C6197D"/>
    <w:rsid w:val="00C61F42"/>
    <w:rsid w:val="00C623BE"/>
    <w:rsid w:val="00C627C6"/>
    <w:rsid w:val="00C650F7"/>
    <w:rsid w:val="00C65A6B"/>
    <w:rsid w:val="00C66152"/>
    <w:rsid w:val="00C67652"/>
    <w:rsid w:val="00C71675"/>
    <w:rsid w:val="00C71D4A"/>
    <w:rsid w:val="00C721FB"/>
    <w:rsid w:val="00C7484A"/>
    <w:rsid w:val="00C750AE"/>
    <w:rsid w:val="00C75F2E"/>
    <w:rsid w:val="00C764ED"/>
    <w:rsid w:val="00C76D9E"/>
    <w:rsid w:val="00C801C7"/>
    <w:rsid w:val="00C80217"/>
    <w:rsid w:val="00C8022C"/>
    <w:rsid w:val="00C803B1"/>
    <w:rsid w:val="00C80418"/>
    <w:rsid w:val="00C804C9"/>
    <w:rsid w:val="00C8102D"/>
    <w:rsid w:val="00C83A0D"/>
    <w:rsid w:val="00C84617"/>
    <w:rsid w:val="00C84C48"/>
    <w:rsid w:val="00C85A58"/>
    <w:rsid w:val="00C86822"/>
    <w:rsid w:val="00C878DE"/>
    <w:rsid w:val="00C8790C"/>
    <w:rsid w:val="00C930A3"/>
    <w:rsid w:val="00C93860"/>
    <w:rsid w:val="00C93C64"/>
    <w:rsid w:val="00C942A9"/>
    <w:rsid w:val="00C9488D"/>
    <w:rsid w:val="00C94C5A"/>
    <w:rsid w:val="00C9511A"/>
    <w:rsid w:val="00C95739"/>
    <w:rsid w:val="00C9646C"/>
    <w:rsid w:val="00C965BC"/>
    <w:rsid w:val="00CA191B"/>
    <w:rsid w:val="00CA1DA9"/>
    <w:rsid w:val="00CA240D"/>
    <w:rsid w:val="00CA32A2"/>
    <w:rsid w:val="00CA37B9"/>
    <w:rsid w:val="00CA3974"/>
    <w:rsid w:val="00CA4ADA"/>
    <w:rsid w:val="00CA747D"/>
    <w:rsid w:val="00CB0085"/>
    <w:rsid w:val="00CB1887"/>
    <w:rsid w:val="00CB2DE3"/>
    <w:rsid w:val="00CB30ED"/>
    <w:rsid w:val="00CB3575"/>
    <w:rsid w:val="00CB3C84"/>
    <w:rsid w:val="00CB3E68"/>
    <w:rsid w:val="00CB4565"/>
    <w:rsid w:val="00CB4EB0"/>
    <w:rsid w:val="00CB5521"/>
    <w:rsid w:val="00CB5ABC"/>
    <w:rsid w:val="00CB5D2C"/>
    <w:rsid w:val="00CB679B"/>
    <w:rsid w:val="00CB7FCA"/>
    <w:rsid w:val="00CC5C05"/>
    <w:rsid w:val="00CC6D6F"/>
    <w:rsid w:val="00CC70E7"/>
    <w:rsid w:val="00CC7EBF"/>
    <w:rsid w:val="00CD0EE6"/>
    <w:rsid w:val="00CD20E7"/>
    <w:rsid w:val="00CD21BB"/>
    <w:rsid w:val="00CD3602"/>
    <w:rsid w:val="00CD4462"/>
    <w:rsid w:val="00CD4C41"/>
    <w:rsid w:val="00CD4E00"/>
    <w:rsid w:val="00CD5B26"/>
    <w:rsid w:val="00CD5E07"/>
    <w:rsid w:val="00CD6BC5"/>
    <w:rsid w:val="00CD6E3C"/>
    <w:rsid w:val="00CD6F0F"/>
    <w:rsid w:val="00CD6F68"/>
    <w:rsid w:val="00CD744E"/>
    <w:rsid w:val="00CD7DF0"/>
    <w:rsid w:val="00CE0556"/>
    <w:rsid w:val="00CE09E9"/>
    <w:rsid w:val="00CE0A34"/>
    <w:rsid w:val="00CE2AF8"/>
    <w:rsid w:val="00CE4A5A"/>
    <w:rsid w:val="00CE68B7"/>
    <w:rsid w:val="00CF0014"/>
    <w:rsid w:val="00CF27D4"/>
    <w:rsid w:val="00CF2C8B"/>
    <w:rsid w:val="00CF2F10"/>
    <w:rsid w:val="00CF42D8"/>
    <w:rsid w:val="00CF4546"/>
    <w:rsid w:val="00CF696E"/>
    <w:rsid w:val="00D006CB"/>
    <w:rsid w:val="00D00836"/>
    <w:rsid w:val="00D011F8"/>
    <w:rsid w:val="00D028CE"/>
    <w:rsid w:val="00D02A90"/>
    <w:rsid w:val="00D04560"/>
    <w:rsid w:val="00D047CE"/>
    <w:rsid w:val="00D05679"/>
    <w:rsid w:val="00D062BE"/>
    <w:rsid w:val="00D069B6"/>
    <w:rsid w:val="00D06FEA"/>
    <w:rsid w:val="00D075C0"/>
    <w:rsid w:val="00D1046E"/>
    <w:rsid w:val="00D1123D"/>
    <w:rsid w:val="00D1196E"/>
    <w:rsid w:val="00D11BF6"/>
    <w:rsid w:val="00D150A5"/>
    <w:rsid w:val="00D154D5"/>
    <w:rsid w:val="00D15DA7"/>
    <w:rsid w:val="00D21411"/>
    <w:rsid w:val="00D21476"/>
    <w:rsid w:val="00D214D4"/>
    <w:rsid w:val="00D2163A"/>
    <w:rsid w:val="00D21C63"/>
    <w:rsid w:val="00D223AE"/>
    <w:rsid w:val="00D235E8"/>
    <w:rsid w:val="00D235F2"/>
    <w:rsid w:val="00D23DCC"/>
    <w:rsid w:val="00D24855"/>
    <w:rsid w:val="00D25904"/>
    <w:rsid w:val="00D25BE1"/>
    <w:rsid w:val="00D25DEE"/>
    <w:rsid w:val="00D26989"/>
    <w:rsid w:val="00D26A57"/>
    <w:rsid w:val="00D31CCF"/>
    <w:rsid w:val="00D33203"/>
    <w:rsid w:val="00D34037"/>
    <w:rsid w:val="00D34167"/>
    <w:rsid w:val="00D34AD3"/>
    <w:rsid w:val="00D35F45"/>
    <w:rsid w:val="00D37E78"/>
    <w:rsid w:val="00D40F0B"/>
    <w:rsid w:val="00D41004"/>
    <w:rsid w:val="00D43184"/>
    <w:rsid w:val="00D43E96"/>
    <w:rsid w:val="00D4401D"/>
    <w:rsid w:val="00D44CF7"/>
    <w:rsid w:val="00D457F9"/>
    <w:rsid w:val="00D45BDA"/>
    <w:rsid w:val="00D468B6"/>
    <w:rsid w:val="00D475A4"/>
    <w:rsid w:val="00D508C8"/>
    <w:rsid w:val="00D50B47"/>
    <w:rsid w:val="00D50D96"/>
    <w:rsid w:val="00D50E95"/>
    <w:rsid w:val="00D51CE0"/>
    <w:rsid w:val="00D52EC5"/>
    <w:rsid w:val="00D548FF"/>
    <w:rsid w:val="00D561C4"/>
    <w:rsid w:val="00D56503"/>
    <w:rsid w:val="00D56806"/>
    <w:rsid w:val="00D56845"/>
    <w:rsid w:val="00D57BAA"/>
    <w:rsid w:val="00D57C90"/>
    <w:rsid w:val="00D57F73"/>
    <w:rsid w:val="00D60A09"/>
    <w:rsid w:val="00D60F2C"/>
    <w:rsid w:val="00D6200D"/>
    <w:rsid w:val="00D62057"/>
    <w:rsid w:val="00D627FA"/>
    <w:rsid w:val="00D632C1"/>
    <w:rsid w:val="00D63EAF"/>
    <w:rsid w:val="00D64473"/>
    <w:rsid w:val="00D65641"/>
    <w:rsid w:val="00D66EE7"/>
    <w:rsid w:val="00D67023"/>
    <w:rsid w:val="00D678C6"/>
    <w:rsid w:val="00D67CBB"/>
    <w:rsid w:val="00D67D69"/>
    <w:rsid w:val="00D70290"/>
    <w:rsid w:val="00D70B8E"/>
    <w:rsid w:val="00D71666"/>
    <w:rsid w:val="00D71A76"/>
    <w:rsid w:val="00D73215"/>
    <w:rsid w:val="00D740AE"/>
    <w:rsid w:val="00D747A6"/>
    <w:rsid w:val="00D75415"/>
    <w:rsid w:val="00D763D6"/>
    <w:rsid w:val="00D77CE4"/>
    <w:rsid w:val="00D800BC"/>
    <w:rsid w:val="00D801CE"/>
    <w:rsid w:val="00D80A79"/>
    <w:rsid w:val="00D812ED"/>
    <w:rsid w:val="00D8179B"/>
    <w:rsid w:val="00D837CE"/>
    <w:rsid w:val="00D83A27"/>
    <w:rsid w:val="00D83B94"/>
    <w:rsid w:val="00D83E68"/>
    <w:rsid w:val="00D84F32"/>
    <w:rsid w:val="00D856E3"/>
    <w:rsid w:val="00D869EA"/>
    <w:rsid w:val="00D87760"/>
    <w:rsid w:val="00D87A8F"/>
    <w:rsid w:val="00D87C52"/>
    <w:rsid w:val="00D913CB"/>
    <w:rsid w:val="00D92871"/>
    <w:rsid w:val="00D92E53"/>
    <w:rsid w:val="00D941F2"/>
    <w:rsid w:val="00D95B78"/>
    <w:rsid w:val="00D95D60"/>
    <w:rsid w:val="00D963B4"/>
    <w:rsid w:val="00D970DE"/>
    <w:rsid w:val="00D97B6B"/>
    <w:rsid w:val="00DA016F"/>
    <w:rsid w:val="00DA03F1"/>
    <w:rsid w:val="00DA0EBA"/>
    <w:rsid w:val="00DA1DB5"/>
    <w:rsid w:val="00DA218D"/>
    <w:rsid w:val="00DA2A26"/>
    <w:rsid w:val="00DA4C95"/>
    <w:rsid w:val="00DA5ACF"/>
    <w:rsid w:val="00DA71E7"/>
    <w:rsid w:val="00DB0A52"/>
    <w:rsid w:val="00DB241E"/>
    <w:rsid w:val="00DB413A"/>
    <w:rsid w:val="00DB47E9"/>
    <w:rsid w:val="00DB4F43"/>
    <w:rsid w:val="00DB4FC3"/>
    <w:rsid w:val="00DB5746"/>
    <w:rsid w:val="00DB69AE"/>
    <w:rsid w:val="00DB7253"/>
    <w:rsid w:val="00DB765E"/>
    <w:rsid w:val="00DC2090"/>
    <w:rsid w:val="00DC371E"/>
    <w:rsid w:val="00DC37AB"/>
    <w:rsid w:val="00DC3AD7"/>
    <w:rsid w:val="00DC43F8"/>
    <w:rsid w:val="00DC4D32"/>
    <w:rsid w:val="00DC5B47"/>
    <w:rsid w:val="00DC79C4"/>
    <w:rsid w:val="00DD18E8"/>
    <w:rsid w:val="00DD18F5"/>
    <w:rsid w:val="00DD21FE"/>
    <w:rsid w:val="00DD358E"/>
    <w:rsid w:val="00DD3939"/>
    <w:rsid w:val="00DD3E91"/>
    <w:rsid w:val="00DD5079"/>
    <w:rsid w:val="00DD73A8"/>
    <w:rsid w:val="00DD7494"/>
    <w:rsid w:val="00DD789A"/>
    <w:rsid w:val="00DD7C88"/>
    <w:rsid w:val="00DD7DB6"/>
    <w:rsid w:val="00DE18BD"/>
    <w:rsid w:val="00DE3D1B"/>
    <w:rsid w:val="00DE47AF"/>
    <w:rsid w:val="00DE486D"/>
    <w:rsid w:val="00DE4F51"/>
    <w:rsid w:val="00DE5BBF"/>
    <w:rsid w:val="00DE63AC"/>
    <w:rsid w:val="00DE6B7B"/>
    <w:rsid w:val="00DE71BD"/>
    <w:rsid w:val="00DE7738"/>
    <w:rsid w:val="00DE78AF"/>
    <w:rsid w:val="00DF0BC9"/>
    <w:rsid w:val="00DF2ABB"/>
    <w:rsid w:val="00DF3A99"/>
    <w:rsid w:val="00DF3AD6"/>
    <w:rsid w:val="00DF3BF6"/>
    <w:rsid w:val="00DF4074"/>
    <w:rsid w:val="00DF475A"/>
    <w:rsid w:val="00DF4B56"/>
    <w:rsid w:val="00DF51A0"/>
    <w:rsid w:val="00DF5E1C"/>
    <w:rsid w:val="00DF7071"/>
    <w:rsid w:val="00E004AF"/>
    <w:rsid w:val="00E031DE"/>
    <w:rsid w:val="00E0321F"/>
    <w:rsid w:val="00E038F2"/>
    <w:rsid w:val="00E03E06"/>
    <w:rsid w:val="00E04D70"/>
    <w:rsid w:val="00E04D8F"/>
    <w:rsid w:val="00E06120"/>
    <w:rsid w:val="00E06697"/>
    <w:rsid w:val="00E07020"/>
    <w:rsid w:val="00E07400"/>
    <w:rsid w:val="00E07680"/>
    <w:rsid w:val="00E106E1"/>
    <w:rsid w:val="00E10A6C"/>
    <w:rsid w:val="00E11669"/>
    <w:rsid w:val="00E12ABB"/>
    <w:rsid w:val="00E13315"/>
    <w:rsid w:val="00E13631"/>
    <w:rsid w:val="00E1387A"/>
    <w:rsid w:val="00E14402"/>
    <w:rsid w:val="00E14961"/>
    <w:rsid w:val="00E15370"/>
    <w:rsid w:val="00E1539F"/>
    <w:rsid w:val="00E156D2"/>
    <w:rsid w:val="00E1590D"/>
    <w:rsid w:val="00E15A0A"/>
    <w:rsid w:val="00E16E1F"/>
    <w:rsid w:val="00E16FA2"/>
    <w:rsid w:val="00E17A72"/>
    <w:rsid w:val="00E20F08"/>
    <w:rsid w:val="00E21D96"/>
    <w:rsid w:val="00E2213B"/>
    <w:rsid w:val="00E226E4"/>
    <w:rsid w:val="00E22F29"/>
    <w:rsid w:val="00E24736"/>
    <w:rsid w:val="00E2584C"/>
    <w:rsid w:val="00E26814"/>
    <w:rsid w:val="00E26D98"/>
    <w:rsid w:val="00E30F83"/>
    <w:rsid w:val="00E311F8"/>
    <w:rsid w:val="00E31E89"/>
    <w:rsid w:val="00E31F88"/>
    <w:rsid w:val="00E334CB"/>
    <w:rsid w:val="00E33F8B"/>
    <w:rsid w:val="00E34A5A"/>
    <w:rsid w:val="00E35731"/>
    <w:rsid w:val="00E370BB"/>
    <w:rsid w:val="00E377FA"/>
    <w:rsid w:val="00E40A76"/>
    <w:rsid w:val="00E41246"/>
    <w:rsid w:val="00E42140"/>
    <w:rsid w:val="00E4398F"/>
    <w:rsid w:val="00E4426B"/>
    <w:rsid w:val="00E448E0"/>
    <w:rsid w:val="00E45076"/>
    <w:rsid w:val="00E46AF9"/>
    <w:rsid w:val="00E470D1"/>
    <w:rsid w:val="00E47EC8"/>
    <w:rsid w:val="00E507D7"/>
    <w:rsid w:val="00E52E74"/>
    <w:rsid w:val="00E55B04"/>
    <w:rsid w:val="00E6173D"/>
    <w:rsid w:val="00E619BF"/>
    <w:rsid w:val="00E63767"/>
    <w:rsid w:val="00E63792"/>
    <w:rsid w:val="00E6414F"/>
    <w:rsid w:val="00E64C1F"/>
    <w:rsid w:val="00E64F6B"/>
    <w:rsid w:val="00E65E3E"/>
    <w:rsid w:val="00E67FCF"/>
    <w:rsid w:val="00E70512"/>
    <w:rsid w:val="00E70DE6"/>
    <w:rsid w:val="00E71174"/>
    <w:rsid w:val="00E71B5F"/>
    <w:rsid w:val="00E72632"/>
    <w:rsid w:val="00E731D0"/>
    <w:rsid w:val="00E736F6"/>
    <w:rsid w:val="00E74C36"/>
    <w:rsid w:val="00E76035"/>
    <w:rsid w:val="00E76ABB"/>
    <w:rsid w:val="00E8031C"/>
    <w:rsid w:val="00E80948"/>
    <w:rsid w:val="00E81222"/>
    <w:rsid w:val="00E81E12"/>
    <w:rsid w:val="00E82A29"/>
    <w:rsid w:val="00E83359"/>
    <w:rsid w:val="00E835F3"/>
    <w:rsid w:val="00E837AE"/>
    <w:rsid w:val="00E83DDF"/>
    <w:rsid w:val="00E856A0"/>
    <w:rsid w:val="00E869A8"/>
    <w:rsid w:val="00E90009"/>
    <w:rsid w:val="00E91581"/>
    <w:rsid w:val="00E92DF9"/>
    <w:rsid w:val="00E93715"/>
    <w:rsid w:val="00E96439"/>
    <w:rsid w:val="00E9745D"/>
    <w:rsid w:val="00EA1656"/>
    <w:rsid w:val="00EA1EED"/>
    <w:rsid w:val="00EA37E4"/>
    <w:rsid w:val="00EA3B61"/>
    <w:rsid w:val="00EA4B7A"/>
    <w:rsid w:val="00EA5F95"/>
    <w:rsid w:val="00EB0C8C"/>
    <w:rsid w:val="00EB0D6B"/>
    <w:rsid w:val="00EB1C32"/>
    <w:rsid w:val="00EB20F4"/>
    <w:rsid w:val="00EB26E4"/>
    <w:rsid w:val="00EB300B"/>
    <w:rsid w:val="00EB34BF"/>
    <w:rsid w:val="00EB491E"/>
    <w:rsid w:val="00EB4A51"/>
    <w:rsid w:val="00EB558B"/>
    <w:rsid w:val="00EB55A4"/>
    <w:rsid w:val="00EB6BC5"/>
    <w:rsid w:val="00EB6D03"/>
    <w:rsid w:val="00EB6D6C"/>
    <w:rsid w:val="00EC12DC"/>
    <w:rsid w:val="00EC1977"/>
    <w:rsid w:val="00EC19CE"/>
    <w:rsid w:val="00EC2878"/>
    <w:rsid w:val="00EC38CC"/>
    <w:rsid w:val="00EC467D"/>
    <w:rsid w:val="00EC485E"/>
    <w:rsid w:val="00EC4E2C"/>
    <w:rsid w:val="00EC5956"/>
    <w:rsid w:val="00EC78C5"/>
    <w:rsid w:val="00ED1FB2"/>
    <w:rsid w:val="00ED22BB"/>
    <w:rsid w:val="00ED25B6"/>
    <w:rsid w:val="00ED32BD"/>
    <w:rsid w:val="00ED3482"/>
    <w:rsid w:val="00ED712E"/>
    <w:rsid w:val="00ED7964"/>
    <w:rsid w:val="00ED7E29"/>
    <w:rsid w:val="00EE0722"/>
    <w:rsid w:val="00EE2D97"/>
    <w:rsid w:val="00EE464D"/>
    <w:rsid w:val="00EE47B0"/>
    <w:rsid w:val="00EE7587"/>
    <w:rsid w:val="00EE7DD5"/>
    <w:rsid w:val="00EF05E6"/>
    <w:rsid w:val="00EF17CA"/>
    <w:rsid w:val="00EF218D"/>
    <w:rsid w:val="00EF4224"/>
    <w:rsid w:val="00EF50E5"/>
    <w:rsid w:val="00EF544A"/>
    <w:rsid w:val="00EF5A55"/>
    <w:rsid w:val="00EF6889"/>
    <w:rsid w:val="00EF6C8A"/>
    <w:rsid w:val="00EF789B"/>
    <w:rsid w:val="00EF797D"/>
    <w:rsid w:val="00F0010D"/>
    <w:rsid w:val="00F01044"/>
    <w:rsid w:val="00F02CBF"/>
    <w:rsid w:val="00F03200"/>
    <w:rsid w:val="00F03DD0"/>
    <w:rsid w:val="00F06AC6"/>
    <w:rsid w:val="00F0797E"/>
    <w:rsid w:val="00F079B1"/>
    <w:rsid w:val="00F10308"/>
    <w:rsid w:val="00F10394"/>
    <w:rsid w:val="00F118D3"/>
    <w:rsid w:val="00F122D4"/>
    <w:rsid w:val="00F12384"/>
    <w:rsid w:val="00F1322B"/>
    <w:rsid w:val="00F13BCA"/>
    <w:rsid w:val="00F1419C"/>
    <w:rsid w:val="00F15D9E"/>
    <w:rsid w:val="00F163E1"/>
    <w:rsid w:val="00F166D5"/>
    <w:rsid w:val="00F17009"/>
    <w:rsid w:val="00F21DD1"/>
    <w:rsid w:val="00F22E30"/>
    <w:rsid w:val="00F22F61"/>
    <w:rsid w:val="00F23C35"/>
    <w:rsid w:val="00F23DA6"/>
    <w:rsid w:val="00F24DE5"/>
    <w:rsid w:val="00F2619E"/>
    <w:rsid w:val="00F264CF"/>
    <w:rsid w:val="00F26969"/>
    <w:rsid w:val="00F304DC"/>
    <w:rsid w:val="00F3078A"/>
    <w:rsid w:val="00F30D25"/>
    <w:rsid w:val="00F32365"/>
    <w:rsid w:val="00F32DD0"/>
    <w:rsid w:val="00F33F3C"/>
    <w:rsid w:val="00F343AB"/>
    <w:rsid w:val="00F374D4"/>
    <w:rsid w:val="00F4071D"/>
    <w:rsid w:val="00F41D4A"/>
    <w:rsid w:val="00F433CB"/>
    <w:rsid w:val="00F439E3"/>
    <w:rsid w:val="00F451BB"/>
    <w:rsid w:val="00F46797"/>
    <w:rsid w:val="00F46926"/>
    <w:rsid w:val="00F47561"/>
    <w:rsid w:val="00F47B99"/>
    <w:rsid w:val="00F50189"/>
    <w:rsid w:val="00F5236E"/>
    <w:rsid w:val="00F52B38"/>
    <w:rsid w:val="00F531C7"/>
    <w:rsid w:val="00F53AD5"/>
    <w:rsid w:val="00F5443D"/>
    <w:rsid w:val="00F61360"/>
    <w:rsid w:val="00F6151A"/>
    <w:rsid w:val="00F62734"/>
    <w:rsid w:val="00F629AF"/>
    <w:rsid w:val="00F6368E"/>
    <w:rsid w:val="00F637A3"/>
    <w:rsid w:val="00F67755"/>
    <w:rsid w:val="00F679C2"/>
    <w:rsid w:val="00F7047F"/>
    <w:rsid w:val="00F73EF6"/>
    <w:rsid w:val="00F75B90"/>
    <w:rsid w:val="00F76722"/>
    <w:rsid w:val="00F8151F"/>
    <w:rsid w:val="00F81A9F"/>
    <w:rsid w:val="00F8352B"/>
    <w:rsid w:val="00F83612"/>
    <w:rsid w:val="00F836D8"/>
    <w:rsid w:val="00F83A07"/>
    <w:rsid w:val="00F84716"/>
    <w:rsid w:val="00F848A7"/>
    <w:rsid w:val="00F8524A"/>
    <w:rsid w:val="00F85762"/>
    <w:rsid w:val="00F86B6F"/>
    <w:rsid w:val="00F86E6E"/>
    <w:rsid w:val="00F870FA"/>
    <w:rsid w:val="00F876AF"/>
    <w:rsid w:val="00F90BAD"/>
    <w:rsid w:val="00F91B09"/>
    <w:rsid w:val="00F91CCF"/>
    <w:rsid w:val="00F921D7"/>
    <w:rsid w:val="00F92FE3"/>
    <w:rsid w:val="00F933FF"/>
    <w:rsid w:val="00F9474A"/>
    <w:rsid w:val="00F9615F"/>
    <w:rsid w:val="00F962E6"/>
    <w:rsid w:val="00F976AC"/>
    <w:rsid w:val="00FA0F7B"/>
    <w:rsid w:val="00FA12EB"/>
    <w:rsid w:val="00FA17D6"/>
    <w:rsid w:val="00FA1E14"/>
    <w:rsid w:val="00FA239D"/>
    <w:rsid w:val="00FA2EC5"/>
    <w:rsid w:val="00FA5242"/>
    <w:rsid w:val="00FA567D"/>
    <w:rsid w:val="00FA61D6"/>
    <w:rsid w:val="00FA704E"/>
    <w:rsid w:val="00FA71CF"/>
    <w:rsid w:val="00FA7251"/>
    <w:rsid w:val="00FA7446"/>
    <w:rsid w:val="00FA7AF8"/>
    <w:rsid w:val="00FB141C"/>
    <w:rsid w:val="00FB16BF"/>
    <w:rsid w:val="00FB281F"/>
    <w:rsid w:val="00FB2F92"/>
    <w:rsid w:val="00FB30AE"/>
    <w:rsid w:val="00FB33C0"/>
    <w:rsid w:val="00FB3648"/>
    <w:rsid w:val="00FB4140"/>
    <w:rsid w:val="00FB44C9"/>
    <w:rsid w:val="00FB6DE1"/>
    <w:rsid w:val="00FB7889"/>
    <w:rsid w:val="00FC29AD"/>
    <w:rsid w:val="00FC3A48"/>
    <w:rsid w:val="00FC3AB0"/>
    <w:rsid w:val="00FC447F"/>
    <w:rsid w:val="00FC454E"/>
    <w:rsid w:val="00FC55AB"/>
    <w:rsid w:val="00FC5B5F"/>
    <w:rsid w:val="00FC608A"/>
    <w:rsid w:val="00FC7B25"/>
    <w:rsid w:val="00FC7B7F"/>
    <w:rsid w:val="00FD0782"/>
    <w:rsid w:val="00FD08DE"/>
    <w:rsid w:val="00FD1348"/>
    <w:rsid w:val="00FD2078"/>
    <w:rsid w:val="00FD3F51"/>
    <w:rsid w:val="00FD40ED"/>
    <w:rsid w:val="00FD447C"/>
    <w:rsid w:val="00FD58FA"/>
    <w:rsid w:val="00FE03F0"/>
    <w:rsid w:val="00FE0B20"/>
    <w:rsid w:val="00FE287D"/>
    <w:rsid w:val="00FE5759"/>
    <w:rsid w:val="00FE5C6C"/>
    <w:rsid w:val="00FE5F40"/>
    <w:rsid w:val="00FF0DC9"/>
    <w:rsid w:val="00FF1E3A"/>
    <w:rsid w:val="00FF272F"/>
    <w:rsid w:val="00FF288F"/>
    <w:rsid w:val="00FF2FAF"/>
    <w:rsid w:val="00FF6792"/>
    <w:rsid w:val="00FF7AF3"/>
    <w:rsid w:val="00FF7C4A"/>
    <w:rsid w:val="00FF7DE3"/>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C19A55"/>
  <w14:defaultImageDpi w14:val="96"/>
  <w15:docId w15:val="{9069E88A-E04A-7349-BD40-1B00CE14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3" w:qFormat="1"/>
    <w:lsdException w:name="heading 3"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9CE"/>
    <w:pPr>
      <w:suppressAutoHyphens/>
      <w:spacing w:before="60" w:after="60" w:line="280" w:lineRule="atLeast"/>
    </w:pPr>
    <w:rPr>
      <w:rFonts w:ascii="Arial" w:hAnsi="Arial"/>
      <w:sz w:val="20"/>
    </w:rPr>
  </w:style>
  <w:style w:type="paragraph" w:styleId="Heading1">
    <w:name w:val="heading 1"/>
    <w:basedOn w:val="Normal"/>
    <w:link w:val="Heading1Char"/>
    <w:uiPriority w:val="9"/>
    <w:qFormat/>
    <w:rsid w:val="005F01D9"/>
    <w:pPr>
      <w:widowControl w:val="0"/>
      <w:autoSpaceDE w:val="0"/>
      <w:autoSpaceDN w:val="0"/>
      <w:adjustRightInd w:val="0"/>
      <w:spacing w:before="0" w:after="340" w:line="520" w:lineRule="atLeast"/>
      <w:textAlignment w:val="center"/>
      <w:outlineLvl w:val="0"/>
    </w:pPr>
    <w:rPr>
      <w:rFonts w:cs="Roc Grotesk Medium"/>
      <w:b/>
      <w:color w:val="4C6A68"/>
      <w:sz w:val="60"/>
      <w:szCs w:val="46"/>
      <w:lang w:val="en-GB"/>
    </w:rPr>
  </w:style>
  <w:style w:type="paragraph" w:styleId="Heading2">
    <w:name w:val="heading 2"/>
    <w:basedOn w:val="Normal"/>
    <w:link w:val="Heading2Char"/>
    <w:uiPriority w:val="3"/>
    <w:qFormat/>
    <w:rsid w:val="00C508B3"/>
    <w:pPr>
      <w:pageBreakBefore/>
      <w:widowControl w:val="0"/>
      <w:autoSpaceDE w:val="0"/>
      <w:autoSpaceDN w:val="0"/>
      <w:adjustRightInd w:val="0"/>
      <w:spacing w:before="0" w:after="360" w:line="420" w:lineRule="atLeast"/>
      <w:textAlignment w:val="center"/>
      <w:outlineLvl w:val="1"/>
    </w:pPr>
    <w:rPr>
      <w:rFonts w:cs="Roc Grotesk Medium"/>
      <w:b/>
      <w:color w:val="4C6A68"/>
      <w:sz w:val="50"/>
      <w:szCs w:val="32"/>
      <w:lang w:val="en-GB"/>
    </w:rPr>
  </w:style>
  <w:style w:type="paragraph" w:styleId="Heading3">
    <w:name w:val="heading 3"/>
    <w:basedOn w:val="NoParagraphStyle"/>
    <w:next w:val="Normal"/>
    <w:link w:val="Heading3Char"/>
    <w:uiPriority w:val="99"/>
    <w:qFormat/>
    <w:rsid w:val="004875D1"/>
    <w:pPr>
      <w:keepNext/>
      <w:keepLines/>
      <w:spacing w:before="240"/>
      <w:outlineLvl w:val="2"/>
    </w:pPr>
    <w:rPr>
      <w:rFonts w:ascii="Arial" w:hAnsi="Arial" w:cs="Roc Grotesk Medium"/>
      <w:b/>
      <w:color w:val="47555E"/>
      <w:sz w:val="36"/>
      <w:szCs w:val="26"/>
    </w:rPr>
  </w:style>
  <w:style w:type="paragraph" w:styleId="Heading4">
    <w:name w:val="heading 4"/>
    <w:basedOn w:val="Normal"/>
    <w:next w:val="Normal"/>
    <w:link w:val="Heading4Char"/>
    <w:uiPriority w:val="5"/>
    <w:unhideWhenUsed/>
    <w:qFormat/>
    <w:rsid w:val="004875D1"/>
    <w:pPr>
      <w:keepNext/>
      <w:spacing w:before="240" w:after="0"/>
      <w:outlineLvl w:val="3"/>
    </w:pPr>
    <w:rPr>
      <w:b/>
      <w:bCs/>
      <w:color w:val="48555E"/>
      <w:sz w:val="28"/>
      <w:szCs w:val="28"/>
    </w:rPr>
  </w:style>
  <w:style w:type="paragraph" w:styleId="Heading5">
    <w:name w:val="heading 5"/>
    <w:basedOn w:val="Normal"/>
    <w:next w:val="Normal"/>
    <w:link w:val="Heading5Char"/>
    <w:uiPriority w:val="6"/>
    <w:rsid w:val="00D800BC"/>
    <w:pPr>
      <w:keepNext/>
      <w:keepLines/>
      <w:suppressAutoHyphens w:val="0"/>
      <w:spacing w:before="0" w:after="0" w:line="240" w:lineRule="auto"/>
      <w:outlineLvl w:val="4"/>
    </w:pPr>
    <w:rPr>
      <w:rFonts w:ascii="Calibri" w:eastAsiaTheme="minorHAnsi" w:hAnsi="Calibri"/>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lang w:val="en-US"/>
    </w:rPr>
  </w:style>
  <w:style w:type="character" w:customStyle="1" w:styleId="Heading1Char">
    <w:name w:val="Heading 1 Char"/>
    <w:basedOn w:val="DefaultParagraphFont"/>
    <w:link w:val="Heading1"/>
    <w:uiPriority w:val="9"/>
    <w:rsid w:val="005F01D9"/>
    <w:rPr>
      <w:rFonts w:ascii="Arial" w:hAnsi="Arial" w:cs="Roc Grotesk Medium"/>
      <w:b/>
      <w:color w:val="4C6A68"/>
      <w:sz w:val="60"/>
      <w:szCs w:val="46"/>
      <w:lang w:val="en-GB"/>
    </w:rPr>
  </w:style>
  <w:style w:type="paragraph" w:styleId="TOC1">
    <w:name w:val="toc 1"/>
    <w:basedOn w:val="Normal"/>
    <w:next w:val="Normal"/>
    <w:uiPriority w:val="39"/>
    <w:qFormat/>
    <w:rsid w:val="00C508B3"/>
    <w:pPr>
      <w:widowControl w:val="0"/>
      <w:tabs>
        <w:tab w:val="left" w:pos="426"/>
        <w:tab w:val="right" w:pos="9072"/>
      </w:tabs>
      <w:autoSpaceDE w:val="0"/>
      <w:autoSpaceDN w:val="0"/>
      <w:adjustRightInd w:val="0"/>
      <w:spacing w:before="57" w:after="0" w:line="360" w:lineRule="atLeast"/>
      <w:textAlignment w:val="center"/>
    </w:pPr>
    <w:rPr>
      <w:rFonts w:cs="Roc Grotesk Medium"/>
      <w:b/>
      <w:color w:val="000000" w:themeColor="text1"/>
      <w:sz w:val="24"/>
      <w:szCs w:val="28"/>
      <w:lang w:val="en-GB"/>
    </w:rPr>
  </w:style>
  <w:style w:type="paragraph" w:styleId="TOC2">
    <w:name w:val="toc 2"/>
    <w:basedOn w:val="Normal"/>
    <w:next w:val="Normal"/>
    <w:uiPriority w:val="39"/>
    <w:qFormat/>
    <w:rsid w:val="00C508B3"/>
    <w:pPr>
      <w:widowControl w:val="0"/>
      <w:tabs>
        <w:tab w:val="right" w:pos="9060"/>
      </w:tabs>
      <w:autoSpaceDE w:val="0"/>
      <w:autoSpaceDN w:val="0"/>
      <w:adjustRightInd w:val="0"/>
      <w:spacing w:before="113" w:after="0" w:line="320" w:lineRule="atLeast"/>
      <w:ind w:left="227"/>
      <w:textAlignment w:val="center"/>
    </w:pPr>
    <w:rPr>
      <w:rFonts w:cs="RocGrotesk-Regular"/>
      <w:color w:val="000000" w:themeColor="text1"/>
      <w:lang w:val="en-GB"/>
    </w:rPr>
  </w:style>
  <w:style w:type="paragraph" w:styleId="ListBullet">
    <w:name w:val="List Bullet"/>
    <w:basedOn w:val="Normal"/>
    <w:uiPriority w:val="99"/>
    <w:qFormat/>
    <w:rsid w:val="00C508B3"/>
    <w:pPr>
      <w:widowControl w:val="0"/>
      <w:numPr>
        <w:numId w:val="2"/>
      </w:numPr>
      <w:autoSpaceDE w:val="0"/>
      <w:autoSpaceDN w:val="0"/>
      <w:adjustRightInd w:val="0"/>
      <w:spacing w:before="0"/>
      <w:ind w:left="714" w:hanging="357"/>
      <w:textAlignment w:val="center"/>
    </w:pPr>
    <w:rPr>
      <w:rFonts w:cs="RocGrotesk-Regular"/>
      <w:color w:val="000000" w:themeColor="text1"/>
      <w:szCs w:val="20"/>
      <w:lang w:val="en-GB"/>
    </w:rPr>
  </w:style>
  <w:style w:type="character" w:customStyle="1" w:styleId="Heading2Char">
    <w:name w:val="Heading 2 Char"/>
    <w:basedOn w:val="DefaultParagraphFont"/>
    <w:link w:val="Heading2"/>
    <w:uiPriority w:val="3"/>
    <w:rsid w:val="00832172"/>
    <w:rPr>
      <w:rFonts w:ascii="Arial" w:hAnsi="Arial" w:cs="Roc Grotesk Medium"/>
      <w:b/>
      <w:color w:val="4C6A68"/>
      <w:sz w:val="50"/>
      <w:szCs w:val="32"/>
      <w:lang w:val="en-GB"/>
    </w:rPr>
  </w:style>
  <w:style w:type="character" w:customStyle="1" w:styleId="Heading3Char">
    <w:name w:val="Heading 3 Char"/>
    <w:basedOn w:val="DefaultParagraphFont"/>
    <w:link w:val="Heading3"/>
    <w:uiPriority w:val="99"/>
    <w:rsid w:val="004875D1"/>
    <w:rPr>
      <w:rFonts w:ascii="Arial" w:hAnsi="Arial" w:cs="Roc Grotesk Medium"/>
      <w:b/>
      <w:color w:val="47555E"/>
      <w:sz w:val="36"/>
      <w:szCs w:val="26"/>
      <w:lang w:val="en-US"/>
    </w:rPr>
  </w:style>
  <w:style w:type="character" w:customStyle="1" w:styleId="Bold">
    <w:name w:val="Bold"/>
    <w:uiPriority w:val="99"/>
    <w:rPr>
      <w:rFonts w:ascii="Roc Grotesk Medium" w:hAnsi="Roc Grotesk Medium" w:cs="Roc Grotesk Medium"/>
    </w:rPr>
  </w:style>
  <w:style w:type="character" w:styleId="Hyperlink">
    <w:name w:val="Hyperlink"/>
    <w:basedOn w:val="DefaultParagraphFont"/>
    <w:uiPriority w:val="99"/>
    <w:qFormat/>
    <w:rsid w:val="004875D1"/>
    <w:rPr>
      <w:rFonts w:ascii="Arial" w:hAnsi="Arial"/>
      <w:color w:val="000000" w:themeColor="text1"/>
      <w:u w:val="single"/>
      <w:bdr w:val="none" w:sz="0" w:space="0" w:color="auto"/>
    </w:rPr>
  </w:style>
  <w:style w:type="character" w:customStyle="1" w:styleId="Italic">
    <w:name w:val="Italic"/>
    <w:uiPriority w:val="99"/>
  </w:style>
  <w:style w:type="paragraph" w:customStyle="1" w:styleId="Author">
    <w:name w:val="Author"/>
    <w:basedOn w:val="Normal"/>
    <w:next w:val="Normal"/>
    <w:uiPriority w:val="24"/>
    <w:qFormat/>
    <w:rsid w:val="00577F04"/>
    <w:pPr>
      <w:spacing w:line="276" w:lineRule="auto"/>
    </w:pPr>
    <w:rPr>
      <w:rFonts w:eastAsia="Calibri"/>
      <w:b/>
      <w:color w:val="FFFFFF"/>
      <w:sz w:val="28"/>
      <w:szCs w:val="28"/>
      <w:lang w:eastAsia="en-US"/>
    </w:rPr>
  </w:style>
  <w:style w:type="paragraph" w:styleId="Date">
    <w:name w:val="Date"/>
    <w:basedOn w:val="Normal"/>
    <w:next w:val="Normal"/>
    <w:link w:val="DateChar"/>
    <w:uiPriority w:val="99"/>
    <w:unhideWhenUsed/>
    <w:rsid w:val="00577F04"/>
    <w:pPr>
      <w:spacing w:after="200" w:line="276" w:lineRule="auto"/>
    </w:pPr>
    <w:rPr>
      <w:rFonts w:eastAsia="Calibri"/>
      <w:color w:val="FFFFFF"/>
      <w:sz w:val="22"/>
      <w:szCs w:val="22"/>
      <w:lang w:eastAsia="en-US"/>
    </w:rPr>
  </w:style>
  <w:style w:type="character" w:customStyle="1" w:styleId="DateChar">
    <w:name w:val="Date Char"/>
    <w:basedOn w:val="DefaultParagraphFont"/>
    <w:link w:val="Date"/>
    <w:uiPriority w:val="99"/>
    <w:rsid w:val="00577F04"/>
    <w:rPr>
      <w:rFonts w:ascii="Arial" w:eastAsia="Calibri" w:hAnsi="Arial"/>
      <w:color w:val="FFFFFF"/>
      <w:sz w:val="22"/>
      <w:szCs w:val="22"/>
      <w:lang w:eastAsia="en-US"/>
    </w:rPr>
  </w:style>
  <w:style w:type="paragraph" w:styleId="TOCHeading">
    <w:name w:val="TOC Heading"/>
    <w:basedOn w:val="Heading1"/>
    <w:next w:val="Normal"/>
    <w:uiPriority w:val="39"/>
    <w:unhideWhenUsed/>
    <w:qFormat/>
    <w:rsid w:val="00EA4B7A"/>
    <w:pPr>
      <w:keepNext/>
      <w:pageBreakBefore/>
      <w:widowControl/>
      <w:autoSpaceDE/>
      <w:autoSpaceDN/>
      <w:adjustRightInd/>
      <w:spacing w:before="240" w:after="360" w:line="240" w:lineRule="auto"/>
      <w:textAlignment w:val="auto"/>
      <w:outlineLvl w:val="9"/>
    </w:pPr>
    <w:rPr>
      <w:rFonts w:eastAsiaTheme="majorEastAsia" w:cstheme="majorBidi"/>
      <w:bCs/>
      <w:kern w:val="32"/>
      <w:sz w:val="50"/>
      <w:szCs w:val="32"/>
      <w:lang w:val="en-AU"/>
    </w:rPr>
  </w:style>
  <w:style w:type="character" w:customStyle="1" w:styleId="Heading4Char">
    <w:name w:val="Heading 4 Char"/>
    <w:basedOn w:val="DefaultParagraphFont"/>
    <w:link w:val="Heading4"/>
    <w:uiPriority w:val="5"/>
    <w:rsid w:val="004875D1"/>
    <w:rPr>
      <w:rFonts w:ascii="Arial" w:hAnsi="Arial"/>
      <w:b/>
      <w:bCs/>
      <w:color w:val="48555E"/>
      <w:sz w:val="28"/>
      <w:szCs w:val="28"/>
    </w:rPr>
  </w:style>
  <w:style w:type="character" w:styleId="Strong">
    <w:name w:val="Strong"/>
    <w:basedOn w:val="DefaultParagraphFont"/>
    <w:uiPriority w:val="22"/>
    <w:qFormat/>
    <w:rsid w:val="004875D1"/>
    <w:rPr>
      <w:b/>
      <w:bCs/>
    </w:rPr>
  </w:style>
  <w:style w:type="character" w:styleId="Emphasis">
    <w:name w:val="Emphasis"/>
    <w:basedOn w:val="DefaultParagraphFont"/>
    <w:uiPriority w:val="99"/>
    <w:qFormat/>
    <w:rsid w:val="00EA4B7A"/>
    <w:rPr>
      <w:i/>
      <w:iCs/>
    </w:rPr>
  </w:style>
  <w:style w:type="paragraph" w:styleId="Header">
    <w:name w:val="header"/>
    <w:basedOn w:val="Normal"/>
    <w:link w:val="HeaderChar"/>
    <w:uiPriority w:val="99"/>
    <w:unhideWhenUsed/>
    <w:rsid w:val="00EA4B7A"/>
    <w:pPr>
      <w:tabs>
        <w:tab w:val="center" w:pos="4513"/>
        <w:tab w:val="right" w:pos="9026"/>
      </w:tabs>
      <w:jc w:val="center"/>
    </w:pPr>
    <w:rPr>
      <w:sz w:val="18"/>
    </w:rPr>
  </w:style>
  <w:style w:type="character" w:customStyle="1" w:styleId="HeaderChar">
    <w:name w:val="Header Char"/>
    <w:basedOn w:val="DefaultParagraphFont"/>
    <w:link w:val="Header"/>
    <w:uiPriority w:val="99"/>
    <w:rsid w:val="00EA4B7A"/>
    <w:rPr>
      <w:rFonts w:ascii="Arial" w:hAnsi="Arial"/>
      <w:sz w:val="18"/>
    </w:rPr>
  </w:style>
  <w:style w:type="paragraph" w:styleId="Footer">
    <w:name w:val="footer"/>
    <w:basedOn w:val="Normal"/>
    <w:link w:val="FooterChar"/>
    <w:uiPriority w:val="99"/>
    <w:unhideWhenUsed/>
    <w:rsid w:val="00EA4B7A"/>
    <w:pPr>
      <w:tabs>
        <w:tab w:val="center" w:pos="4513"/>
        <w:tab w:val="right" w:pos="9026"/>
      </w:tabs>
      <w:spacing w:before="0" w:after="0"/>
      <w:jc w:val="center"/>
    </w:pPr>
    <w:rPr>
      <w:sz w:val="18"/>
    </w:rPr>
  </w:style>
  <w:style w:type="character" w:customStyle="1" w:styleId="FooterChar">
    <w:name w:val="Footer Char"/>
    <w:basedOn w:val="DefaultParagraphFont"/>
    <w:link w:val="Footer"/>
    <w:uiPriority w:val="99"/>
    <w:rsid w:val="00EA4B7A"/>
    <w:rPr>
      <w:rFonts w:ascii="Arial" w:hAnsi="Arial"/>
      <w:sz w:val="18"/>
    </w:rPr>
  </w:style>
  <w:style w:type="paragraph" w:customStyle="1" w:styleId="BoxText">
    <w:name w:val="Box Text"/>
    <w:basedOn w:val="Normal"/>
    <w:uiPriority w:val="19"/>
    <w:qFormat/>
    <w:rsid w:val="005F01D9"/>
    <w:pPr>
      <w:pBdr>
        <w:top w:val="single" w:sz="8" w:space="1" w:color="DEEAF1"/>
        <w:left w:val="single" w:sz="8" w:space="4" w:color="DEEAF1"/>
        <w:bottom w:val="single" w:sz="8" w:space="1" w:color="DEEAF1"/>
        <w:right w:val="single" w:sz="8" w:space="4" w:color="DEEAF1"/>
      </w:pBdr>
      <w:shd w:val="clear" w:color="auto" w:fill="DEEAF1"/>
    </w:pPr>
  </w:style>
  <w:style w:type="paragraph" w:customStyle="1" w:styleId="BoxHeading">
    <w:name w:val="Box Heading"/>
    <w:uiPriority w:val="20"/>
    <w:qFormat/>
    <w:rsid w:val="005F01D9"/>
    <w:pPr>
      <w:pBdr>
        <w:top w:val="single" w:sz="8" w:space="1" w:color="DEEAF1"/>
        <w:left w:val="single" w:sz="8" w:space="4" w:color="DEEAF1"/>
        <w:bottom w:val="single" w:sz="8" w:space="1" w:color="DEEAF1"/>
        <w:right w:val="single" w:sz="8" w:space="4" w:color="DEEAF1"/>
      </w:pBdr>
      <w:shd w:val="clear" w:color="auto" w:fill="DEEAF1"/>
      <w:spacing w:before="240"/>
    </w:pPr>
    <w:rPr>
      <w:rFonts w:ascii="Arial" w:hAnsi="Arial"/>
      <w:b/>
      <w:bCs/>
      <w:color w:val="48555E"/>
      <w:sz w:val="28"/>
      <w:szCs w:val="28"/>
    </w:rPr>
  </w:style>
  <w:style w:type="paragraph" w:customStyle="1" w:styleId="BoxBullets">
    <w:name w:val="Box Bullets"/>
    <w:qFormat/>
    <w:rsid w:val="005F01D9"/>
    <w:pPr>
      <w:numPr>
        <w:numId w:val="3"/>
      </w:numPr>
      <w:pBdr>
        <w:top w:val="single" w:sz="8" w:space="1" w:color="DEEAF1"/>
        <w:left w:val="single" w:sz="8" w:space="4" w:color="DEEAF1"/>
        <w:bottom w:val="single" w:sz="8" w:space="1" w:color="DEEAF1"/>
        <w:right w:val="single" w:sz="8" w:space="4" w:color="DEEAF1"/>
      </w:pBdr>
      <w:shd w:val="clear" w:color="auto" w:fill="DEEAF1"/>
      <w:spacing w:after="60"/>
      <w:ind w:left="714" w:hanging="357"/>
    </w:pPr>
    <w:rPr>
      <w:rFonts w:ascii="Arial" w:hAnsi="Arial" w:cs="RocGrotesk-Regular"/>
      <w:color w:val="000000" w:themeColor="text1"/>
      <w:sz w:val="20"/>
      <w:szCs w:val="20"/>
      <w:lang w:val="en-GB"/>
    </w:rPr>
  </w:style>
  <w:style w:type="character" w:styleId="UnresolvedMention">
    <w:name w:val="Unresolved Mention"/>
    <w:basedOn w:val="DefaultParagraphFont"/>
    <w:uiPriority w:val="99"/>
    <w:semiHidden/>
    <w:unhideWhenUsed/>
    <w:rsid w:val="005F01D9"/>
    <w:rPr>
      <w:color w:val="605E5C"/>
      <w:shd w:val="clear" w:color="auto" w:fill="E1DFDD"/>
    </w:rPr>
  </w:style>
  <w:style w:type="paragraph" w:styleId="ListBullet2">
    <w:name w:val="List Bullet 2"/>
    <w:basedOn w:val="Normal"/>
    <w:uiPriority w:val="8"/>
    <w:unhideWhenUsed/>
    <w:qFormat/>
    <w:rsid w:val="00B44DF3"/>
    <w:pPr>
      <w:numPr>
        <w:numId w:val="1"/>
      </w:numPr>
      <w:contextualSpacing/>
    </w:pPr>
  </w:style>
  <w:style w:type="paragraph" w:customStyle="1" w:styleId="Normalsmall">
    <w:name w:val="Normal small"/>
    <w:qFormat/>
    <w:rsid w:val="00D800BC"/>
    <w:pPr>
      <w:spacing w:after="120" w:line="276" w:lineRule="auto"/>
    </w:pPr>
    <w:rPr>
      <w:rFonts w:ascii="Cambria" w:eastAsiaTheme="minorHAnsi" w:hAnsi="Cambria"/>
      <w:sz w:val="18"/>
      <w:szCs w:val="18"/>
      <w:lang w:eastAsia="en-US"/>
    </w:rPr>
  </w:style>
  <w:style w:type="character" w:customStyle="1" w:styleId="Heading5Char">
    <w:name w:val="Heading 5 Char"/>
    <w:basedOn w:val="DefaultParagraphFont"/>
    <w:link w:val="Heading5"/>
    <w:uiPriority w:val="6"/>
    <w:rsid w:val="00D800BC"/>
    <w:rPr>
      <w:rFonts w:ascii="Calibri" w:eastAsiaTheme="minorHAnsi" w:hAnsi="Calibri"/>
      <w:b/>
      <w:sz w:val="22"/>
      <w:szCs w:val="22"/>
      <w:lang w:eastAsia="en-US"/>
    </w:rPr>
  </w:style>
  <w:style w:type="paragraph" w:styleId="CommentText">
    <w:name w:val="annotation text"/>
    <w:basedOn w:val="Normal"/>
    <w:link w:val="CommentTextChar"/>
    <w:unhideWhenUsed/>
    <w:rsid w:val="00D800BC"/>
    <w:pPr>
      <w:suppressAutoHyphens w:val="0"/>
      <w:spacing w:before="0" w:after="160" w:line="259" w:lineRule="auto"/>
    </w:pPr>
    <w:rPr>
      <w:rFonts w:asciiTheme="minorHAnsi" w:eastAsiaTheme="minorHAnsi" w:hAnsiTheme="minorHAnsi"/>
      <w:szCs w:val="20"/>
      <w:lang w:eastAsia="en-US"/>
    </w:rPr>
  </w:style>
  <w:style w:type="character" w:customStyle="1" w:styleId="CommentTextChar">
    <w:name w:val="Comment Text Char"/>
    <w:basedOn w:val="DefaultParagraphFont"/>
    <w:link w:val="CommentText"/>
    <w:rsid w:val="00D800BC"/>
    <w:rPr>
      <w:rFonts w:eastAsiaTheme="minorHAnsi"/>
      <w:sz w:val="20"/>
      <w:szCs w:val="20"/>
      <w:lang w:eastAsia="en-US"/>
    </w:rPr>
  </w:style>
  <w:style w:type="character" w:styleId="CommentReference">
    <w:name w:val="annotation reference"/>
    <w:basedOn w:val="DefaultParagraphFont"/>
    <w:uiPriority w:val="99"/>
    <w:semiHidden/>
    <w:unhideWhenUsed/>
    <w:rsid w:val="00D800BC"/>
    <w:rPr>
      <w:sz w:val="16"/>
      <w:szCs w:val="16"/>
    </w:rPr>
  </w:style>
  <w:style w:type="paragraph" w:styleId="CommentSubject">
    <w:name w:val="annotation subject"/>
    <w:basedOn w:val="CommentText"/>
    <w:next w:val="CommentText"/>
    <w:link w:val="CommentSubjectChar"/>
    <w:uiPriority w:val="99"/>
    <w:semiHidden/>
    <w:unhideWhenUsed/>
    <w:rsid w:val="00D800BC"/>
    <w:rPr>
      <w:b/>
      <w:bCs/>
    </w:rPr>
  </w:style>
  <w:style w:type="character" w:customStyle="1" w:styleId="CommentSubjectChar">
    <w:name w:val="Comment Subject Char"/>
    <w:basedOn w:val="CommentTextChar"/>
    <w:link w:val="CommentSubject"/>
    <w:uiPriority w:val="99"/>
    <w:semiHidden/>
    <w:rsid w:val="00D800BC"/>
    <w:rPr>
      <w:rFonts w:eastAsiaTheme="minorHAnsi"/>
      <w:b/>
      <w:bCs/>
      <w:sz w:val="20"/>
      <w:szCs w:val="20"/>
      <w:lang w:eastAsia="en-US"/>
    </w:rPr>
  </w:style>
  <w:style w:type="paragraph" w:styleId="BalloonText">
    <w:name w:val="Balloon Text"/>
    <w:basedOn w:val="Normal"/>
    <w:link w:val="BalloonTextChar"/>
    <w:uiPriority w:val="99"/>
    <w:semiHidden/>
    <w:unhideWhenUsed/>
    <w:rsid w:val="00D800BC"/>
    <w:pPr>
      <w:suppressAutoHyphens w:val="0"/>
      <w:spacing w:before="0" w:after="160" w:line="259" w:lineRule="auto"/>
    </w:pPr>
    <w:rPr>
      <w:rFonts w:ascii="Calibri" w:eastAsiaTheme="minorHAnsi" w:hAnsi="Calibri"/>
      <w:sz w:val="18"/>
      <w:szCs w:val="18"/>
      <w:lang w:eastAsia="en-US"/>
    </w:rPr>
  </w:style>
  <w:style w:type="character" w:customStyle="1" w:styleId="BalloonTextChar">
    <w:name w:val="Balloon Text Char"/>
    <w:basedOn w:val="DefaultParagraphFont"/>
    <w:link w:val="BalloonText"/>
    <w:uiPriority w:val="99"/>
    <w:semiHidden/>
    <w:rsid w:val="00D800BC"/>
    <w:rPr>
      <w:rFonts w:ascii="Calibri" w:eastAsiaTheme="minorHAnsi" w:hAnsi="Calibri"/>
      <w:sz w:val="18"/>
      <w:szCs w:val="18"/>
      <w:lang w:eastAsia="en-US"/>
    </w:rPr>
  </w:style>
  <w:style w:type="table" w:styleId="TableGrid">
    <w:name w:val="Table Grid"/>
    <w:basedOn w:val="TableNormal"/>
    <w:uiPriority w:val="59"/>
    <w:rsid w:val="00D800BC"/>
    <w:pPr>
      <w:spacing w:before="60" w:after="60"/>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D800BC"/>
    <w:pPr>
      <w:tabs>
        <w:tab w:val="clear" w:pos="4513"/>
        <w:tab w:val="clear" w:pos="9026"/>
        <w:tab w:val="center" w:pos="4536"/>
      </w:tabs>
      <w:suppressAutoHyphens w:val="0"/>
      <w:spacing w:after="120" w:line="240" w:lineRule="auto"/>
    </w:pPr>
    <w:rPr>
      <w:rFonts w:ascii="Calibri" w:eastAsiaTheme="minorHAnsi" w:hAnsi="Calibri"/>
      <w:sz w:val="16"/>
      <w:szCs w:val="22"/>
      <w:lang w:eastAsia="en-US"/>
    </w:rPr>
  </w:style>
  <w:style w:type="paragraph" w:styleId="Quote">
    <w:name w:val="Quote"/>
    <w:basedOn w:val="Normal"/>
    <w:next w:val="Normal"/>
    <w:link w:val="QuoteChar"/>
    <w:uiPriority w:val="18"/>
    <w:qFormat/>
    <w:rsid w:val="00D800BC"/>
    <w:pPr>
      <w:suppressAutoHyphens w:val="0"/>
      <w:spacing w:before="0" w:after="160" w:line="259" w:lineRule="auto"/>
      <w:ind w:left="709" w:right="567"/>
    </w:pPr>
    <w:rPr>
      <w:rFonts w:asciiTheme="minorHAnsi" w:eastAsiaTheme="minorHAnsi" w:hAnsiTheme="minorHAnsi"/>
      <w:iCs/>
      <w:color w:val="000000"/>
      <w:sz w:val="22"/>
      <w:szCs w:val="22"/>
      <w:lang w:eastAsia="en-US"/>
    </w:rPr>
  </w:style>
  <w:style w:type="character" w:customStyle="1" w:styleId="QuoteChar">
    <w:name w:val="Quote Char"/>
    <w:basedOn w:val="DefaultParagraphFont"/>
    <w:link w:val="Quote"/>
    <w:uiPriority w:val="18"/>
    <w:rsid w:val="00D800BC"/>
    <w:rPr>
      <w:rFonts w:eastAsiaTheme="minorHAnsi"/>
      <w:iCs/>
      <w:color w:val="000000"/>
      <w:sz w:val="22"/>
      <w:szCs w:val="22"/>
      <w:lang w:eastAsia="en-US"/>
    </w:rPr>
  </w:style>
  <w:style w:type="paragraph" w:styleId="Caption">
    <w:name w:val="caption"/>
    <w:basedOn w:val="Normal"/>
    <w:next w:val="Normal"/>
    <w:uiPriority w:val="12"/>
    <w:qFormat/>
    <w:rsid w:val="00D800BC"/>
    <w:pPr>
      <w:keepNext/>
      <w:suppressAutoHyphens w:val="0"/>
      <w:spacing w:before="0" w:after="120" w:line="240" w:lineRule="auto"/>
    </w:pPr>
    <w:rPr>
      <w:rFonts w:ascii="Calibri" w:eastAsiaTheme="minorHAnsi" w:hAnsi="Calibri"/>
      <w:b/>
      <w:bCs/>
      <w:sz w:val="24"/>
      <w:szCs w:val="18"/>
      <w:lang w:eastAsia="en-US"/>
    </w:rPr>
  </w:style>
  <w:style w:type="paragraph" w:customStyle="1" w:styleId="FigureTableNoteSource">
    <w:name w:val="Figure/Table Note/Source"/>
    <w:basedOn w:val="Normal"/>
    <w:next w:val="Normal"/>
    <w:uiPriority w:val="16"/>
    <w:qFormat/>
    <w:rsid w:val="00D800BC"/>
    <w:pPr>
      <w:suppressAutoHyphens w:val="0"/>
      <w:spacing w:before="120" w:after="160" w:line="264" w:lineRule="auto"/>
      <w:contextualSpacing/>
    </w:pPr>
    <w:rPr>
      <w:rFonts w:ascii="Calibri" w:eastAsiaTheme="minorHAnsi" w:hAnsi="Calibri"/>
      <w:sz w:val="18"/>
      <w:szCs w:val="22"/>
      <w:lang w:eastAsia="en-US"/>
    </w:rPr>
  </w:style>
  <w:style w:type="paragraph" w:styleId="Subtitle">
    <w:name w:val="Subtitle"/>
    <w:basedOn w:val="Heading1"/>
    <w:next w:val="Normal"/>
    <w:link w:val="SubtitleChar"/>
    <w:uiPriority w:val="23"/>
    <w:qFormat/>
    <w:rsid w:val="00D800BC"/>
    <w:pPr>
      <w:keepNext/>
      <w:keepLines/>
      <w:widowControl/>
      <w:suppressAutoHyphens w:val="0"/>
      <w:autoSpaceDE/>
      <w:autoSpaceDN/>
      <w:adjustRightInd/>
      <w:spacing w:before="120" w:after="0" w:line="259" w:lineRule="auto"/>
      <w:textAlignment w:val="auto"/>
    </w:pPr>
    <w:rPr>
      <w:rFonts w:asciiTheme="majorHAnsi" w:eastAsiaTheme="majorEastAsia" w:hAnsiTheme="majorHAnsi" w:cstheme="majorBidi"/>
      <w:color w:val="2F5496" w:themeColor="accent1" w:themeShade="BF"/>
      <w:sz w:val="56"/>
      <w:szCs w:val="56"/>
      <w:lang w:val="en-AU" w:eastAsia="en-US"/>
    </w:rPr>
  </w:style>
  <w:style w:type="character" w:customStyle="1" w:styleId="SubtitleChar">
    <w:name w:val="Subtitle Char"/>
    <w:basedOn w:val="DefaultParagraphFont"/>
    <w:link w:val="Subtitle"/>
    <w:uiPriority w:val="23"/>
    <w:rsid w:val="00D800BC"/>
    <w:rPr>
      <w:rFonts w:asciiTheme="majorHAnsi" w:eastAsiaTheme="majorEastAsia" w:hAnsiTheme="majorHAnsi" w:cstheme="majorBidi"/>
      <w:b/>
      <w:color w:val="2F5496" w:themeColor="accent1" w:themeShade="BF"/>
      <w:sz w:val="56"/>
      <w:szCs w:val="56"/>
      <w:lang w:eastAsia="en-US"/>
    </w:rPr>
  </w:style>
  <w:style w:type="paragraph" w:styleId="TOC3">
    <w:name w:val="toc 3"/>
    <w:basedOn w:val="Normal"/>
    <w:next w:val="Normal"/>
    <w:uiPriority w:val="39"/>
    <w:unhideWhenUsed/>
    <w:qFormat/>
    <w:rsid w:val="00D800BC"/>
    <w:pPr>
      <w:tabs>
        <w:tab w:val="right" w:leader="dot" w:pos="9072"/>
      </w:tabs>
      <w:suppressAutoHyphens w:val="0"/>
      <w:spacing w:before="120" w:after="120" w:line="240" w:lineRule="auto"/>
      <w:ind w:firstLine="851"/>
    </w:pPr>
    <w:rPr>
      <w:rFonts w:asciiTheme="minorHAnsi" w:eastAsiaTheme="minorHAnsi" w:hAnsiTheme="minorHAnsi"/>
      <w:noProof/>
      <w:sz w:val="22"/>
      <w:szCs w:val="22"/>
      <w:lang w:eastAsia="en-US"/>
    </w:rPr>
  </w:style>
  <w:style w:type="paragraph" w:styleId="TableofFigures">
    <w:name w:val="table of figures"/>
    <w:basedOn w:val="Normal"/>
    <w:next w:val="Normal"/>
    <w:uiPriority w:val="99"/>
    <w:rsid w:val="00D800BC"/>
    <w:pPr>
      <w:suppressAutoHyphens w:val="0"/>
      <w:spacing w:before="120" w:after="120" w:line="240" w:lineRule="auto"/>
    </w:pPr>
    <w:rPr>
      <w:rFonts w:asciiTheme="minorHAnsi" w:eastAsiaTheme="minorHAnsi" w:hAnsiTheme="minorHAnsi"/>
      <w:sz w:val="22"/>
      <w:szCs w:val="22"/>
      <w:lang w:eastAsia="en-US"/>
    </w:rPr>
  </w:style>
  <w:style w:type="paragraph" w:styleId="ListNumber">
    <w:name w:val="List Number"/>
    <w:basedOn w:val="Normal"/>
    <w:uiPriority w:val="9"/>
    <w:qFormat/>
    <w:rsid w:val="00D800BC"/>
    <w:pPr>
      <w:numPr>
        <w:numId w:val="11"/>
      </w:numPr>
      <w:tabs>
        <w:tab w:val="left" w:pos="142"/>
      </w:tabs>
      <w:suppressAutoHyphens w:val="0"/>
      <w:spacing w:before="120" w:after="120" w:line="259" w:lineRule="auto"/>
    </w:pPr>
    <w:rPr>
      <w:rFonts w:asciiTheme="minorHAnsi" w:eastAsiaTheme="minorHAnsi" w:hAnsiTheme="minorHAnsi"/>
      <w:sz w:val="22"/>
      <w:szCs w:val="22"/>
      <w:lang w:eastAsia="en-US"/>
    </w:rPr>
  </w:style>
  <w:style w:type="paragraph" w:styleId="ListNumber2">
    <w:name w:val="List Number 2"/>
    <w:uiPriority w:val="10"/>
    <w:qFormat/>
    <w:rsid w:val="00D800BC"/>
    <w:pPr>
      <w:numPr>
        <w:ilvl w:val="1"/>
        <w:numId w:val="11"/>
      </w:numPr>
      <w:tabs>
        <w:tab w:val="left" w:pos="567"/>
      </w:tabs>
      <w:spacing w:before="120" w:after="120" w:line="264" w:lineRule="auto"/>
    </w:pPr>
    <w:rPr>
      <w:rFonts w:ascii="Cambria" w:eastAsia="Times New Roman" w:hAnsi="Cambria" w:cs="Times New Roman"/>
      <w:sz w:val="22"/>
      <w:lang w:eastAsia="en-US"/>
    </w:rPr>
  </w:style>
  <w:style w:type="paragraph" w:styleId="ListNumber3">
    <w:name w:val="List Number 3"/>
    <w:uiPriority w:val="11"/>
    <w:qFormat/>
    <w:rsid w:val="00D800BC"/>
    <w:pPr>
      <w:numPr>
        <w:ilvl w:val="2"/>
        <w:numId w:val="11"/>
      </w:numPr>
      <w:spacing w:before="120" w:after="120" w:line="264" w:lineRule="auto"/>
    </w:pPr>
    <w:rPr>
      <w:rFonts w:ascii="Cambria" w:eastAsia="Times New Roman" w:hAnsi="Cambria" w:cs="Times New Roman"/>
      <w:sz w:val="22"/>
      <w:lang w:eastAsia="en-US"/>
    </w:rPr>
  </w:style>
  <w:style w:type="table" w:customStyle="1" w:styleId="LightShading1">
    <w:name w:val="Light Shading1"/>
    <w:basedOn w:val="TableNormal"/>
    <w:uiPriority w:val="60"/>
    <w:rsid w:val="00D800BC"/>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D800B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D800BC"/>
    <w:pPr>
      <w:suppressAutoHyphens w:val="0"/>
      <w:spacing w:line="240" w:lineRule="auto"/>
    </w:pPr>
    <w:rPr>
      <w:rFonts w:asciiTheme="minorHAnsi" w:eastAsiaTheme="minorHAnsi" w:hAnsiTheme="minorHAnsi"/>
      <w:sz w:val="18"/>
      <w:szCs w:val="22"/>
      <w:lang w:eastAsia="en-US"/>
    </w:rPr>
  </w:style>
  <w:style w:type="table" w:styleId="TableGrid1">
    <w:name w:val="Table Grid 1"/>
    <w:basedOn w:val="TableNormal"/>
    <w:uiPriority w:val="99"/>
    <w:semiHidden/>
    <w:unhideWhenUsed/>
    <w:rsid w:val="00D800BC"/>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D800BC"/>
    <w:pPr>
      <w:keepNext/>
    </w:pPr>
    <w:rPr>
      <w:b/>
    </w:rPr>
  </w:style>
  <w:style w:type="character" w:styleId="PlaceholderText">
    <w:name w:val="Placeholder Text"/>
    <w:basedOn w:val="DefaultParagraphFont"/>
    <w:uiPriority w:val="99"/>
    <w:semiHidden/>
    <w:rsid w:val="00D800BC"/>
    <w:rPr>
      <w:color w:val="808080"/>
    </w:rPr>
  </w:style>
  <w:style w:type="paragraph" w:customStyle="1" w:styleId="AuthorOrganisationAffiliation">
    <w:name w:val="Author Organisation/Affiliation"/>
    <w:basedOn w:val="Normal"/>
    <w:next w:val="Normal"/>
    <w:uiPriority w:val="25"/>
    <w:qFormat/>
    <w:rsid w:val="00D800BC"/>
    <w:pPr>
      <w:suppressAutoHyphens w:val="0"/>
      <w:spacing w:before="0" w:after="720" w:line="259" w:lineRule="auto"/>
    </w:pPr>
    <w:rPr>
      <w:rFonts w:asciiTheme="minorHAnsi" w:eastAsiaTheme="minorHAnsi" w:hAnsiTheme="minorHAnsi"/>
      <w:sz w:val="22"/>
      <w:szCs w:val="22"/>
      <w:lang w:eastAsia="en-US"/>
    </w:rPr>
  </w:style>
  <w:style w:type="paragraph" w:customStyle="1" w:styleId="Glossary">
    <w:name w:val="Glossary"/>
    <w:basedOn w:val="Normal"/>
    <w:link w:val="GlossaryChar"/>
    <w:uiPriority w:val="28"/>
    <w:semiHidden/>
    <w:locked/>
    <w:rsid w:val="00D800BC"/>
    <w:pPr>
      <w:suppressAutoHyphens w:val="0"/>
      <w:spacing w:before="120" w:after="120" w:line="259" w:lineRule="auto"/>
      <w:ind w:left="2126" w:hanging="2126"/>
    </w:pPr>
    <w:rPr>
      <w:rFonts w:asciiTheme="minorHAnsi" w:eastAsia="Calibri" w:hAnsiTheme="minorHAnsi"/>
      <w:color w:val="000000"/>
      <w:sz w:val="22"/>
      <w:szCs w:val="22"/>
      <w:lang w:eastAsia="en-US"/>
    </w:rPr>
  </w:style>
  <w:style w:type="character" w:customStyle="1" w:styleId="GlossaryChar">
    <w:name w:val="Glossary Char"/>
    <w:basedOn w:val="DefaultParagraphFont"/>
    <w:link w:val="Glossary"/>
    <w:uiPriority w:val="28"/>
    <w:semiHidden/>
    <w:rsid w:val="00D800BC"/>
    <w:rPr>
      <w:rFonts w:eastAsia="Calibri"/>
      <w:color w:val="000000"/>
      <w:sz w:val="22"/>
      <w:szCs w:val="22"/>
      <w:lang w:eastAsia="en-US"/>
    </w:rPr>
  </w:style>
  <w:style w:type="paragraph" w:styleId="TOAHeading">
    <w:name w:val="toa heading"/>
    <w:basedOn w:val="Heading1"/>
    <w:next w:val="Normal"/>
    <w:uiPriority w:val="99"/>
    <w:semiHidden/>
    <w:unhideWhenUsed/>
    <w:rsid w:val="00D800BC"/>
    <w:pPr>
      <w:keepNext/>
      <w:keepLines/>
      <w:widowControl/>
      <w:suppressAutoHyphens w:val="0"/>
      <w:autoSpaceDE/>
      <w:autoSpaceDN/>
      <w:adjustRightInd/>
      <w:spacing w:before="120" w:after="0" w:line="259" w:lineRule="auto"/>
      <w:textAlignment w:val="auto"/>
    </w:pPr>
    <w:rPr>
      <w:rFonts w:asciiTheme="majorHAnsi" w:eastAsiaTheme="majorEastAsia" w:hAnsiTheme="majorHAnsi" w:cstheme="majorBidi"/>
      <w:b w:val="0"/>
      <w:bCs/>
      <w:color w:val="2F5496" w:themeColor="accent1" w:themeShade="BF"/>
      <w:sz w:val="24"/>
      <w:szCs w:val="32"/>
      <w:lang w:val="en-AU" w:eastAsia="en-US"/>
    </w:rPr>
  </w:style>
  <w:style w:type="paragraph" w:styleId="NormalWeb">
    <w:name w:val="Normal (Web)"/>
    <w:basedOn w:val="Normal"/>
    <w:uiPriority w:val="99"/>
    <w:semiHidden/>
    <w:unhideWhenUsed/>
    <w:rsid w:val="00D800BC"/>
    <w:pPr>
      <w:suppressAutoHyphens w:val="0"/>
      <w:spacing w:before="0" w:after="168" w:line="168" w:lineRule="atLeast"/>
      <w:jc w:val="both"/>
    </w:pPr>
    <w:rPr>
      <w:rFonts w:ascii="Times New Roman" w:eastAsiaTheme="minorHAnsi" w:hAnsi="Times New Roman"/>
      <w:sz w:val="13"/>
      <w:szCs w:val="13"/>
      <w:lang w:eastAsia="en-AU"/>
    </w:rPr>
  </w:style>
  <w:style w:type="paragraph" w:customStyle="1" w:styleId="BoxTextBullet">
    <w:name w:val="Box Text Bullet"/>
    <w:basedOn w:val="BoxText"/>
    <w:uiPriority w:val="21"/>
    <w:qFormat/>
    <w:rsid w:val="00D800BC"/>
    <w:pPr>
      <w:numPr>
        <w:numId w:val="4"/>
      </w:numPr>
      <w:pBdr>
        <w:top w:val="single" w:sz="4" w:space="10" w:color="auto"/>
        <w:left w:val="single" w:sz="4" w:space="10" w:color="auto"/>
        <w:bottom w:val="single" w:sz="4" w:space="10" w:color="auto"/>
        <w:right w:val="single" w:sz="4" w:space="10" w:color="auto"/>
      </w:pBdr>
      <w:shd w:val="clear" w:color="auto" w:fill="auto"/>
      <w:suppressAutoHyphens w:val="0"/>
      <w:spacing w:before="120" w:after="120" w:line="259" w:lineRule="auto"/>
    </w:pPr>
    <w:rPr>
      <w:rFonts w:asciiTheme="minorHAnsi" w:eastAsiaTheme="minorHAnsi" w:hAnsiTheme="minorHAnsi"/>
      <w:szCs w:val="22"/>
      <w:lang w:eastAsia="en-US"/>
    </w:rPr>
  </w:style>
  <w:style w:type="paragraph" w:customStyle="1" w:styleId="TableBullet1">
    <w:name w:val="Table Bullet 1"/>
    <w:basedOn w:val="TableText"/>
    <w:uiPriority w:val="15"/>
    <w:qFormat/>
    <w:rsid w:val="00D800BC"/>
    <w:pPr>
      <w:numPr>
        <w:numId w:val="5"/>
      </w:numPr>
    </w:pPr>
  </w:style>
  <w:style w:type="paragraph" w:styleId="DocumentMap">
    <w:name w:val="Document Map"/>
    <w:basedOn w:val="Normal"/>
    <w:link w:val="DocumentMapChar"/>
    <w:uiPriority w:val="99"/>
    <w:semiHidden/>
    <w:unhideWhenUsed/>
    <w:rsid w:val="00D800BC"/>
    <w:pPr>
      <w:suppressAutoHyphens w:val="0"/>
      <w:spacing w:before="0" w:after="0" w:line="240" w:lineRule="auto"/>
    </w:pPr>
    <w:rPr>
      <w:rFonts w:ascii="Tahoma" w:eastAsiaTheme="minorHAnsi" w:hAnsi="Tahoma" w:cs="Tahoma"/>
      <w:sz w:val="16"/>
      <w:szCs w:val="16"/>
      <w:lang w:eastAsia="en-US"/>
    </w:rPr>
  </w:style>
  <w:style w:type="character" w:customStyle="1" w:styleId="DocumentMapChar">
    <w:name w:val="Document Map Char"/>
    <w:basedOn w:val="DefaultParagraphFont"/>
    <w:link w:val="DocumentMap"/>
    <w:uiPriority w:val="99"/>
    <w:semiHidden/>
    <w:rsid w:val="00D800BC"/>
    <w:rPr>
      <w:rFonts w:ascii="Tahoma" w:eastAsiaTheme="minorHAnsi" w:hAnsi="Tahoma" w:cs="Tahoma"/>
      <w:sz w:val="16"/>
      <w:szCs w:val="16"/>
      <w:lang w:eastAsia="en-US"/>
    </w:rPr>
  </w:style>
  <w:style w:type="paragraph" w:customStyle="1" w:styleId="Securityclassification">
    <w:name w:val="Security classification"/>
    <w:basedOn w:val="Header"/>
    <w:next w:val="Header"/>
    <w:uiPriority w:val="26"/>
    <w:qFormat/>
    <w:rsid w:val="00D800BC"/>
    <w:pPr>
      <w:tabs>
        <w:tab w:val="clear" w:pos="4513"/>
        <w:tab w:val="clear" w:pos="9026"/>
        <w:tab w:val="center" w:pos="4820"/>
      </w:tabs>
      <w:suppressAutoHyphens w:val="0"/>
      <w:spacing w:before="0" w:after="0" w:line="240" w:lineRule="auto"/>
    </w:pPr>
    <w:rPr>
      <w:rFonts w:ascii="Calibri" w:eastAsiaTheme="minorHAnsi" w:hAnsi="Calibri"/>
      <w:b/>
      <w:color w:val="FF0000"/>
      <w:sz w:val="36"/>
      <w:szCs w:val="36"/>
      <w:lang w:eastAsia="en-US"/>
    </w:rPr>
  </w:style>
  <w:style w:type="paragraph" w:customStyle="1" w:styleId="DisseminationLimitingMarker">
    <w:name w:val="Dissemination Limiting Marker"/>
    <w:basedOn w:val="Header"/>
    <w:next w:val="Header"/>
    <w:uiPriority w:val="27"/>
    <w:rsid w:val="00D800BC"/>
    <w:pPr>
      <w:tabs>
        <w:tab w:val="clear" w:pos="4513"/>
        <w:tab w:val="clear" w:pos="9026"/>
        <w:tab w:val="center" w:pos="4820"/>
      </w:tabs>
      <w:suppressAutoHyphens w:val="0"/>
      <w:spacing w:before="0" w:after="0" w:line="240" w:lineRule="auto"/>
    </w:pPr>
    <w:rPr>
      <w:rFonts w:ascii="Calibri" w:eastAsiaTheme="minorHAnsi" w:hAnsi="Calibri"/>
      <w:b/>
      <w:sz w:val="36"/>
      <w:szCs w:val="36"/>
      <w:lang w:eastAsia="en-US"/>
    </w:rPr>
  </w:style>
  <w:style w:type="paragraph" w:styleId="FootnoteText">
    <w:name w:val="footnote text"/>
    <w:basedOn w:val="Normal"/>
    <w:link w:val="FootnoteTextChar"/>
    <w:uiPriority w:val="99"/>
    <w:unhideWhenUsed/>
    <w:rsid w:val="00D800BC"/>
    <w:pPr>
      <w:suppressAutoHyphens w:val="0"/>
      <w:spacing w:before="0" w:line="264" w:lineRule="auto"/>
    </w:pPr>
    <w:rPr>
      <w:rFonts w:asciiTheme="minorHAnsi" w:eastAsiaTheme="minorHAnsi" w:hAnsiTheme="minorHAnsi"/>
      <w:szCs w:val="20"/>
      <w:lang w:eastAsia="en-US"/>
    </w:rPr>
  </w:style>
  <w:style w:type="character" w:customStyle="1" w:styleId="FootnoteTextChar">
    <w:name w:val="Footnote Text Char"/>
    <w:basedOn w:val="DefaultParagraphFont"/>
    <w:link w:val="FootnoteText"/>
    <w:uiPriority w:val="99"/>
    <w:rsid w:val="00D800BC"/>
    <w:rPr>
      <w:rFonts w:eastAsiaTheme="minorHAnsi"/>
      <w:sz w:val="20"/>
      <w:szCs w:val="20"/>
      <w:lang w:eastAsia="en-US"/>
    </w:rPr>
  </w:style>
  <w:style w:type="character" w:styleId="FootnoteReference">
    <w:name w:val="footnote reference"/>
    <w:basedOn w:val="DefaultParagraphFont"/>
    <w:uiPriority w:val="99"/>
    <w:semiHidden/>
    <w:unhideWhenUsed/>
    <w:rsid w:val="00D800BC"/>
    <w:rPr>
      <w:vertAlign w:val="superscript"/>
    </w:rPr>
  </w:style>
  <w:style w:type="paragraph" w:styleId="EndnoteText">
    <w:name w:val="endnote text"/>
    <w:basedOn w:val="Normal"/>
    <w:link w:val="EndnoteTextChar"/>
    <w:uiPriority w:val="99"/>
    <w:unhideWhenUsed/>
    <w:rsid w:val="00D800BC"/>
    <w:pPr>
      <w:suppressAutoHyphens w:val="0"/>
      <w:spacing w:before="0" w:line="264" w:lineRule="auto"/>
    </w:pPr>
    <w:rPr>
      <w:rFonts w:asciiTheme="minorHAnsi" w:eastAsiaTheme="minorHAnsi" w:hAnsiTheme="minorHAnsi"/>
      <w:szCs w:val="20"/>
      <w:lang w:eastAsia="en-US"/>
    </w:rPr>
  </w:style>
  <w:style w:type="character" w:customStyle="1" w:styleId="EndnoteTextChar">
    <w:name w:val="Endnote Text Char"/>
    <w:basedOn w:val="DefaultParagraphFont"/>
    <w:link w:val="EndnoteText"/>
    <w:uiPriority w:val="99"/>
    <w:rsid w:val="00D800BC"/>
    <w:rPr>
      <w:rFonts w:eastAsiaTheme="minorHAnsi"/>
      <w:sz w:val="20"/>
      <w:szCs w:val="20"/>
      <w:lang w:eastAsia="en-US"/>
    </w:rPr>
  </w:style>
  <w:style w:type="character" w:styleId="EndnoteReference">
    <w:name w:val="endnote reference"/>
    <w:basedOn w:val="DefaultParagraphFont"/>
    <w:uiPriority w:val="99"/>
    <w:semiHidden/>
    <w:unhideWhenUsed/>
    <w:rsid w:val="00D800BC"/>
    <w:rPr>
      <w:vertAlign w:val="superscript"/>
    </w:rPr>
  </w:style>
  <w:style w:type="character" w:styleId="FollowedHyperlink">
    <w:name w:val="FollowedHyperlink"/>
    <w:basedOn w:val="DefaultParagraphFont"/>
    <w:uiPriority w:val="99"/>
    <w:semiHidden/>
    <w:unhideWhenUsed/>
    <w:rsid w:val="00D800BC"/>
    <w:rPr>
      <w:color w:val="800080"/>
      <w:u w:val="single"/>
    </w:rPr>
  </w:style>
  <w:style w:type="paragraph" w:customStyle="1" w:styleId="BoxSource">
    <w:name w:val="Box Source"/>
    <w:basedOn w:val="FigureTableNoteSource"/>
    <w:uiPriority w:val="22"/>
    <w:qFormat/>
    <w:rsid w:val="00D800B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D800BC"/>
    <w:pPr>
      <w:numPr>
        <w:numId w:val="6"/>
      </w:numPr>
    </w:pPr>
  </w:style>
  <w:style w:type="paragraph" w:styleId="Title">
    <w:name w:val="Title"/>
    <w:basedOn w:val="Normal"/>
    <w:next w:val="Normal"/>
    <w:link w:val="TitleChar"/>
    <w:uiPriority w:val="10"/>
    <w:qFormat/>
    <w:rsid w:val="00D800BC"/>
    <w:pPr>
      <w:suppressAutoHyphens w:val="0"/>
      <w:spacing w:before="360" w:after="0" w:line="240" w:lineRule="auto"/>
      <w:contextualSpacing/>
    </w:pPr>
    <w:rPr>
      <w:rFonts w:asciiTheme="minorHAnsi" w:eastAsiaTheme="majorEastAsia" w:hAnsiTheme="minorHAnsi" w:cstheme="majorBidi"/>
      <w:b/>
      <w:spacing w:val="5"/>
      <w:kern w:val="28"/>
      <w:sz w:val="72"/>
      <w:szCs w:val="52"/>
      <w:lang w:eastAsia="en-US"/>
    </w:rPr>
  </w:style>
  <w:style w:type="character" w:customStyle="1" w:styleId="TitleChar">
    <w:name w:val="Title Char"/>
    <w:basedOn w:val="DefaultParagraphFont"/>
    <w:link w:val="Title"/>
    <w:uiPriority w:val="10"/>
    <w:rsid w:val="00D800BC"/>
    <w:rPr>
      <w:rFonts w:eastAsiaTheme="majorEastAsia" w:cstheme="majorBidi"/>
      <w:b/>
      <w:spacing w:val="5"/>
      <w:kern w:val="28"/>
      <w:sz w:val="72"/>
      <w:szCs w:val="52"/>
      <w:lang w:eastAsia="en-US"/>
    </w:rPr>
  </w:style>
  <w:style w:type="paragraph" w:customStyle="1" w:styleId="TOCHeading2">
    <w:name w:val="TOC Heading 2"/>
    <w:next w:val="Normal"/>
    <w:qFormat/>
    <w:rsid w:val="00D800BC"/>
    <w:rPr>
      <w:rFonts w:ascii="Calibri Light" w:eastAsiaTheme="minorHAnsi" w:hAnsi="Calibri Light"/>
      <w:sz w:val="36"/>
      <w:szCs w:val="22"/>
      <w:lang w:eastAsia="en-US"/>
    </w:rPr>
  </w:style>
  <w:style w:type="numbering" w:customStyle="1" w:styleId="Numberlist">
    <w:name w:val="Number list"/>
    <w:uiPriority w:val="99"/>
    <w:rsid w:val="00D800BC"/>
    <w:pPr>
      <w:numPr>
        <w:numId w:val="7"/>
      </w:numPr>
    </w:pPr>
  </w:style>
  <w:style w:type="numbering" w:customStyle="1" w:styleId="Headinglist">
    <w:name w:val="Heading list"/>
    <w:uiPriority w:val="99"/>
    <w:rsid w:val="00D800BC"/>
    <w:pPr>
      <w:numPr>
        <w:numId w:val="8"/>
      </w:numPr>
    </w:pPr>
  </w:style>
  <w:style w:type="paragraph" w:styleId="ListBullet3">
    <w:name w:val="List Bullet 3"/>
    <w:basedOn w:val="Normal"/>
    <w:uiPriority w:val="99"/>
    <w:semiHidden/>
    <w:rsid w:val="00D800BC"/>
    <w:pPr>
      <w:suppressAutoHyphens w:val="0"/>
      <w:spacing w:before="0" w:after="160" w:line="259" w:lineRule="auto"/>
      <w:ind w:left="1276" w:hanging="425"/>
      <w:contextualSpacing/>
    </w:pPr>
    <w:rPr>
      <w:rFonts w:asciiTheme="minorHAnsi" w:eastAsiaTheme="minorHAnsi" w:hAnsiTheme="minorHAnsi"/>
      <w:sz w:val="22"/>
      <w:szCs w:val="22"/>
      <w:lang w:eastAsia="en-US"/>
    </w:rPr>
  </w:style>
  <w:style w:type="table" w:customStyle="1" w:styleId="ABARESTableleftrightalign">
    <w:name w:val="ABARES Table (left/right align)"/>
    <w:basedOn w:val="TableNormal"/>
    <w:uiPriority w:val="99"/>
    <w:rsid w:val="00D800BC"/>
    <w:pPr>
      <w:spacing w:before="60" w:after="60"/>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D800BC"/>
    <w:pPr>
      <w:spacing w:before="60" w:after="60"/>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D800BC"/>
    <w:pPr>
      <w:numPr>
        <w:numId w:val="10"/>
      </w:numPr>
      <w:spacing w:before="60" w:after="60"/>
      <w:contextualSpacing/>
    </w:pPr>
    <w:rPr>
      <w:rFonts w:ascii="Cambria" w:eastAsia="Calibri" w:hAnsi="Cambria" w:cs="Times New Roman"/>
      <w:color w:val="000000" w:themeColor="text1"/>
      <w:sz w:val="18"/>
      <w:szCs w:val="22"/>
      <w:lang w:eastAsia="en-US"/>
    </w:rPr>
  </w:style>
  <w:style w:type="character" w:styleId="IntenseEmphasis">
    <w:name w:val="Intense Emphasis"/>
    <w:basedOn w:val="DefaultParagraphFont"/>
    <w:uiPriority w:val="21"/>
    <w:qFormat/>
    <w:rsid w:val="00D800BC"/>
    <w:rPr>
      <w:i/>
      <w:iCs/>
      <w:color w:val="4472C4" w:themeColor="accent1"/>
    </w:rPr>
  </w:style>
  <w:style w:type="paragraph" w:customStyle="1" w:styleId="TableBullet2">
    <w:name w:val="Table Bullet 2"/>
    <w:basedOn w:val="TableBullet1"/>
    <w:qFormat/>
    <w:rsid w:val="00D800BC"/>
    <w:pPr>
      <w:numPr>
        <w:numId w:val="13"/>
      </w:numPr>
      <w:tabs>
        <w:tab w:val="num" w:pos="284"/>
      </w:tabs>
    </w:pPr>
  </w:style>
  <w:style w:type="numbering" w:customStyle="1" w:styleId="TableBulletlist">
    <w:name w:val="Table Bullet list"/>
    <w:uiPriority w:val="99"/>
    <w:rsid w:val="00D800BC"/>
    <w:pPr>
      <w:numPr>
        <w:numId w:val="12"/>
      </w:numPr>
    </w:pPr>
  </w:style>
  <w:style w:type="paragraph" w:styleId="ListParagraph">
    <w:name w:val="List Paragraph"/>
    <w:basedOn w:val="Normal"/>
    <w:link w:val="ListParagraphChar"/>
    <w:uiPriority w:val="34"/>
    <w:qFormat/>
    <w:rsid w:val="00D800BC"/>
    <w:pPr>
      <w:suppressAutoHyphens w:val="0"/>
      <w:spacing w:before="0" w:after="0" w:line="240" w:lineRule="auto"/>
      <w:ind w:left="720"/>
    </w:pPr>
    <w:rPr>
      <w:rFonts w:ascii="Calibri" w:eastAsiaTheme="minorHAnsi" w:hAnsi="Calibri" w:cs="Calibri"/>
      <w:sz w:val="22"/>
      <w:szCs w:val="22"/>
      <w:lang w:eastAsia="en-US"/>
    </w:rPr>
  </w:style>
  <w:style w:type="paragraph" w:customStyle="1" w:styleId="Coverdate">
    <w:name w:val="Cover date"/>
    <w:basedOn w:val="Normal"/>
    <w:link w:val="CoverdateChar"/>
    <w:uiPriority w:val="99"/>
    <w:locked/>
    <w:rsid w:val="00D800BC"/>
    <w:pPr>
      <w:suppressAutoHyphens w:val="0"/>
      <w:spacing w:before="0" w:after="160" w:line="259" w:lineRule="auto"/>
    </w:pPr>
    <w:rPr>
      <w:rFonts w:asciiTheme="minorHAnsi" w:eastAsiaTheme="minorHAnsi" w:hAnsiTheme="minorHAnsi"/>
      <w:color w:val="FFFFFF" w:themeColor="background1"/>
      <w:sz w:val="30"/>
      <w:szCs w:val="30"/>
      <w:lang w:eastAsia="en-US"/>
    </w:rPr>
  </w:style>
  <w:style w:type="character" w:customStyle="1" w:styleId="CoverdateChar">
    <w:name w:val="Cover date Char"/>
    <w:basedOn w:val="DefaultParagraphFont"/>
    <w:link w:val="Coverdate"/>
    <w:uiPriority w:val="99"/>
    <w:rsid w:val="00D800BC"/>
    <w:rPr>
      <w:rFonts w:eastAsiaTheme="minorHAnsi"/>
      <w:color w:val="FFFFFF" w:themeColor="background1"/>
      <w:sz w:val="30"/>
      <w:szCs w:val="30"/>
      <w:lang w:eastAsia="en-US"/>
    </w:rPr>
  </w:style>
  <w:style w:type="paragraph" w:customStyle="1" w:styleId="AppendixHeading1">
    <w:name w:val="Appendix Heading 1"/>
    <w:basedOn w:val="Heading1"/>
    <w:next w:val="Normal"/>
    <w:link w:val="AppendixHeading1Char"/>
    <w:qFormat/>
    <w:rsid w:val="00D800BC"/>
    <w:pPr>
      <w:keepNext/>
      <w:keepLines/>
      <w:widowControl/>
      <w:suppressAutoHyphens w:val="0"/>
      <w:autoSpaceDE/>
      <w:autoSpaceDN/>
      <w:adjustRightInd/>
      <w:spacing w:before="240" w:after="320" w:line="240" w:lineRule="auto"/>
      <w:ind w:left="431" w:hanging="431"/>
      <w:textAlignment w:val="auto"/>
    </w:pPr>
    <w:rPr>
      <w:rFonts w:ascii="Calibri Light" w:eastAsiaTheme="majorEastAsia" w:hAnsi="Calibri Light" w:cstheme="majorBidi"/>
      <w:bCs/>
      <w:color w:val="2F5496" w:themeColor="accent1" w:themeShade="BF"/>
      <w:kern w:val="32"/>
      <w:sz w:val="28"/>
      <w:szCs w:val="28"/>
      <w:u w:color="A0C36E"/>
      <w:lang w:eastAsia="en-US"/>
    </w:rPr>
  </w:style>
  <w:style w:type="character" w:customStyle="1" w:styleId="AppendixHeading1Char">
    <w:name w:val="Appendix Heading 1 Char"/>
    <w:basedOn w:val="Heading1Char"/>
    <w:link w:val="AppendixHeading1"/>
    <w:rsid w:val="00D800BC"/>
    <w:rPr>
      <w:rFonts w:ascii="Calibri Light" w:eastAsiaTheme="majorEastAsia" w:hAnsi="Calibri Light" w:cstheme="majorBidi"/>
      <w:b/>
      <w:bCs/>
      <w:color w:val="2F5496" w:themeColor="accent1" w:themeShade="BF"/>
      <w:kern w:val="32"/>
      <w:sz w:val="28"/>
      <w:szCs w:val="28"/>
      <w:u w:color="A0C36E"/>
      <w:lang w:val="en-GB" w:eastAsia="en-US"/>
    </w:rPr>
  </w:style>
  <w:style w:type="paragraph" w:styleId="Revision">
    <w:name w:val="Revision"/>
    <w:hidden/>
    <w:uiPriority w:val="99"/>
    <w:semiHidden/>
    <w:rsid w:val="00D800BC"/>
    <w:rPr>
      <w:rFonts w:eastAsiaTheme="minorHAnsi"/>
      <w:sz w:val="22"/>
      <w:szCs w:val="22"/>
      <w:lang w:eastAsia="en-US"/>
    </w:rPr>
  </w:style>
  <w:style w:type="paragraph" w:customStyle="1" w:styleId="Ariallistletters">
    <w:name w:val="Arial list (letters)"/>
    <w:basedOn w:val="ListParagraph"/>
    <w:link w:val="AriallistlettersChar"/>
    <w:qFormat/>
    <w:rsid w:val="00554F23"/>
    <w:pPr>
      <w:numPr>
        <w:numId w:val="14"/>
      </w:numPr>
    </w:pPr>
    <w:rPr>
      <w:rFonts w:ascii="Arial" w:eastAsiaTheme="minorEastAsia" w:hAnsi="Arial" w:cstheme="minorBidi"/>
      <w:sz w:val="20"/>
      <w:szCs w:val="24"/>
      <w:lang w:eastAsia="ja-JP"/>
    </w:rPr>
  </w:style>
  <w:style w:type="character" w:customStyle="1" w:styleId="ListParagraphChar">
    <w:name w:val="List Paragraph Char"/>
    <w:basedOn w:val="DefaultParagraphFont"/>
    <w:link w:val="ListParagraph"/>
    <w:uiPriority w:val="34"/>
    <w:rsid w:val="00554F23"/>
    <w:rPr>
      <w:rFonts w:ascii="Calibri" w:eastAsiaTheme="minorHAnsi" w:hAnsi="Calibri" w:cs="Calibri"/>
      <w:sz w:val="22"/>
      <w:szCs w:val="22"/>
      <w:lang w:eastAsia="en-US"/>
    </w:rPr>
  </w:style>
  <w:style w:type="character" w:customStyle="1" w:styleId="AriallistlettersChar">
    <w:name w:val="Arial list (letters) Char"/>
    <w:basedOn w:val="ListParagraphChar"/>
    <w:link w:val="Ariallistletters"/>
    <w:rsid w:val="00554F23"/>
    <w:rPr>
      <w:rFonts w:ascii="Arial" w:eastAsiaTheme="minorHAnsi" w:hAnsi="Arial" w:cs="Calibri"/>
      <w:sz w:val="20"/>
      <w:szCs w:val="22"/>
      <w:lang w:eastAsia="ja-JP"/>
    </w:rPr>
  </w:style>
  <w:style w:type="table" w:styleId="TableGridLight">
    <w:name w:val="Grid Table Light"/>
    <w:basedOn w:val="TableNormal"/>
    <w:uiPriority w:val="40"/>
    <w:rsid w:val="00B13E91"/>
    <w:rPr>
      <w:rFonts w:ascii="Verdana" w:eastAsia="Calibri" w:hAnsi="Verdana" w:cs="Times New Roman"/>
      <w:sz w:val="20"/>
      <w:szCs w:val="22"/>
      <w:lang w:eastAsia="en-AU"/>
    </w:rPr>
    <w:tblPr>
      <w:tblBorders>
        <w:top w:val="single" w:sz="4" w:space="0" w:color="44546A" w:themeColor="text2"/>
        <w:bottom w:val="single" w:sz="4" w:space="0" w:color="44546A" w:themeColor="text2"/>
        <w:insideH w:val="single" w:sz="4" w:space="0" w:color="44546A" w:themeColor="text2"/>
      </w:tblBorders>
    </w:tblPr>
    <w:tblStylePr w:type="firstRow">
      <w:tblPr/>
      <w:tcPr>
        <w:shd w:val="clear" w:color="auto" w:fill="000000" w:themeFill="text1"/>
      </w:tcPr>
    </w:tblStylePr>
  </w:style>
  <w:style w:type="table" w:customStyle="1" w:styleId="TableGrid10">
    <w:name w:val="Table Grid1"/>
    <w:basedOn w:val="TableNormal"/>
    <w:next w:val="TableGrid"/>
    <w:uiPriority w:val="39"/>
    <w:rsid w:val="0078117D"/>
    <w:rPr>
      <w:rFonts w:ascii="Roc Grotesk" w:eastAsia="Calibri" w:hAnsi="Roc Grotesk"/>
      <w:color w:val="48555E"/>
      <w:sz w:val="20"/>
      <w:lang w:eastAsia="en-US"/>
    </w:rPr>
    <w:tblPr>
      <w:tblBorders>
        <w:top w:val="single" w:sz="2" w:space="0" w:color="4C6968"/>
        <w:bottom w:val="single" w:sz="2" w:space="0" w:color="4C6968"/>
        <w:insideH w:val="single" w:sz="2" w:space="0" w:color="4C6968"/>
      </w:tblBorders>
    </w:tblPr>
    <w:tcPr>
      <w:shd w:val="clear" w:color="auto" w:fill="auto"/>
    </w:tcPr>
    <w:tblStylePr w:type="firstRow">
      <w:rPr>
        <w:b w:val="0"/>
        <w:color w:val="FFFFFF"/>
      </w:rPr>
      <w:tblPr/>
      <w:tcPr>
        <w:shd w:val="clear" w:color="auto" w:fill="48555E"/>
      </w:tc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4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dcceew.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gwc.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dcceew.gov.au/sites/default/files/documents/water-market-reform-final-roadmap-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igwc.gov.au/reviews-repor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dcceew.gov.au/sites/default/files/documents/water-market-reform-final-roadmap-report.pdf" TargetMode="External"/><Relationship Id="rId3" Type="http://schemas.openxmlformats.org/officeDocument/2006/relationships/hyperlink" Target="https://legislation.nsw.gov.au/view/pdf/asmade/sl-2015-630" TargetMode="External"/><Relationship Id="rId7" Type="http://schemas.openxmlformats.org/officeDocument/2006/relationships/hyperlink" Target="https://www.waternsw.com.au/customer-services/ordering-and-trading/trading-water" TargetMode="External"/><Relationship Id="rId2" Type="http://schemas.openxmlformats.org/officeDocument/2006/relationships/hyperlink" Target="https://aus01.safelinks.protection.outlook.com/?url=http%3A%2F%2Fwww.bom.gov.au%2Fwater%2Fmarket%2Fdocuments%2FAWMR2019-20.pdf&amp;data=05%7C01%7CGregory.Hansen%40igwc.gov.au%7C4d4e81902765406195e108dbc0a6c71b%7C2be67eb7400c4b3fa5a11258c0da0696%7C0%7C0%7C638315594753525914%7CUnknown%7CTWFpbGZsb3d8eyJWIjoiMC4wLjAwMDAiLCJQIjoiV2luMzIiLCJBTiI6Ik1haWwiLCJXVCI6Mn0%3D%7C3000%7C%7C%7C&amp;sdata=wvt5DsAj8yt9zhO8%2F108j2hxgRf0U3iaa%2FSedVhZXIY%3D&amp;reserved=0" TargetMode="External"/><Relationship Id="rId1" Type="http://schemas.openxmlformats.org/officeDocument/2006/relationships/hyperlink" Target="https://www.waternsw.com.au/customer-services/ordering-and-trading/trading-water" TargetMode="External"/><Relationship Id="rId6" Type="http://schemas.openxmlformats.org/officeDocument/2006/relationships/hyperlink" Target="https://www.mdba.gov.au/sites/default/files/publications/trade-price-audit-process0.pdf" TargetMode="External"/><Relationship Id="rId5" Type="http://schemas.openxmlformats.org/officeDocument/2006/relationships/hyperlink" Target="https://www.industry.nsw.gov.au/__data/assets/pdf_file/0018/337221/transparency-in-the-nsw-water-market.pdf" TargetMode="External"/><Relationship Id="rId4" Type="http://schemas.openxmlformats.org/officeDocument/2006/relationships/hyperlink" Target="https://www.mdba.gov.au/sites/default/files/publications/trade-price-audit-process0.pdf" TargetMode="External"/><Relationship Id="rId9" Type="http://schemas.openxmlformats.org/officeDocument/2006/relationships/hyperlink" Target="https://www.accc.gov.au/system/files/Murray-Darling%20Basin%20-%20water%20markets%20inquiry%20-%20Final%20report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4" ma:contentTypeDescription="Create a new document." ma:contentTypeScope="" ma:versionID="d2575a541de4f6f4146f87d786cddbb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4bfd732ecb4d90ac731c1f8eb5d3dcdc"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4372E-F4BD-48C0-8909-6B3300B8E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C0B53-4946-437D-9FBA-45A7B6674847}">
  <ds:schemaRefs>
    <ds:schemaRef ds:uri="http://schemas.microsoft.com/sharepoint/v3/contenttype/forms"/>
  </ds:schemaRefs>
</ds:datastoreItem>
</file>

<file path=customXml/itemProps3.xml><?xml version="1.0" encoding="utf-8"?>
<ds:datastoreItem xmlns:ds="http://schemas.openxmlformats.org/officeDocument/2006/customXml" ds:itemID="{06E6530A-E268-4E8D-87EE-71EC6FBCF437}">
  <ds:schemaRef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 ds:uri="81c01dc6-2c49-4730-b140-874c95cac377"/>
    <ds:schemaRef ds:uri="d869c146-c82e-4435-92e4-da91542262fd"/>
    <ds:schemaRef ds:uri="b98728ac-f998-415c-abee-6b046fb1441e"/>
    <ds:schemaRef ds:uri="http://schemas.microsoft.com/office/2006/metadata/properties"/>
  </ds:schemaRefs>
</ds:datastoreItem>
</file>

<file path=customXml/itemProps4.xml><?xml version="1.0" encoding="utf-8"?>
<ds:datastoreItem xmlns:ds="http://schemas.openxmlformats.org/officeDocument/2006/customXml" ds:itemID="{28E15CDD-5819-47DE-8AEB-207B6640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3159</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Investigation into trade price reporting in NSW - October 2023</vt:lpstr>
    </vt:vector>
  </TitlesOfParts>
  <Manager/>
  <Company/>
  <LinksUpToDate>false</LinksUpToDate>
  <CharactersWithSpaces>22156</CharactersWithSpaces>
  <SharedDoc>false</SharedDoc>
  <HyperlinkBase/>
  <HLinks>
    <vt:vector size="84" baseType="variant">
      <vt:variant>
        <vt:i4>1245252</vt:i4>
      </vt:variant>
      <vt:variant>
        <vt:i4>117</vt:i4>
      </vt:variant>
      <vt:variant>
        <vt:i4>0</vt:i4>
      </vt:variant>
      <vt:variant>
        <vt:i4>5</vt:i4>
      </vt:variant>
      <vt:variant>
        <vt:lpwstr>https://www.igwc.gov.au/</vt:lpwstr>
      </vt:variant>
      <vt:variant>
        <vt:lpwstr/>
      </vt:variant>
      <vt:variant>
        <vt:i4>1441848</vt:i4>
      </vt:variant>
      <vt:variant>
        <vt:i4>68</vt:i4>
      </vt:variant>
      <vt:variant>
        <vt:i4>0</vt:i4>
      </vt:variant>
      <vt:variant>
        <vt:i4>5</vt:i4>
      </vt:variant>
      <vt:variant>
        <vt:lpwstr/>
      </vt:variant>
      <vt:variant>
        <vt:lpwstr>_Toc114148999</vt:lpwstr>
      </vt:variant>
      <vt:variant>
        <vt:i4>1441848</vt:i4>
      </vt:variant>
      <vt:variant>
        <vt:i4>62</vt:i4>
      </vt:variant>
      <vt:variant>
        <vt:i4>0</vt:i4>
      </vt:variant>
      <vt:variant>
        <vt:i4>5</vt:i4>
      </vt:variant>
      <vt:variant>
        <vt:lpwstr/>
      </vt:variant>
      <vt:variant>
        <vt:lpwstr>_Toc114148998</vt:lpwstr>
      </vt:variant>
      <vt:variant>
        <vt:i4>1441848</vt:i4>
      </vt:variant>
      <vt:variant>
        <vt:i4>56</vt:i4>
      </vt:variant>
      <vt:variant>
        <vt:i4>0</vt:i4>
      </vt:variant>
      <vt:variant>
        <vt:i4>5</vt:i4>
      </vt:variant>
      <vt:variant>
        <vt:lpwstr/>
      </vt:variant>
      <vt:variant>
        <vt:lpwstr>_Toc114148997</vt:lpwstr>
      </vt:variant>
      <vt:variant>
        <vt:i4>1441848</vt:i4>
      </vt:variant>
      <vt:variant>
        <vt:i4>50</vt:i4>
      </vt:variant>
      <vt:variant>
        <vt:i4>0</vt:i4>
      </vt:variant>
      <vt:variant>
        <vt:i4>5</vt:i4>
      </vt:variant>
      <vt:variant>
        <vt:lpwstr/>
      </vt:variant>
      <vt:variant>
        <vt:lpwstr>_Toc114148996</vt:lpwstr>
      </vt:variant>
      <vt:variant>
        <vt:i4>1441848</vt:i4>
      </vt:variant>
      <vt:variant>
        <vt:i4>44</vt:i4>
      </vt:variant>
      <vt:variant>
        <vt:i4>0</vt:i4>
      </vt:variant>
      <vt:variant>
        <vt:i4>5</vt:i4>
      </vt:variant>
      <vt:variant>
        <vt:lpwstr/>
      </vt:variant>
      <vt:variant>
        <vt:lpwstr>_Toc114148995</vt:lpwstr>
      </vt:variant>
      <vt:variant>
        <vt:i4>1441848</vt:i4>
      </vt:variant>
      <vt:variant>
        <vt:i4>38</vt:i4>
      </vt:variant>
      <vt:variant>
        <vt:i4>0</vt:i4>
      </vt:variant>
      <vt:variant>
        <vt:i4>5</vt:i4>
      </vt:variant>
      <vt:variant>
        <vt:lpwstr/>
      </vt:variant>
      <vt:variant>
        <vt:lpwstr>_Toc114148994</vt:lpwstr>
      </vt:variant>
      <vt:variant>
        <vt:i4>1441848</vt:i4>
      </vt:variant>
      <vt:variant>
        <vt:i4>32</vt:i4>
      </vt:variant>
      <vt:variant>
        <vt:i4>0</vt:i4>
      </vt:variant>
      <vt:variant>
        <vt:i4>5</vt:i4>
      </vt:variant>
      <vt:variant>
        <vt:lpwstr/>
      </vt:variant>
      <vt:variant>
        <vt:lpwstr>_Toc114148993</vt:lpwstr>
      </vt:variant>
      <vt:variant>
        <vt:i4>1441848</vt:i4>
      </vt:variant>
      <vt:variant>
        <vt:i4>26</vt:i4>
      </vt:variant>
      <vt:variant>
        <vt:i4>0</vt:i4>
      </vt:variant>
      <vt:variant>
        <vt:i4>5</vt:i4>
      </vt:variant>
      <vt:variant>
        <vt:lpwstr/>
      </vt:variant>
      <vt:variant>
        <vt:lpwstr>_Toc114148992</vt:lpwstr>
      </vt:variant>
      <vt:variant>
        <vt:i4>1441848</vt:i4>
      </vt:variant>
      <vt:variant>
        <vt:i4>20</vt:i4>
      </vt:variant>
      <vt:variant>
        <vt:i4>0</vt:i4>
      </vt:variant>
      <vt:variant>
        <vt:i4>5</vt:i4>
      </vt:variant>
      <vt:variant>
        <vt:lpwstr/>
      </vt:variant>
      <vt:variant>
        <vt:lpwstr>_Toc114148991</vt:lpwstr>
      </vt:variant>
      <vt:variant>
        <vt:i4>1441848</vt:i4>
      </vt:variant>
      <vt:variant>
        <vt:i4>14</vt:i4>
      </vt:variant>
      <vt:variant>
        <vt:i4>0</vt:i4>
      </vt:variant>
      <vt:variant>
        <vt:i4>5</vt:i4>
      </vt:variant>
      <vt:variant>
        <vt:lpwstr/>
      </vt:variant>
      <vt:variant>
        <vt:lpwstr>_Toc114148990</vt:lpwstr>
      </vt:variant>
      <vt:variant>
        <vt:i4>1507384</vt:i4>
      </vt:variant>
      <vt:variant>
        <vt:i4>8</vt:i4>
      </vt:variant>
      <vt:variant>
        <vt:i4>0</vt:i4>
      </vt:variant>
      <vt:variant>
        <vt:i4>5</vt:i4>
      </vt:variant>
      <vt:variant>
        <vt:lpwstr/>
      </vt:variant>
      <vt:variant>
        <vt:lpwstr>_Toc114148989</vt:lpwstr>
      </vt:variant>
      <vt:variant>
        <vt:i4>3866662</vt:i4>
      </vt:variant>
      <vt:variant>
        <vt:i4>3</vt:i4>
      </vt:variant>
      <vt:variant>
        <vt:i4>0</vt:i4>
      </vt:variant>
      <vt:variant>
        <vt:i4>5</vt:i4>
      </vt:variant>
      <vt:variant>
        <vt:lpwstr>https://www.igwc.gov.au/reviews-reports</vt:lpwstr>
      </vt:variant>
      <vt:variant>
        <vt:lpwstr/>
      </vt:variant>
      <vt:variant>
        <vt:i4>6815772</vt:i4>
      </vt:variant>
      <vt:variant>
        <vt:i4>0</vt:i4>
      </vt:variant>
      <vt:variant>
        <vt:i4>0</vt:i4>
      </vt:variant>
      <vt:variant>
        <vt:i4>5</vt:i4>
      </vt:variant>
      <vt:variant>
        <vt:lpwstr>mailto:copyright@dcceew.gov.au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into trade price reporting in NSW - October 2023</dc:title>
  <dc:subject/>
  <dc:creator>Inspector-General of Water Compliance</dc:creator>
  <cp:keywords/>
  <dc:description/>
  <cp:lastModifiedBy>Nguyen, Lien</cp:lastModifiedBy>
  <cp:revision>5</cp:revision>
  <cp:lastPrinted>2023-10-17T05:57:00Z</cp:lastPrinted>
  <dcterms:created xsi:type="dcterms:W3CDTF">2023-10-23T21:07:00Z</dcterms:created>
  <dcterms:modified xsi:type="dcterms:W3CDTF">2023-10-27T04:52:00Z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0x0101000AB83DC74A1A224A94CC6277C36640F8</vt:lpwstr>
  </property>
  <property fmtid="{D5CDD505-2E9C-101B-9397-08002B2CF9AE}" pid="3" name="MediaServiceImageTags">
    <vt:lpwstr/>
  </property>
</Properties>
</file>