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6B90" w14:textId="29D4C1B6" w:rsidR="00515A14" w:rsidRDefault="00FA38D6" w:rsidP="00515A14">
      <w:pPr>
        <w:spacing w:after="1200"/>
      </w:pPr>
      <w:r w:rsidRPr="003A6733">
        <w:rPr>
          <w:noProof/>
        </w:rPr>
        <w:drawing>
          <wp:anchor distT="0" distB="0" distL="114300" distR="114300" simplePos="0" relativeHeight="251656704" behindDoc="1" locked="0" layoutInCell="1" allowOverlap="1" wp14:anchorId="62182B45" wp14:editId="6EBCAF04">
            <wp:simplePos x="0" y="0"/>
            <wp:positionH relativeFrom="column">
              <wp:posOffset>-1377950</wp:posOffset>
            </wp:positionH>
            <wp:positionV relativeFrom="paragraph">
              <wp:posOffset>-914400</wp:posOffset>
            </wp:positionV>
            <wp:extent cx="8274050" cy="1568450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74163" cy="156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A14">
        <w:rPr>
          <w:noProof/>
        </w:rPr>
        <w:drawing>
          <wp:anchor distT="0" distB="0" distL="114300" distR="114300" simplePos="0" relativeHeight="251658752" behindDoc="1" locked="0" layoutInCell="1" allowOverlap="1" wp14:anchorId="56549F75" wp14:editId="6082B12A">
            <wp:simplePos x="0" y="0"/>
            <wp:positionH relativeFrom="page">
              <wp:posOffset>625965</wp:posOffset>
            </wp:positionH>
            <wp:positionV relativeFrom="page">
              <wp:posOffset>289560</wp:posOffset>
            </wp:positionV>
            <wp:extent cx="3600450" cy="1040130"/>
            <wp:effectExtent l="0" t="0" r="0" b="0"/>
            <wp:wrapNone/>
            <wp:docPr id="11" name="Picture 13" descr="Australian Government Crest and Inspector-General of Water Compliance Logo locku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" descr="Australian Government Crest and Inspector-General of Water Compliance Logo lockup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79068" w14:textId="06E4ACD0" w:rsidR="00107C2C" w:rsidRPr="00C730FF" w:rsidRDefault="0027757B">
      <w:pPr>
        <w:pStyle w:val="Heading1"/>
        <w:rPr>
          <w:rFonts w:ascii="Verdana" w:hAnsi="Verdana"/>
        </w:rPr>
      </w:pPr>
      <w:r>
        <w:rPr>
          <w:rFonts w:ascii="Verdana" w:hAnsi="Verdana"/>
        </w:rPr>
        <w:t>Investigation</w:t>
      </w:r>
      <w:r w:rsidRPr="00C730FF">
        <w:rPr>
          <w:rFonts w:ascii="Verdana" w:hAnsi="Verdana"/>
        </w:rPr>
        <w:t xml:space="preserve"> </w:t>
      </w:r>
      <w:r w:rsidR="00417721" w:rsidRPr="00C730FF">
        <w:rPr>
          <w:rFonts w:ascii="Verdana" w:hAnsi="Verdana"/>
        </w:rPr>
        <w:t>snapshot</w:t>
      </w:r>
    </w:p>
    <w:p w14:paraId="132ED6DB" w14:textId="6DA7A71F" w:rsidR="00476BE7" w:rsidRPr="00C730FF" w:rsidRDefault="009919A5" w:rsidP="00476BE7">
      <w:pPr>
        <w:pStyle w:val="Date"/>
        <w:rPr>
          <w:rFonts w:ascii="Verdana" w:hAnsi="Verdana"/>
        </w:rPr>
      </w:pPr>
      <w:r>
        <w:rPr>
          <w:rFonts w:ascii="Verdana" w:hAnsi="Verdana"/>
        </w:rPr>
        <w:t xml:space="preserve">October </w:t>
      </w:r>
      <w:r w:rsidR="0027757B">
        <w:rPr>
          <w:rFonts w:ascii="Verdana" w:hAnsi="Verdana"/>
        </w:rPr>
        <w:t>2023</w:t>
      </w:r>
    </w:p>
    <w:p w14:paraId="4E55CBAD" w14:textId="66D15F0C" w:rsidR="00CC4653" w:rsidRPr="008D1238" w:rsidRDefault="00861252" w:rsidP="00CC4653">
      <w:pPr>
        <w:rPr>
          <w:rFonts w:ascii="Verdana" w:hAnsi="Verdana"/>
          <w:b/>
          <w:bCs/>
        </w:rPr>
      </w:pPr>
      <w:r>
        <w:rPr>
          <w:rStyle w:val="Strong"/>
          <w:rFonts w:ascii="Verdana" w:hAnsi="Verdana"/>
        </w:rPr>
        <w:t>Investigation</w:t>
      </w:r>
      <w:r w:rsidR="00A21243" w:rsidRPr="00C730FF">
        <w:rPr>
          <w:rStyle w:val="Strong"/>
          <w:rFonts w:ascii="Verdana" w:hAnsi="Verdana"/>
        </w:rPr>
        <w:t xml:space="preserve"> </w:t>
      </w:r>
      <w:r w:rsidR="004F00F5" w:rsidRPr="00C730FF">
        <w:rPr>
          <w:rStyle w:val="Strong"/>
          <w:rFonts w:ascii="Verdana" w:hAnsi="Verdana"/>
        </w:rPr>
        <w:t xml:space="preserve">– </w:t>
      </w:r>
      <w:r w:rsidR="00740FC4" w:rsidRPr="00740FC4">
        <w:rPr>
          <w:rStyle w:val="Strong"/>
          <w:rFonts w:ascii="Verdana" w:hAnsi="Verdana"/>
        </w:rPr>
        <w:t>Trade price reporting</w:t>
      </w:r>
    </w:p>
    <w:p w14:paraId="2E56E4F0" w14:textId="296200C7" w:rsidR="00C46A06" w:rsidRPr="00D15DD5" w:rsidRDefault="008D1238" w:rsidP="00010D7D">
      <w:pPr>
        <w:rPr>
          <w:rFonts w:ascii="Verdana" w:hAnsi="Verdana"/>
          <w:sz w:val="18"/>
          <w:szCs w:val="22"/>
        </w:rPr>
        <w:sectPr w:rsidR="00C46A06" w:rsidRPr="00D15DD5" w:rsidSect="00515A1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40" w:right="1080" w:bottom="1440" w:left="1080" w:header="720" w:footer="720" w:gutter="0"/>
          <w:cols w:space="720"/>
          <w:noEndnote/>
          <w:titlePg/>
          <w:docGrid w:linePitch="326"/>
        </w:sectPr>
      </w:pPr>
      <w:r w:rsidRPr="00D15DD5">
        <w:rPr>
          <w:rFonts w:ascii="Verdana" w:hAnsi="Verdana"/>
          <w:sz w:val="18"/>
          <w:szCs w:val="22"/>
        </w:rPr>
        <w:t>The purpose of the investigation was to check if people disposing of a water access right (i.e., water allocations) in the NSW Macquarie for the 2021/22 water year followed reporting requirements as per section 12.48 of the Basin Plan.</w:t>
      </w:r>
    </w:p>
    <w:p w14:paraId="546E8239" w14:textId="77777777" w:rsidR="008D1238" w:rsidRPr="00D56CD7" w:rsidRDefault="008D1238" w:rsidP="00D22E6C">
      <w:pPr>
        <w:pStyle w:val="Heading2"/>
        <w:spacing w:before="0" w:after="60"/>
        <w:rPr>
          <w:rFonts w:ascii="Verdana" w:hAnsi="Verdana"/>
          <w:sz w:val="18"/>
          <w:szCs w:val="18"/>
        </w:rPr>
      </w:pPr>
    </w:p>
    <w:p w14:paraId="7D106563" w14:textId="167EF63E" w:rsidR="00107C2C" w:rsidRPr="00C730FF" w:rsidRDefault="00417721" w:rsidP="00D22E6C">
      <w:pPr>
        <w:pStyle w:val="Heading2"/>
        <w:spacing w:before="0" w:after="60"/>
        <w:rPr>
          <w:rFonts w:ascii="Verdana" w:hAnsi="Verdana"/>
          <w:sz w:val="24"/>
          <w:szCs w:val="24"/>
        </w:rPr>
      </w:pPr>
      <w:r w:rsidRPr="00C730FF">
        <w:rPr>
          <w:rFonts w:ascii="Verdana" w:hAnsi="Verdana"/>
          <w:sz w:val="24"/>
          <w:szCs w:val="24"/>
        </w:rPr>
        <w:t xml:space="preserve">Why we did this </w:t>
      </w:r>
      <w:r w:rsidR="00D0185B">
        <w:rPr>
          <w:rFonts w:ascii="Verdana" w:hAnsi="Verdana"/>
          <w:sz w:val="24"/>
          <w:szCs w:val="24"/>
        </w:rPr>
        <w:t>investigation</w:t>
      </w:r>
      <w:r w:rsidR="00721592">
        <w:rPr>
          <w:rFonts w:ascii="Verdana" w:hAnsi="Verdana"/>
          <w:sz w:val="24"/>
          <w:szCs w:val="24"/>
        </w:rPr>
        <w:t>?</w:t>
      </w:r>
    </w:p>
    <w:p w14:paraId="7F18C8C3" w14:textId="62773F68" w:rsidR="00D22E6C" w:rsidRPr="009425CC" w:rsidRDefault="00113AE6" w:rsidP="00852E38">
      <w:pPr>
        <w:pStyle w:val="ListBullet"/>
        <w:rPr>
          <w:rFonts w:ascii="Verdana" w:hAnsi="Verdana"/>
          <w:sz w:val="18"/>
        </w:rPr>
      </w:pPr>
      <w:r w:rsidRPr="009425CC">
        <w:rPr>
          <w:rFonts w:ascii="Verdana" w:hAnsi="Verdana"/>
          <w:sz w:val="18"/>
          <w:szCs w:val="16"/>
          <w:lang w:eastAsia="ja-JP"/>
        </w:rPr>
        <w:t>Pricing information is crucial for people involved in water markets to make well-informed decisions.</w:t>
      </w:r>
    </w:p>
    <w:p w14:paraId="7EB0FCE4" w14:textId="1AC6FBE0" w:rsidR="00113AE6" w:rsidRPr="009425CC" w:rsidRDefault="006173E3" w:rsidP="00852E38">
      <w:pPr>
        <w:pStyle w:val="ListBullet"/>
        <w:rPr>
          <w:rFonts w:ascii="Verdana" w:hAnsi="Verdana"/>
          <w:sz w:val="18"/>
        </w:rPr>
      </w:pPr>
      <w:r w:rsidRPr="009425CC">
        <w:rPr>
          <w:rFonts w:ascii="Verdana" w:hAnsi="Verdana"/>
          <w:sz w:val="18"/>
        </w:rPr>
        <w:t xml:space="preserve">A report by the </w:t>
      </w:r>
      <w:r w:rsidR="00A07B6D" w:rsidRPr="009425CC">
        <w:rPr>
          <w:rFonts w:ascii="Verdana" w:hAnsi="Verdana"/>
          <w:sz w:val="18"/>
        </w:rPr>
        <w:t>B</w:t>
      </w:r>
      <w:r w:rsidR="005D23FD" w:rsidRPr="009425CC">
        <w:rPr>
          <w:rFonts w:ascii="Verdana" w:hAnsi="Verdana"/>
          <w:sz w:val="18"/>
        </w:rPr>
        <w:t>ureau</w:t>
      </w:r>
      <w:r w:rsidRPr="009425CC">
        <w:rPr>
          <w:rFonts w:ascii="Verdana" w:hAnsi="Verdana"/>
          <w:sz w:val="18"/>
        </w:rPr>
        <w:t xml:space="preserve"> </w:t>
      </w:r>
      <w:r w:rsidR="00A07B6D" w:rsidRPr="009425CC">
        <w:rPr>
          <w:rFonts w:ascii="Verdana" w:hAnsi="Verdana"/>
          <w:sz w:val="18"/>
        </w:rPr>
        <w:t xml:space="preserve">of Meteorology </w:t>
      </w:r>
      <w:r w:rsidR="00B7570A" w:rsidRPr="009425CC">
        <w:rPr>
          <w:rFonts w:ascii="Verdana" w:hAnsi="Verdana"/>
          <w:sz w:val="18"/>
        </w:rPr>
        <w:t>in 2019/20 found that 70% of individual surface water trades in the Northern Basin</w:t>
      </w:r>
      <w:r w:rsidR="00792497" w:rsidRPr="009425CC">
        <w:rPr>
          <w:rFonts w:ascii="Verdana" w:hAnsi="Verdana"/>
          <w:sz w:val="18"/>
        </w:rPr>
        <w:t xml:space="preserve"> did not report their price.</w:t>
      </w:r>
    </w:p>
    <w:p w14:paraId="0DBAAB8F" w14:textId="0D436C8C" w:rsidR="00792497" w:rsidRPr="009425CC" w:rsidRDefault="00A03703" w:rsidP="00852E38">
      <w:pPr>
        <w:pStyle w:val="ListBullet"/>
        <w:rPr>
          <w:rFonts w:ascii="Verdana" w:hAnsi="Verdana"/>
          <w:sz w:val="18"/>
        </w:rPr>
      </w:pPr>
      <w:r w:rsidRPr="009425CC">
        <w:rPr>
          <w:rFonts w:ascii="Verdana" w:hAnsi="Verdana"/>
          <w:sz w:val="18"/>
        </w:rPr>
        <w:t>The lack of price reporting in the Northern Basin</w:t>
      </w:r>
      <w:r w:rsidR="00CA63B3" w:rsidRPr="009425CC">
        <w:rPr>
          <w:rFonts w:ascii="Verdana" w:hAnsi="Verdana"/>
          <w:sz w:val="18"/>
        </w:rPr>
        <w:t xml:space="preserve"> was highlighted by analysis as a risk to market transparency which warranted further proactive investigation.</w:t>
      </w:r>
    </w:p>
    <w:p w14:paraId="6FA2D16C" w14:textId="7F9A6D3A" w:rsidR="00107C2C" w:rsidRPr="00C730FF" w:rsidRDefault="00417721" w:rsidP="00D22E6C">
      <w:pPr>
        <w:pStyle w:val="Heading2"/>
        <w:spacing w:before="0" w:after="60"/>
        <w:rPr>
          <w:rFonts w:ascii="Verdana" w:hAnsi="Verdana"/>
          <w:sz w:val="24"/>
          <w:szCs w:val="24"/>
        </w:rPr>
      </w:pPr>
      <w:r w:rsidRPr="00C730FF">
        <w:rPr>
          <w:rFonts w:ascii="Verdana" w:hAnsi="Verdana"/>
          <w:sz w:val="24"/>
          <w:szCs w:val="24"/>
        </w:rPr>
        <w:t>Key facts</w:t>
      </w:r>
    </w:p>
    <w:p w14:paraId="12567A21" w14:textId="77777777" w:rsidR="00767BA0" w:rsidRPr="009425CC" w:rsidRDefault="00767BA0" w:rsidP="00767BA0">
      <w:pPr>
        <w:pStyle w:val="ListBullet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t>All trades investigated were found to be compliant with the current legislative provisions.</w:t>
      </w:r>
    </w:p>
    <w:p w14:paraId="33C543D0" w14:textId="5EFBE633" w:rsidR="00AA70F8" w:rsidRPr="009425CC" w:rsidRDefault="00AA70F8" w:rsidP="00AA70F8">
      <w:pPr>
        <w:pStyle w:val="ListBullet"/>
        <w:rPr>
          <w:rFonts w:ascii="Verdana" w:hAnsi="Verdana"/>
          <w:sz w:val="18"/>
          <w:lang w:val="en-US"/>
        </w:rPr>
      </w:pPr>
      <w:r w:rsidRPr="009425CC">
        <w:rPr>
          <w:rFonts w:ascii="Verdana" w:hAnsi="Verdana"/>
          <w:sz w:val="18"/>
          <w:lang w:val="en-US"/>
        </w:rPr>
        <w:t>38% of the trades involved water access licences (WAL) under common ownership</w:t>
      </w:r>
      <w:r w:rsidR="00886379">
        <w:rPr>
          <w:rFonts w:ascii="Verdana" w:hAnsi="Verdana"/>
          <w:sz w:val="18"/>
          <w:lang w:val="en-US"/>
        </w:rPr>
        <w:t>.</w:t>
      </w:r>
      <w:r w:rsidRPr="009425CC">
        <w:rPr>
          <w:rFonts w:ascii="Verdana" w:hAnsi="Verdana"/>
          <w:sz w:val="18"/>
          <w:lang w:val="en-US"/>
        </w:rPr>
        <w:t xml:space="preserve"> </w:t>
      </w:r>
    </w:p>
    <w:p w14:paraId="31C75F2D" w14:textId="77777777" w:rsidR="00AA70F8" w:rsidRPr="009425CC" w:rsidRDefault="00AA70F8" w:rsidP="00AA70F8">
      <w:pPr>
        <w:pStyle w:val="ListBullet"/>
        <w:rPr>
          <w:rFonts w:ascii="Verdana" w:hAnsi="Verdana"/>
          <w:sz w:val="18"/>
          <w:lang w:val="en-US"/>
        </w:rPr>
      </w:pPr>
      <w:r w:rsidRPr="009425CC">
        <w:rPr>
          <w:rFonts w:ascii="Verdana" w:hAnsi="Verdana"/>
          <w:sz w:val="18"/>
          <w:lang w:val="en-US"/>
        </w:rPr>
        <w:t>58% of the trades were non-commercial, between related parties, or within irrigation schemes.</w:t>
      </w:r>
    </w:p>
    <w:p w14:paraId="489B084E" w14:textId="77777777" w:rsidR="00AA70F8" w:rsidRDefault="00AA70F8" w:rsidP="00AA70F8">
      <w:pPr>
        <w:pStyle w:val="ListBullet"/>
        <w:rPr>
          <w:rFonts w:ascii="Verdana" w:hAnsi="Verdana"/>
          <w:sz w:val="18"/>
          <w:lang w:val="en-US"/>
        </w:rPr>
      </w:pPr>
      <w:r w:rsidRPr="009425CC">
        <w:rPr>
          <w:rFonts w:ascii="Verdana" w:hAnsi="Verdana"/>
          <w:sz w:val="18"/>
          <w:lang w:val="en-US"/>
        </w:rPr>
        <w:t>4% of the trades involved environmental water use.</w:t>
      </w:r>
    </w:p>
    <w:p w14:paraId="4C6C346E" w14:textId="5C1D8FE4" w:rsidR="00681032" w:rsidRPr="00C730FF" w:rsidRDefault="00681032" w:rsidP="00681032">
      <w:pPr>
        <w:rPr>
          <w:rFonts w:ascii="Verdana" w:hAnsi="Verdana"/>
          <w:lang w:val="en-US"/>
        </w:rPr>
      </w:pPr>
    </w:p>
    <w:p w14:paraId="0A711A02" w14:textId="77777777" w:rsidR="00A42316" w:rsidRDefault="00A42316" w:rsidP="00D22E6C">
      <w:pPr>
        <w:pStyle w:val="Heading2"/>
        <w:spacing w:before="0" w:after="60"/>
        <w:rPr>
          <w:rFonts w:ascii="Verdana" w:hAnsi="Verdana"/>
          <w:sz w:val="24"/>
          <w:szCs w:val="24"/>
        </w:rPr>
      </w:pPr>
    </w:p>
    <w:p w14:paraId="6BA59B92" w14:textId="1FB95662" w:rsidR="00107C2C" w:rsidRPr="00C730FF" w:rsidRDefault="00FE582F" w:rsidP="00D22E6C">
      <w:pPr>
        <w:pStyle w:val="Heading2"/>
        <w:spacing w:before="0" w:after="60"/>
        <w:rPr>
          <w:rFonts w:ascii="Verdana" w:hAnsi="Verdana"/>
          <w:sz w:val="24"/>
          <w:szCs w:val="24"/>
        </w:rPr>
      </w:pPr>
      <w:r w:rsidRPr="00C730FF">
        <w:rPr>
          <w:rFonts w:ascii="Verdana" w:hAnsi="Verdana"/>
          <w:sz w:val="24"/>
          <w:szCs w:val="24"/>
        </w:rPr>
        <w:t>W</w:t>
      </w:r>
      <w:r w:rsidR="00417721" w:rsidRPr="00C730FF">
        <w:rPr>
          <w:rFonts w:ascii="Verdana" w:hAnsi="Verdana"/>
          <w:sz w:val="24"/>
          <w:szCs w:val="24"/>
        </w:rPr>
        <w:t>hat we found</w:t>
      </w:r>
      <w:r w:rsidR="00721592">
        <w:rPr>
          <w:rFonts w:ascii="Verdana" w:hAnsi="Verdana"/>
          <w:sz w:val="24"/>
          <w:szCs w:val="24"/>
        </w:rPr>
        <w:t>?</w:t>
      </w:r>
    </w:p>
    <w:p w14:paraId="49D5E29D" w14:textId="051795D8" w:rsidR="00370572" w:rsidRPr="009425CC" w:rsidRDefault="00CD0493" w:rsidP="00CD0493">
      <w:pPr>
        <w:pStyle w:val="ListBullet"/>
        <w:rPr>
          <w:rFonts w:ascii="Verdana" w:hAnsi="Verdana"/>
          <w:sz w:val="18"/>
        </w:rPr>
      </w:pPr>
      <w:r w:rsidRPr="009425CC">
        <w:rPr>
          <w:rFonts w:ascii="Verdana" w:hAnsi="Verdana"/>
          <w:sz w:val="18"/>
        </w:rPr>
        <w:t>The scope of section 12.48 of the Basin Plan is too narrow</w:t>
      </w:r>
      <w:r w:rsidR="00AD29FD" w:rsidRPr="009425CC">
        <w:rPr>
          <w:rFonts w:ascii="Verdana" w:hAnsi="Verdana"/>
          <w:sz w:val="18"/>
        </w:rPr>
        <w:t xml:space="preserve"> only requiring the accurate reporting of price. This leaves </w:t>
      </w:r>
      <w:r w:rsidR="00BD496E" w:rsidRPr="009425CC">
        <w:rPr>
          <w:rFonts w:ascii="Verdana" w:hAnsi="Verdana"/>
          <w:sz w:val="18"/>
        </w:rPr>
        <w:t>the remainder of trade data vulnerable to integrity issues.</w:t>
      </w:r>
    </w:p>
    <w:p w14:paraId="2BD7651D" w14:textId="22E60C82" w:rsidR="001E21A9" w:rsidRPr="009425CC" w:rsidRDefault="00A07FAE" w:rsidP="00CD0493">
      <w:pPr>
        <w:pStyle w:val="ListBullet"/>
        <w:rPr>
          <w:rFonts w:ascii="Verdana" w:hAnsi="Verdana"/>
          <w:sz w:val="18"/>
        </w:rPr>
      </w:pPr>
      <w:r w:rsidRPr="009425CC">
        <w:rPr>
          <w:rFonts w:ascii="Verdana" w:hAnsi="Verdana"/>
          <w:sz w:val="18"/>
        </w:rPr>
        <w:t>There is a lack of access to</w:t>
      </w:r>
      <w:r w:rsidR="0087578A" w:rsidRPr="009425CC">
        <w:rPr>
          <w:rFonts w:ascii="Verdana" w:hAnsi="Verdana"/>
          <w:sz w:val="18"/>
        </w:rPr>
        <w:t xml:space="preserve"> </w:t>
      </w:r>
      <w:r w:rsidRPr="009425CC">
        <w:rPr>
          <w:rFonts w:ascii="Verdana" w:hAnsi="Verdana"/>
          <w:sz w:val="18"/>
        </w:rPr>
        <w:t>data</w:t>
      </w:r>
      <w:r w:rsidR="0087578A" w:rsidRPr="009425CC">
        <w:rPr>
          <w:rFonts w:ascii="Verdana" w:hAnsi="Verdana"/>
          <w:sz w:val="18"/>
        </w:rPr>
        <w:t xml:space="preserve"> for IGWC investigators.</w:t>
      </w:r>
      <w:r w:rsidR="009A4663" w:rsidRPr="009425CC">
        <w:rPr>
          <w:rFonts w:ascii="Verdana" w:hAnsi="Verdana"/>
          <w:sz w:val="18"/>
        </w:rPr>
        <w:t xml:space="preserve"> Data that is available lacks the minimum </w:t>
      </w:r>
      <w:r w:rsidR="00532C15" w:rsidRPr="009425CC">
        <w:rPr>
          <w:rFonts w:ascii="Verdana" w:hAnsi="Verdana"/>
          <w:sz w:val="18"/>
        </w:rPr>
        <w:t>quality standards for successful investigation.</w:t>
      </w:r>
    </w:p>
    <w:p w14:paraId="16BFF733" w14:textId="21643F74" w:rsidR="00681032" w:rsidRPr="003F2B59" w:rsidRDefault="002D432A" w:rsidP="003F2B59">
      <w:pPr>
        <w:pStyle w:val="ListBullet"/>
        <w:rPr>
          <w:rFonts w:ascii="Verdana" w:hAnsi="Verdana"/>
          <w:sz w:val="18"/>
        </w:rPr>
      </w:pPr>
      <w:r w:rsidRPr="009425CC">
        <w:rPr>
          <w:rFonts w:ascii="Verdana" w:hAnsi="Verdana"/>
          <w:sz w:val="18"/>
        </w:rPr>
        <w:t>A reasonable excuse provision</w:t>
      </w:r>
      <w:r w:rsidR="00426B45" w:rsidRPr="009425CC">
        <w:rPr>
          <w:rFonts w:ascii="Verdana" w:hAnsi="Verdana"/>
          <w:sz w:val="18"/>
        </w:rPr>
        <w:t xml:space="preserve">, unverified </w:t>
      </w:r>
      <w:r w:rsidR="00195C74" w:rsidRPr="009425CC">
        <w:rPr>
          <w:rFonts w:ascii="Verdana" w:hAnsi="Verdana"/>
          <w:sz w:val="18"/>
        </w:rPr>
        <w:t>non-commercial trades and uncapped gift amounts</w:t>
      </w:r>
      <w:r w:rsidR="003F2B59">
        <w:rPr>
          <w:rFonts w:ascii="Verdana" w:hAnsi="Verdana"/>
          <w:sz w:val="18"/>
        </w:rPr>
        <w:t>;</w:t>
      </w:r>
      <w:r w:rsidR="00195C74" w:rsidRPr="009425CC">
        <w:rPr>
          <w:rFonts w:ascii="Verdana" w:hAnsi="Verdana"/>
          <w:sz w:val="18"/>
        </w:rPr>
        <w:t xml:space="preserve"> </w:t>
      </w:r>
      <w:r w:rsidR="003F2B59">
        <w:rPr>
          <w:rFonts w:ascii="Verdana" w:hAnsi="Verdana"/>
          <w:sz w:val="18"/>
        </w:rPr>
        <w:t>a</w:t>
      </w:r>
      <w:r w:rsidR="009857B0" w:rsidRPr="003F2B59">
        <w:rPr>
          <w:rFonts w:ascii="Verdana" w:hAnsi="Verdana"/>
          <w:sz w:val="18"/>
        </w:rPr>
        <w:t>ll of which amount to a low regulatory bar.</w:t>
      </w:r>
    </w:p>
    <w:p w14:paraId="59B8408B" w14:textId="68BC182C" w:rsidR="00107C2C" w:rsidRPr="00C730FF" w:rsidRDefault="005A57EB" w:rsidP="00D22E6C">
      <w:pPr>
        <w:pStyle w:val="Heading2"/>
        <w:spacing w:before="0" w:after="60"/>
        <w:rPr>
          <w:rFonts w:ascii="Verdana" w:hAnsi="Verdana"/>
          <w:sz w:val="24"/>
          <w:szCs w:val="24"/>
        </w:rPr>
      </w:pPr>
      <w:r w:rsidRPr="00C730FF">
        <w:rPr>
          <w:rFonts w:ascii="Verdana" w:hAnsi="Verdana"/>
          <w:sz w:val="24"/>
          <w:szCs w:val="24"/>
        </w:rPr>
        <w:t>Areas for improvement</w:t>
      </w:r>
    </w:p>
    <w:p w14:paraId="73867956" w14:textId="68477739" w:rsidR="00C54267" w:rsidRDefault="00FD7FEC" w:rsidP="00B907AD">
      <w:pPr>
        <w:pStyle w:val="ListBullet"/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Legislators should consider b</w:t>
      </w:r>
      <w:r w:rsidR="009472E9">
        <w:rPr>
          <w:rFonts w:ascii="Verdana" w:hAnsi="Verdana"/>
          <w:sz w:val="18"/>
        </w:rPr>
        <w:t>roaden</w:t>
      </w:r>
      <w:r>
        <w:rPr>
          <w:rFonts w:ascii="Verdana" w:hAnsi="Verdana"/>
          <w:sz w:val="18"/>
        </w:rPr>
        <w:t>ing</w:t>
      </w:r>
      <w:r w:rsidR="009472E9">
        <w:rPr>
          <w:rFonts w:ascii="Verdana" w:hAnsi="Verdana"/>
          <w:sz w:val="18"/>
        </w:rPr>
        <w:t xml:space="preserve"> section 12.48 to encompass </w:t>
      </w:r>
      <w:r>
        <w:rPr>
          <w:rFonts w:ascii="Verdana" w:hAnsi="Verdana"/>
          <w:sz w:val="18"/>
        </w:rPr>
        <w:t>all trade details and responsible parties.</w:t>
      </w:r>
    </w:p>
    <w:p w14:paraId="06C9C38C" w14:textId="5E82552A" w:rsidR="00810428" w:rsidRDefault="00810428" w:rsidP="00B907AD">
      <w:pPr>
        <w:pStyle w:val="ListBullet"/>
        <w:spacing w:after="0"/>
        <w:rPr>
          <w:rFonts w:ascii="Verdana" w:hAnsi="Verdana"/>
          <w:sz w:val="18"/>
        </w:rPr>
      </w:pPr>
      <w:r w:rsidRPr="00810428">
        <w:rPr>
          <w:rFonts w:ascii="Verdana" w:hAnsi="Verdana"/>
          <w:sz w:val="18"/>
        </w:rPr>
        <w:t>Trade data should be consolidated in a central database. Consideration should be given to amending legislation to ensure continued integrity of data throughout its lifecycle, from submission to arrival at the database.</w:t>
      </w:r>
    </w:p>
    <w:p w14:paraId="22F37414" w14:textId="4B373E7C" w:rsidR="00DA5D6A" w:rsidRPr="00C730FF" w:rsidRDefault="00DA5D6A" w:rsidP="00B907AD">
      <w:pPr>
        <w:pStyle w:val="ListBullet"/>
        <w:spacing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Defences and requirements </w:t>
      </w:r>
      <w:r w:rsidR="006A1193">
        <w:rPr>
          <w:rFonts w:ascii="Verdana" w:hAnsi="Verdana"/>
          <w:sz w:val="18"/>
        </w:rPr>
        <w:t>should be tightened to raise the regulatory bar.</w:t>
      </w:r>
    </w:p>
    <w:tbl>
      <w:tblPr>
        <w:tblpPr w:leftFromText="180" w:rightFromText="180" w:vertAnchor="text" w:horzAnchor="page" w:tblpX="1" w:tblpY="3809"/>
        <w:tblW w:w="13038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8"/>
      </w:tblGrid>
      <w:tr w:rsidR="00FE582F" w:rsidRPr="00C730FF" w14:paraId="3976A304" w14:textId="77777777" w:rsidTr="00B10F65">
        <w:trPr>
          <w:cantSplit/>
          <w:trHeight w:hRule="exact" w:val="1843"/>
        </w:trPr>
        <w:tc>
          <w:tcPr>
            <w:tcW w:w="1303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auto" w:fill="E2EFD9" w:themeFill="accent6" w:themeFillTint="33"/>
          </w:tcPr>
          <w:p w14:paraId="2E44B62F" w14:textId="19E508EF" w:rsidR="00FE582F" w:rsidRPr="00C730FF" w:rsidRDefault="00C11207" w:rsidP="00FE582F">
            <w:pPr>
              <w:shd w:val="clear" w:color="auto" w:fill="E2EFD9" w:themeFill="accent6" w:themeFillTint="33"/>
              <w:spacing w:before="381" w:after="1535" w:line="205" w:lineRule="exact"/>
              <w:ind w:right="5959"/>
              <w:jc w:val="right"/>
              <w:textAlignment w:val="baseline"/>
              <w:rPr>
                <w:rFonts w:ascii="Verdana" w:eastAsia="Arial" w:hAnsi="Verdana"/>
                <w:color w:val="365320"/>
                <w:sz w:val="18"/>
              </w:rPr>
            </w:pPr>
            <w:r w:rsidRPr="00C730FF">
              <w:rPr>
                <w:rFonts w:ascii="Verdana" w:eastAsia="Arial" w:hAnsi="Verdana"/>
                <w:noProof/>
                <w:color w:val="365320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B18F4D8" wp14:editId="6DB1E98C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17780</wp:posOffset>
                      </wp:positionV>
                      <wp:extent cx="1981200" cy="1036955"/>
                      <wp:effectExtent l="0" t="0" r="0" b="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036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95FE6" w14:textId="45B7F322" w:rsidR="00FE582F" w:rsidRDefault="00CE5C6C" w:rsidP="004B7D92">
                                  <w:pPr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  <w:t>10</w:t>
                                  </w:r>
                                  <w:r w:rsidR="004B7D92"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  <w:t>0</w:t>
                                  </w:r>
                                  <w:r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  <w:t>%</w:t>
                                  </w:r>
                                </w:p>
                                <w:p w14:paraId="5BCB248E" w14:textId="2CAE80E8" w:rsidR="004B7D92" w:rsidRPr="00CB59E8" w:rsidRDefault="009E791F" w:rsidP="004B7D92">
                                  <w:r>
                                    <w:t>C</w:t>
                                  </w:r>
                                  <w:r w:rsidR="004B7D92">
                                    <w:t>omplian</w:t>
                                  </w:r>
                                  <w:r>
                                    <w:t>ce rate of trades</w:t>
                                  </w:r>
                                  <w:r w:rsidR="00C11207">
                                    <w:t xml:space="preserve"> investigated.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8F4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99.2pt;margin-top:1.4pt;width:156pt;height:81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" fillcolor="#e2efd9 [665]" stroked="f">
                      <v:textbox>
                        <w:txbxContent>
                          <w:p w14:paraId="20E95FE6" w14:textId="45B7F322" w:rsidR="00FE582F" w:rsidRDefault="00CE5C6C" w:rsidP="004B7D92">
                            <w:pPr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sz w:val="48"/>
                                <w:szCs w:val="48"/>
                              </w:rPr>
                              <w:t>10</w:t>
                            </w:r>
                            <w:r w:rsidR="004B7D92">
                              <w:rPr>
                                <w:rFonts w:cs="Arial"/>
                                <w:sz w:val="48"/>
                                <w:szCs w:val="48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sz w:val="48"/>
                                <w:szCs w:val="48"/>
                              </w:rPr>
                              <w:t>%</w:t>
                            </w:r>
                          </w:p>
                          <w:p w14:paraId="5BCB248E" w14:textId="2CAE80E8" w:rsidR="004B7D92" w:rsidRPr="00CB59E8" w:rsidRDefault="009E791F" w:rsidP="004B7D92">
                            <w:r>
                              <w:t>C</w:t>
                            </w:r>
                            <w:r w:rsidR="004B7D92">
                              <w:t>omplian</w:t>
                            </w:r>
                            <w:r>
                              <w:t>ce rate of trades</w:t>
                            </w:r>
                            <w:r w:rsidR="00C11207">
                              <w:t xml:space="preserve"> investigated.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76C0" w:rsidRPr="00C730FF">
              <w:rPr>
                <w:rFonts w:ascii="Verdana" w:eastAsia="Arial" w:hAnsi="Verdana"/>
                <w:noProof/>
                <w:color w:val="365320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38C11AEF" wp14:editId="4A45A00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127000</wp:posOffset>
                      </wp:positionV>
                      <wp:extent cx="1990725" cy="995680"/>
                      <wp:effectExtent l="0" t="0" r="9525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995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CCB7" w14:textId="660B60E7" w:rsidR="00ED0581" w:rsidRPr="004B7D92" w:rsidRDefault="00135280" w:rsidP="004B7D92">
                                  <w:pPr>
                                    <w:spacing w:before="0" w:after="0"/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  <w:r w:rsidR="00ED0581"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  <w:t>0</w:t>
                                  </w:r>
                                  <w:r w:rsidR="00DD1983"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  <w:t>%</w:t>
                                  </w:r>
                                  <w:r w:rsidR="004B7D92"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  <w:br/>
                                  </w:r>
                                  <w:r w:rsidR="00ED0581">
                                    <w:t xml:space="preserve">of </w:t>
                                  </w:r>
                                  <w:r w:rsidR="00EF6325">
                                    <w:t xml:space="preserve">allocation </w:t>
                                  </w:r>
                                  <w:r w:rsidR="00ED0581">
                                    <w:t xml:space="preserve">trades in the </w:t>
                                  </w:r>
                                  <w:r w:rsidR="00EF6325" w:rsidRPr="00EF6325">
                                    <w:t xml:space="preserve">NSW Macquarie </w:t>
                                  </w:r>
                                  <w:r w:rsidR="004B7D92">
                                    <w:t>reported at $0</w:t>
                                  </w:r>
                                  <w:r w:rsidR="00602ED2">
                                    <w:t xml:space="preserve"> in 20</w:t>
                                  </w:r>
                                  <w:r w:rsidR="00A2266B">
                                    <w:t>21/22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11AEF" id="Text Box 2" o:spid="_x0000_s1027" type="#_x0000_t202" style="position:absolute;left:0;text-align:left;margin-left:53.7pt;margin-top:10pt;width:156.75pt;height:7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" fillcolor="#e2efd9 [665]" stroked="f">
                      <v:textbox>
                        <w:txbxContent>
                          <w:p w14:paraId="6AF9CCB7" w14:textId="660B60E7" w:rsidR="00ED0581" w:rsidRPr="004B7D92" w:rsidRDefault="00135280" w:rsidP="004B7D92">
                            <w:pPr>
                              <w:spacing w:before="0" w:after="0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sz w:val="48"/>
                                <w:szCs w:val="48"/>
                              </w:rPr>
                              <w:t>4</w:t>
                            </w:r>
                            <w:r w:rsidR="00ED0581">
                              <w:rPr>
                                <w:rFonts w:cs="Arial"/>
                                <w:sz w:val="48"/>
                                <w:szCs w:val="48"/>
                              </w:rPr>
                              <w:t>0</w:t>
                            </w:r>
                            <w:r w:rsidR="00DD1983">
                              <w:rPr>
                                <w:rFonts w:cs="Arial"/>
                                <w:sz w:val="48"/>
                                <w:szCs w:val="48"/>
                              </w:rPr>
                              <w:t>%</w:t>
                            </w:r>
                            <w:r w:rsidR="004B7D92">
                              <w:rPr>
                                <w:rFonts w:cs="Arial"/>
                                <w:sz w:val="48"/>
                                <w:szCs w:val="48"/>
                              </w:rPr>
                              <w:br/>
                            </w:r>
                            <w:r w:rsidR="00ED0581">
                              <w:t xml:space="preserve">of </w:t>
                            </w:r>
                            <w:r w:rsidR="00EF6325">
                              <w:t xml:space="preserve">allocation </w:t>
                            </w:r>
                            <w:r w:rsidR="00ED0581">
                              <w:t xml:space="preserve">trades in the </w:t>
                            </w:r>
                            <w:r w:rsidR="00EF6325" w:rsidRPr="00EF6325">
                              <w:t xml:space="preserve">NSW Macquarie </w:t>
                            </w:r>
                            <w:r w:rsidR="004B7D92">
                              <w:t>reported at $0</w:t>
                            </w:r>
                            <w:r w:rsidR="00602ED2">
                              <w:t xml:space="preserve"> in 20</w:t>
                            </w:r>
                            <w:r w:rsidR="00A2266B">
                              <w:t>21/22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0FF6" w:rsidRPr="00C730FF">
              <w:rPr>
                <w:rFonts w:ascii="Verdana" w:eastAsia="Arial" w:hAnsi="Verdana"/>
                <w:noProof/>
                <w:color w:val="365320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1758ACEB" wp14:editId="7E72F715">
                      <wp:simplePos x="0" y="0"/>
                      <wp:positionH relativeFrom="column">
                        <wp:posOffset>2758253</wp:posOffset>
                      </wp:positionH>
                      <wp:positionV relativeFrom="paragraph">
                        <wp:posOffset>61150</wp:posOffset>
                      </wp:positionV>
                      <wp:extent cx="2247900" cy="101600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0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9709A" w14:textId="099956A9" w:rsidR="009E1DA4" w:rsidRPr="00ED0581" w:rsidRDefault="009E1DA4" w:rsidP="00ED0581">
                                  <w:pPr>
                                    <w:shd w:val="clear" w:color="auto" w:fill="E2EFD9" w:themeFill="accent6" w:themeFillTint="33"/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  <w:t>59</w:t>
                                  </w:r>
                                  <w:r w:rsidR="00ED0581">
                                    <w:rPr>
                                      <w:rFonts w:cs="Arial"/>
                                      <w:sz w:val="48"/>
                                      <w:szCs w:val="48"/>
                                    </w:rPr>
                                    <w:br/>
                                  </w:r>
                                  <w:r>
                                    <w:t>The number of trades investigated by IGWC investigators.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8ACEB" id="_x0000_s1028" type="#_x0000_t202" style="position:absolute;left:0;text-align:left;margin-left:217.2pt;margin-top:4.8pt;width:177pt;height:80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" fillcolor="#e2efd9 [665]" stroked="f">
                      <v:textbox>
                        <w:txbxContent>
                          <w:p w14:paraId="4729709A" w14:textId="099956A9" w:rsidR="009E1DA4" w:rsidRPr="00ED0581" w:rsidRDefault="009E1DA4" w:rsidP="00ED0581">
                            <w:pPr>
                              <w:shd w:val="clear" w:color="auto" w:fill="E2EFD9" w:themeFill="accent6" w:themeFillTint="33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sz w:val="48"/>
                                <w:szCs w:val="48"/>
                              </w:rPr>
                              <w:t>59</w:t>
                            </w:r>
                            <w:r w:rsidR="00ED0581">
                              <w:rPr>
                                <w:rFonts w:cs="Arial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t>The number of trades investigated by IGWC investigators.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0DE77F" w14:textId="77777777" w:rsidR="00FE582F" w:rsidRPr="00C730FF" w:rsidRDefault="00FE582F" w:rsidP="00FE582F">
            <w:pPr>
              <w:spacing w:before="381" w:after="1535" w:line="205" w:lineRule="exact"/>
              <w:ind w:right="5959"/>
              <w:jc w:val="right"/>
              <w:textAlignment w:val="baseline"/>
              <w:rPr>
                <w:rFonts w:ascii="Verdana" w:eastAsia="Arial" w:hAnsi="Verdana"/>
                <w:color w:val="365320"/>
                <w:sz w:val="18"/>
              </w:rPr>
            </w:pPr>
          </w:p>
        </w:tc>
      </w:tr>
    </w:tbl>
    <w:p w14:paraId="5699A5C6" w14:textId="77777777" w:rsidR="00613426" w:rsidRDefault="00613426" w:rsidP="00FD5D77">
      <w:pPr>
        <w:pStyle w:val="ListBullet"/>
        <w:numPr>
          <w:ilvl w:val="0"/>
          <w:numId w:val="0"/>
        </w:numPr>
        <w:ind w:left="357" w:hanging="357"/>
        <w:sectPr w:rsidR="00613426" w:rsidSect="00B10F65">
          <w:type w:val="continuous"/>
          <w:pgSz w:w="11906" w:h="16838"/>
          <w:pgMar w:top="1440" w:right="1077" w:bottom="567" w:left="1077" w:header="720" w:footer="720" w:gutter="0"/>
          <w:cols w:num="2" w:space="720"/>
          <w:noEndnote/>
          <w:titlePg/>
          <w:docGrid w:linePitch="326"/>
        </w:sectPr>
      </w:pPr>
    </w:p>
    <w:p w14:paraId="5A5A441F" w14:textId="033B6CB4" w:rsidR="00FD5D77" w:rsidRPr="00E8742E" w:rsidRDefault="00FD5D77" w:rsidP="008D1238">
      <w:pPr>
        <w:pStyle w:val="ListBullet"/>
        <w:numPr>
          <w:ilvl w:val="0"/>
          <w:numId w:val="0"/>
        </w:numPr>
      </w:pPr>
    </w:p>
    <w:sectPr w:rsidR="00FD5D77" w:rsidRPr="00E8742E" w:rsidSect="00515A14">
      <w:type w:val="continuous"/>
      <w:pgSz w:w="11906" w:h="16838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4B0B" w14:textId="77777777" w:rsidR="00505595" w:rsidRDefault="00505595" w:rsidP="00515A14">
      <w:pPr>
        <w:spacing w:before="0" w:after="0" w:line="240" w:lineRule="auto"/>
      </w:pPr>
      <w:r>
        <w:separator/>
      </w:r>
    </w:p>
  </w:endnote>
  <w:endnote w:type="continuationSeparator" w:id="0">
    <w:p w14:paraId="7334B89D" w14:textId="77777777" w:rsidR="00505595" w:rsidRDefault="00505595" w:rsidP="00515A14">
      <w:pPr>
        <w:spacing w:before="0" w:after="0" w:line="240" w:lineRule="auto"/>
      </w:pPr>
      <w:r>
        <w:continuationSeparator/>
      </w:r>
    </w:p>
  </w:endnote>
  <w:endnote w:type="continuationNotice" w:id="1">
    <w:p w14:paraId="0CC6ABB8" w14:textId="77777777" w:rsidR="00505595" w:rsidRDefault="005055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 Grotesk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cGrotesk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0CA3" w14:textId="77777777" w:rsidR="006D5E30" w:rsidRDefault="006D5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F698" w14:textId="77777777" w:rsidR="00515A14" w:rsidRDefault="00515A14" w:rsidP="00515A14">
    <w:pPr>
      <w:pStyle w:val="Footer"/>
    </w:pPr>
    <w:r>
      <w:t>Inspector-General of Water Compliance</w:t>
    </w:r>
  </w:p>
  <w:p w14:paraId="778650C5" w14:textId="5A6615B4" w:rsidR="00515A14" w:rsidRDefault="00515A1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BBBA" w14:textId="333E48AF" w:rsidR="00515A14" w:rsidRDefault="00515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4040" w14:textId="77777777" w:rsidR="00505595" w:rsidRDefault="00505595" w:rsidP="00515A14">
      <w:pPr>
        <w:spacing w:before="0" w:after="0" w:line="240" w:lineRule="auto"/>
      </w:pPr>
      <w:r>
        <w:separator/>
      </w:r>
    </w:p>
  </w:footnote>
  <w:footnote w:type="continuationSeparator" w:id="0">
    <w:p w14:paraId="1264B889" w14:textId="77777777" w:rsidR="00505595" w:rsidRDefault="00505595" w:rsidP="00515A14">
      <w:pPr>
        <w:spacing w:before="0" w:after="0" w:line="240" w:lineRule="auto"/>
      </w:pPr>
      <w:r>
        <w:continuationSeparator/>
      </w:r>
    </w:p>
  </w:footnote>
  <w:footnote w:type="continuationNotice" w:id="1">
    <w:p w14:paraId="78759976" w14:textId="77777777" w:rsidR="00505595" w:rsidRDefault="0050559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0160" w14:textId="77777777" w:rsidR="006D5E30" w:rsidRDefault="006D5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ADD9" w14:textId="77777777" w:rsidR="006D5E30" w:rsidRDefault="006D5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325E" w14:textId="77777777" w:rsidR="006D5E30" w:rsidRDefault="006D5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EE7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F3190F"/>
    <w:multiLevelType w:val="hybridMultilevel"/>
    <w:tmpl w:val="775C5ECA"/>
    <w:lvl w:ilvl="0" w:tplc="450C34C6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D1D0C"/>
    <w:multiLevelType w:val="hybridMultilevel"/>
    <w:tmpl w:val="C4581760"/>
    <w:lvl w:ilvl="0" w:tplc="15FA7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39539">
    <w:abstractNumId w:val="0"/>
  </w:num>
  <w:num w:numId="2" w16cid:durableId="1453285992">
    <w:abstractNumId w:val="2"/>
  </w:num>
  <w:num w:numId="3" w16cid:durableId="47371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B9"/>
    <w:rsid w:val="00010D7D"/>
    <w:rsid w:val="000501A6"/>
    <w:rsid w:val="00064D0A"/>
    <w:rsid w:val="0006599E"/>
    <w:rsid w:val="00090F7D"/>
    <w:rsid w:val="00107C2C"/>
    <w:rsid w:val="00113AE6"/>
    <w:rsid w:val="00132274"/>
    <w:rsid w:val="00135280"/>
    <w:rsid w:val="001872EE"/>
    <w:rsid w:val="00191A47"/>
    <w:rsid w:val="00195C74"/>
    <w:rsid w:val="001B6348"/>
    <w:rsid w:val="001C7C78"/>
    <w:rsid w:val="001E21A9"/>
    <w:rsid w:val="001E4E28"/>
    <w:rsid w:val="0025319B"/>
    <w:rsid w:val="0027757B"/>
    <w:rsid w:val="002C6918"/>
    <w:rsid w:val="002D04E5"/>
    <w:rsid w:val="002D432A"/>
    <w:rsid w:val="002F58D7"/>
    <w:rsid w:val="00321516"/>
    <w:rsid w:val="00361934"/>
    <w:rsid w:val="00361E05"/>
    <w:rsid w:val="00370572"/>
    <w:rsid w:val="0038261B"/>
    <w:rsid w:val="003A0E47"/>
    <w:rsid w:val="003A6F94"/>
    <w:rsid w:val="003F2B59"/>
    <w:rsid w:val="00417721"/>
    <w:rsid w:val="00417FD5"/>
    <w:rsid w:val="00426B45"/>
    <w:rsid w:val="00476BE7"/>
    <w:rsid w:val="0047721B"/>
    <w:rsid w:val="004876A0"/>
    <w:rsid w:val="004B7D92"/>
    <w:rsid w:val="004E205F"/>
    <w:rsid w:val="004E4B54"/>
    <w:rsid w:val="004F00F5"/>
    <w:rsid w:val="004F3B8D"/>
    <w:rsid w:val="00505595"/>
    <w:rsid w:val="00511B4E"/>
    <w:rsid w:val="00515A14"/>
    <w:rsid w:val="00527642"/>
    <w:rsid w:val="00532C15"/>
    <w:rsid w:val="005735F7"/>
    <w:rsid w:val="005738B5"/>
    <w:rsid w:val="00581D44"/>
    <w:rsid w:val="005A57EB"/>
    <w:rsid w:val="005D23FD"/>
    <w:rsid w:val="005D4061"/>
    <w:rsid w:val="005E1C8D"/>
    <w:rsid w:val="005F0353"/>
    <w:rsid w:val="005F6BFD"/>
    <w:rsid w:val="00601908"/>
    <w:rsid w:val="00602ED2"/>
    <w:rsid w:val="00613426"/>
    <w:rsid w:val="006173E3"/>
    <w:rsid w:val="00630FF6"/>
    <w:rsid w:val="00671281"/>
    <w:rsid w:val="00681032"/>
    <w:rsid w:val="006A1193"/>
    <w:rsid w:val="006D5E30"/>
    <w:rsid w:val="006E232B"/>
    <w:rsid w:val="00701282"/>
    <w:rsid w:val="00721592"/>
    <w:rsid w:val="00722DEB"/>
    <w:rsid w:val="0073604E"/>
    <w:rsid w:val="00740FC4"/>
    <w:rsid w:val="007505D1"/>
    <w:rsid w:val="00760DEC"/>
    <w:rsid w:val="00767BA0"/>
    <w:rsid w:val="00770372"/>
    <w:rsid w:val="00792497"/>
    <w:rsid w:val="00795F25"/>
    <w:rsid w:val="007D5A1C"/>
    <w:rsid w:val="007E6945"/>
    <w:rsid w:val="007F1AFC"/>
    <w:rsid w:val="007F43EA"/>
    <w:rsid w:val="00804B53"/>
    <w:rsid w:val="00810428"/>
    <w:rsid w:val="0083055C"/>
    <w:rsid w:val="008308FC"/>
    <w:rsid w:val="00831656"/>
    <w:rsid w:val="00852E38"/>
    <w:rsid w:val="00861252"/>
    <w:rsid w:val="00872FE3"/>
    <w:rsid w:val="0087578A"/>
    <w:rsid w:val="00886379"/>
    <w:rsid w:val="008A70CE"/>
    <w:rsid w:val="008C41F0"/>
    <w:rsid w:val="008D1238"/>
    <w:rsid w:val="008E2F5A"/>
    <w:rsid w:val="008F4B1C"/>
    <w:rsid w:val="009048F6"/>
    <w:rsid w:val="0093228D"/>
    <w:rsid w:val="009425CC"/>
    <w:rsid w:val="009472E9"/>
    <w:rsid w:val="00964FFF"/>
    <w:rsid w:val="00967392"/>
    <w:rsid w:val="00970F89"/>
    <w:rsid w:val="009857B0"/>
    <w:rsid w:val="0098734F"/>
    <w:rsid w:val="009911B9"/>
    <w:rsid w:val="009919A5"/>
    <w:rsid w:val="009A4663"/>
    <w:rsid w:val="009C16CA"/>
    <w:rsid w:val="009C61A3"/>
    <w:rsid w:val="009E1DA4"/>
    <w:rsid w:val="009E791F"/>
    <w:rsid w:val="00A03703"/>
    <w:rsid w:val="00A0384C"/>
    <w:rsid w:val="00A04725"/>
    <w:rsid w:val="00A07B6D"/>
    <w:rsid w:val="00A07FAE"/>
    <w:rsid w:val="00A21243"/>
    <w:rsid w:val="00A2266B"/>
    <w:rsid w:val="00A26BB4"/>
    <w:rsid w:val="00A26D71"/>
    <w:rsid w:val="00A42316"/>
    <w:rsid w:val="00AA70F8"/>
    <w:rsid w:val="00AC04A4"/>
    <w:rsid w:val="00AD29FD"/>
    <w:rsid w:val="00AF76DE"/>
    <w:rsid w:val="00B03DA0"/>
    <w:rsid w:val="00B05584"/>
    <w:rsid w:val="00B06017"/>
    <w:rsid w:val="00B10F65"/>
    <w:rsid w:val="00B11D63"/>
    <w:rsid w:val="00B4099A"/>
    <w:rsid w:val="00B42B0B"/>
    <w:rsid w:val="00B46609"/>
    <w:rsid w:val="00B57FBB"/>
    <w:rsid w:val="00B64BD7"/>
    <w:rsid w:val="00B6582D"/>
    <w:rsid w:val="00B7570A"/>
    <w:rsid w:val="00B907AD"/>
    <w:rsid w:val="00BD496E"/>
    <w:rsid w:val="00BF61E7"/>
    <w:rsid w:val="00C11207"/>
    <w:rsid w:val="00C3497D"/>
    <w:rsid w:val="00C41D83"/>
    <w:rsid w:val="00C42DA4"/>
    <w:rsid w:val="00C46521"/>
    <w:rsid w:val="00C46A06"/>
    <w:rsid w:val="00C476C0"/>
    <w:rsid w:val="00C54267"/>
    <w:rsid w:val="00C71D16"/>
    <w:rsid w:val="00C730FF"/>
    <w:rsid w:val="00CA63B3"/>
    <w:rsid w:val="00CB7117"/>
    <w:rsid w:val="00CC4653"/>
    <w:rsid w:val="00CD0493"/>
    <w:rsid w:val="00CD67F8"/>
    <w:rsid w:val="00CE5C6C"/>
    <w:rsid w:val="00CE637A"/>
    <w:rsid w:val="00D0185B"/>
    <w:rsid w:val="00D1577A"/>
    <w:rsid w:val="00D15DD5"/>
    <w:rsid w:val="00D22E6C"/>
    <w:rsid w:val="00D30346"/>
    <w:rsid w:val="00D5187C"/>
    <w:rsid w:val="00D56CD7"/>
    <w:rsid w:val="00D6710A"/>
    <w:rsid w:val="00D83E59"/>
    <w:rsid w:val="00D90627"/>
    <w:rsid w:val="00D918D2"/>
    <w:rsid w:val="00DA5D6A"/>
    <w:rsid w:val="00DB4EF4"/>
    <w:rsid w:val="00DD1983"/>
    <w:rsid w:val="00DE016B"/>
    <w:rsid w:val="00DF7032"/>
    <w:rsid w:val="00DF7438"/>
    <w:rsid w:val="00E055EE"/>
    <w:rsid w:val="00E82ACC"/>
    <w:rsid w:val="00E8742E"/>
    <w:rsid w:val="00E90B5C"/>
    <w:rsid w:val="00EC6E20"/>
    <w:rsid w:val="00ED0581"/>
    <w:rsid w:val="00EE546D"/>
    <w:rsid w:val="00EF6325"/>
    <w:rsid w:val="00F140ED"/>
    <w:rsid w:val="00F15607"/>
    <w:rsid w:val="00F323ED"/>
    <w:rsid w:val="00F474A5"/>
    <w:rsid w:val="00F51F49"/>
    <w:rsid w:val="00F85E26"/>
    <w:rsid w:val="00FA203E"/>
    <w:rsid w:val="00FA292D"/>
    <w:rsid w:val="00FA38D6"/>
    <w:rsid w:val="00FB03ED"/>
    <w:rsid w:val="00FD5D77"/>
    <w:rsid w:val="00FD7FEC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E29406"/>
  <w14:defaultImageDpi w14:val="0"/>
  <w15:docId w15:val="{9069E88A-E04A-7349-BD40-1B00CE14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E7"/>
    <w:pPr>
      <w:suppressAutoHyphens/>
      <w:spacing w:before="120" w:after="120" w:line="280" w:lineRule="atLeas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ParagraphStyle"/>
    <w:link w:val="Heading1Char"/>
    <w:uiPriority w:val="99"/>
    <w:qFormat/>
    <w:rsid w:val="00476BE7"/>
    <w:pPr>
      <w:suppressAutoHyphens/>
      <w:spacing w:after="240" w:line="680" w:lineRule="atLeast"/>
      <w:outlineLvl w:val="0"/>
    </w:pPr>
    <w:rPr>
      <w:rFonts w:ascii="Arial" w:hAnsi="Arial" w:cs="Roc Grotesk Medium"/>
      <w:b/>
      <w:color w:val="4C6967"/>
      <w:sz w:val="60"/>
      <w:szCs w:val="60"/>
      <w:lang w:val="en-GB"/>
    </w:rPr>
  </w:style>
  <w:style w:type="paragraph" w:styleId="Heading2">
    <w:name w:val="heading 2"/>
    <w:basedOn w:val="NoParagraphStyle"/>
    <w:next w:val="Normal"/>
    <w:link w:val="Heading2Char"/>
    <w:uiPriority w:val="99"/>
    <w:qFormat/>
    <w:rsid w:val="00515A14"/>
    <w:pPr>
      <w:keepNext/>
      <w:keepLines/>
      <w:suppressAutoHyphens/>
      <w:spacing w:before="120" w:after="120"/>
      <w:outlineLvl w:val="1"/>
    </w:pPr>
    <w:rPr>
      <w:rFonts w:ascii="Arial" w:hAnsi="Arial" w:cs="Roc Grotesk Medium"/>
      <w:b/>
      <w:color w:val="47555E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476BE7"/>
    <w:rPr>
      <w:rFonts w:ascii="Arial" w:hAnsi="Arial" w:cs="Roc Grotesk Medium"/>
      <w:b/>
      <w:color w:val="4C6967"/>
      <w:sz w:val="60"/>
      <w:szCs w:val="60"/>
      <w:lang w:val="en-GB"/>
    </w:rPr>
  </w:style>
  <w:style w:type="paragraph" w:styleId="Date">
    <w:name w:val="Date"/>
    <w:basedOn w:val="Heading1"/>
    <w:link w:val="DateChar"/>
    <w:uiPriority w:val="99"/>
    <w:pPr>
      <w:spacing w:after="227" w:line="400" w:lineRule="atLeast"/>
      <w:outlineLvl w:val="9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</w:style>
  <w:style w:type="paragraph" w:styleId="Header">
    <w:name w:val="header"/>
    <w:basedOn w:val="Normal"/>
    <w:link w:val="HeaderChar"/>
    <w:uiPriority w:val="99"/>
    <w:unhideWhenUsed/>
    <w:rsid w:val="00515A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9"/>
    <w:rsid w:val="00515A14"/>
    <w:rPr>
      <w:rFonts w:ascii="Arial" w:hAnsi="Arial" w:cs="Roc Grotesk Medium"/>
      <w:b/>
      <w:color w:val="47555E"/>
      <w:sz w:val="30"/>
      <w:szCs w:val="26"/>
      <w:lang w:val="en-US"/>
    </w:rPr>
  </w:style>
  <w:style w:type="paragraph" w:styleId="ListBullet">
    <w:name w:val="List Bullet"/>
    <w:basedOn w:val="Normal"/>
    <w:uiPriority w:val="99"/>
    <w:rsid w:val="00515A14"/>
    <w:pPr>
      <w:widowControl w:val="0"/>
      <w:numPr>
        <w:numId w:val="3"/>
      </w:numPr>
      <w:autoSpaceDE w:val="0"/>
      <w:autoSpaceDN w:val="0"/>
      <w:adjustRightInd w:val="0"/>
      <w:spacing w:before="0" w:after="60"/>
      <w:textAlignment w:val="center"/>
    </w:pPr>
    <w:rPr>
      <w:rFonts w:cs="RocGrotesk-Regular"/>
      <w:spacing w:val="-2"/>
      <w:szCs w:val="18"/>
      <w:lang w:val="en-GB"/>
    </w:rPr>
  </w:style>
  <w:style w:type="character" w:customStyle="1" w:styleId="Bold">
    <w:name w:val="Bold"/>
    <w:uiPriority w:val="99"/>
    <w:rPr>
      <w:rFonts w:ascii="Roc Grotesk Medium" w:hAnsi="Roc Grotesk Medium" w:cs="Roc Grotesk Medium"/>
    </w:rPr>
  </w:style>
  <w:style w:type="character" w:styleId="Strong">
    <w:name w:val="Strong"/>
    <w:basedOn w:val="DefaultParagraphFont"/>
    <w:uiPriority w:val="22"/>
    <w:qFormat/>
    <w:rsid w:val="00476BE7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15A14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515A14"/>
    <w:pPr>
      <w:tabs>
        <w:tab w:val="center" w:pos="4513"/>
        <w:tab w:val="right" w:pos="9026"/>
      </w:tabs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15A14"/>
    <w:rPr>
      <w:rFonts w:ascii="Arial" w:hAnsi="Arial"/>
      <w:color w:val="000000" w:themeColor="text1"/>
      <w:sz w:val="20"/>
    </w:rPr>
  </w:style>
  <w:style w:type="paragraph" w:styleId="Revision">
    <w:name w:val="Revision"/>
    <w:hidden/>
    <w:uiPriority w:val="99"/>
    <w:semiHidden/>
    <w:rsid w:val="00361E05"/>
    <w:rPr>
      <w:rFonts w:ascii="Arial" w:hAnsi="Arial"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E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E05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E05"/>
    <w:rPr>
      <w:rFonts w:ascii="Arial" w:hAnsi="Arial"/>
      <w:b/>
      <w:bCs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CC4653"/>
    <w:rPr>
      <w:rFonts w:ascii="Arial" w:hAnsi="Arial"/>
      <w:color w:val="000000" w:themeColor="text1"/>
      <w:u w:val="single"/>
      <w:bdr w:val="none" w:sz="0" w:space="0" w:color="auto"/>
    </w:rPr>
  </w:style>
  <w:style w:type="paragraph" w:styleId="FootnoteText">
    <w:name w:val="footnote text"/>
    <w:basedOn w:val="Normal"/>
    <w:link w:val="FootnoteTextChar"/>
    <w:uiPriority w:val="99"/>
    <w:unhideWhenUsed/>
    <w:rsid w:val="00CC4653"/>
    <w:pPr>
      <w:suppressAutoHyphens w:val="0"/>
      <w:spacing w:before="0" w:after="60" w:line="264" w:lineRule="auto"/>
    </w:pPr>
    <w:rPr>
      <w:rFonts w:asciiTheme="minorHAnsi" w:eastAsiaTheme="minorHAnsi" w:hAnsiTheme="minorHAnsi"/>
      <w:color w:val="auto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4653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C4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4" ma:contentTypeDescription="Create a new document." ma:contentTypeScope="" ma:versionID="d2575a541de4f6f4146f87d786cddbb4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4bfd732ecb4d90ac731c1f8eb5d3dcdc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0AF61-5245-4CFD-BE8D-9111A3750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806A8-6F2D-4DB1-9483-738A8B179B89}">
  <ds:schemaRefs>
    <ds:schemaRef ds:uri="http://purl.org/dc/elements/1.1/"/>
    <ds:schemaRef ds:uri="d869c146-c82e-4435-92e4-da91542262fd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98728ac-f998-415c-abee-6b046fb1441e"/>
    <ds:schemaRef ds:uri="81c01dc6-2c49-4730-b140-874c95cac37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658461-AEBD-40F2-A5E7-3D9D7CE08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728ac-f998-415c-abee-6b046fb1441e"/>
    <ds:schemaRef ds:uri="81c01dc6-2c49-4730-b140-874c95cac377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price reporting investigation snapshot</vt:lpstr>
    </vt:vector>
  </TitlesOfParts>
  <Manager/>
  <Company/>
  <LinksUpToDate>false</LinksUpToDate>
  <CharactersWithSpaces>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price reporting investigation snapshot</dc:title>
  <dc:subject>Inspector-General of Water Compliance</dc:subject>
  <dc:creator/>
  <cp:keywords/>
  <dc:description/>
  <cp:lastModifiedBy>Nguyen, Lien</cp:lastModifiedBy>
  <cp:revision>3</cp:revision>
  <dcterms:created xsi:type="dcterms:W3CDTF">2023-10-23T21:09:00Z</dcterms:created>
  <dcterms:modified xsi:type="dcterms:W3CDTF">2023-10-27T01:44:00Z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0x0101000AB83DC74A1A224A94CC6277C36640F8</vt:lpwstr>
  </property>
</Properties>
</file>