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5FB3" w14:textId="009CA023" w:rsidR="009C3875" w:rsidRPr="00F3369D" w:rsidRDefault="00E278B0" w:rsidP="004C3653">
      <w:pPr>
        <w:pStyle w:val="Heading1"/>
        <w:rPr>
          <w:color w:val="FFFFFF"/>
        </w:rPr>
      </w:pPr>
      <w:r w:rsidRPr="00F3369D">
        <w:rPr>
          <w:bCs/>
          <w:color w:val="FFFFFF"/>
        </w:rPr>
        <w:t>Frequently Asked Questions</w:t>
      </w:r>
      <w:r w:rsidRPr="00F3369D">
        <w:rPr>
          <w:color w:val="FFFFFF"/>
        </w:rPr>
        <w:t xml:space="preserve"> </w:t>
      </w:r>
      <w:r w:rsidR="009C3875" w:rsidRPr="00F3369D">
        <w:rPr>
          <w:rStyle w:val="Heading2Char"/>
          <w:color w:val="FFFFFF"/>
        </w:rPr>
        <w:t>Sustainable Diversion Limit Compliance Framework</w:t>
      </w:r>
    </w:p>
    <w:p w14:paraId="07FC3C62" w14:textId="598050CD" w:rsidR="00473F5B" w:rsidRDefault="00473F5B" w:rsidP="004C3653">
      <w:pPr>
        <w:pStyle w:val="Heading1"/>
        <w:rPr>
          <w:color w:val="FFFFFF"/>
          <w:sz w:val="60"/>
        </w:rPr>
      </w:pPr>
    </w:p>
    <w:p w14:paraId="4044C11E" w14:textId="6086FD8B" w:rsidR="00C118DE" w:rsidRPr="00452256" w:rsidRDefault="00C90247" w:rsidP="00C118DE">
      <w:pPr>
        <w:rPr>
          <w:szCs w:val="20"/>
        </w:rPr>
      </w:pPr>
      <w:r w:rsidRPr="00452256">
        <w:rPr>
          <w:szCs w:val="20"/>
        </w:rPr>
        <w:t>© Commonwealth of Australia 202</w:t>
      </w:r>
      <w:r w:rsidR="00F54AA6">
        <w:rPr>
          <w:szCs w:val="20"/>
        </w:rPr>
        <w:t>3</w:t>
      </w:r>
    </w:p>
    <w:p w14:paraId="28B179DA" w14:textId="77777777" w:rsidR="00C118DE" w:rsidRPr="00452256" w:rsidRDefault="00C90247" w:rsidP="00C118DE">
      <w:pPr>
        <w:rPr>
          <w:rStyle w:val="Strong"/>
          <w:szCs w:val="20"/>
        </w:rPr>
      </w:pPr>
      <w:r w:rsidRPr="00452256">
        <w:rPr>
          <w:rStyle w:val="Strong"/>
          <w:szCs w:val="20"/>
        </w:rPr>
        <w:t>Ownership of intellectual property rights</w:t>
      </w:r>
    </w:p>
    <w:p w14:paraId="3B9C6235" w14:textId="77777777" w:rsidR="00C118DE" w:rsidRPr="00452256" w:rsidRDefault="00C90247" w:rsidP="00C118DE">
      <w:pPr>
        <w:rPr>
          <w:szCs w:val="20"/>
        </w:rPr>
      </w:pPr>
      <w:r w:rsidRPr="00452256">
        <w:rPr>
          <w:szCs w:val="20"/>
        </w:rPr>
        <w:t>Unless otherwise noted, copyright (and any other intellectual property rights) in this publication is owned by the Commonwealth of Australia (referred to as the Commonwealth).</w:t>
      </w:r>
    </w:p>
    <w:p w14:paraId="79706610" w14:textId="77777777" w:rsidR="00C118DE" w:rsidRPr="00452256" w:rsidRDefault="00C90247" w:rsidP="00C118DE">
      <w:pPr>
        <w:rPr>
          <w:rStyle w:val="Strong"/>
          <w:szCs w:val="20"/>
        </w:rPr>
      </w:pPr>
      <w:r w:rsidRPr="00452256">
        <w:rPr>
          <w:rStyle w:val="Strong"/>
          <w:szCs w:val="20"/>
        </w:rPr>
        <w:t xml:space="preserve">Creative Commons licence </w:t>
      </w:r>
    </w:p>
    <w:p w14:paraId="680879B5" w14:textId="77777777" w:rsidR="00C118DE" w:rsidRPr="00452256" w:rsidRDefault="00C90247" w:rsidP="00C118DE">
      <w:pPr>
        <w:rPr>
          <w:szCs w:val="20"/>
        </w:rPr>
      </w:pPr>
      <w:r w:rsidRPr="00452256">
        <w:rPr>
          <w:szCs w:val="20"/>
        </w:rPr>
        <w:t xml:space="preserve">All material in this publication is licensed under a Creative Commons Attribution 4.0 International Licence, except for content supplied by third parties, logos and the Commonwealth Coat of Arms. </w:t>
      </w:r>
    </w:p>
    <w:p w14:paraId="2832055F" w14:textId="77777777" w:rsidR="00C118DE" w:rsidRPr="00452256" w:rsidRDefault="00C90247" w:rsidP="00C118DE">
      <w:pPr>
        <w:rPr>
          <w:szCs w:val="20"/>
        </w:rPr>
      </w:pPr>
      <w:r w:rsidRPr="00452256">
        <w:rPr>
          <w:szCs w:val="20"/>
        </w:rPr>
        <w:t>Inquiries about the licence and any use of this document should be emailed to copyright@dcceew.gov.au.</w:t>
      </w:r>
    </w:p>
    <w:p w14:paraId="2204E794" w14:textId="77777777" w:rsidR="00C118DE" w:rsidRPr="00452256" w:rsidRDefault="00C90247" w:rsidP="00C118DE">
      <w:pPr>
        <w:rPr>
          <w:szCs w:val="20"/>
        </w:rPr>
      </w:pPr>
      <w:r w:rsidRPr="00452256">
        <w:rPr>
          <w:noProof/>
          <w:szCs w:val="20"/>
          <w:lang w:eastAsia="en-AU"/>
        </w:rPr>
        <w:drawing>
          <wp:inline distT="0" distB="0" distL="0" distR="0" wp14:anchorId="7FDD873D" wp14:editId="709A3BDF">
            <wp:extent cx="724535" cy="25527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134D8FB" w14:textId="77777777" w:rsidR="00C118DE" w:rsidRPr="00452256" w:rsidRDefault="00C90247" w:rsidP="00C118DE">
      <w:pPr>
        <w:rPr>
          <w:rStyle w:val="Strong"/>
          <w:szCs w:val="20"/>
        </w:rPr>
      </w:pPr>
      <w:r w:rsidRPr="00452256">
        <w:rPr>
          <w:rStyle w:val="Strong"/>
          <w:szCs w:val="20"/>
        </w:rPr>
        <w:t>Cataloguing data</w:t>
      </w:r>
    </w:p>
    <w:p w14:paraId="5374E236" w14:textId="18E04BB0" w:rsidR="00C118DE" w:rsidRPr="00452256" w:rsidRDefault="00C90247" w:rsidP="00C118DE">
      <w:pPr>
        <w:rPr>
          <w:szCs w:val="20"/>
        </w:rPr>
      </w:pPr>
      <w:r w:rsidRPr="00452256">
        <w:rPr>
          <w:szCs w:val="20"/>
        </w:rPr>
        <w:t>This publication (and any material sourced from it) should be attributed as: Inspector-General of Water Compliance 202</w:t>
      </w:r>
      <w:r w:rsidR="00F54AA6">
        <w:rPr>
          <w:szCs w:val="20"/>
        </w:rPr>
        <w:t>3</w:t>
      </w:r>
      <w:r w:rsidRPr="00452256">
        <w:rPr>
          <w:szCs w:val="20"/>
        </w:rPr>
        <w:t xml:space="preserve">, </w:t>
      </w:r>
      <w:r w:rsidR="00417A52">
        <w:rPr>
          <w:szCs w:val="20"/>
        </w:rPr>
        <w:t xml:space="preserve">Frequently Asked Questions </w:t>
      </w:r>
      <w:r w:rsidR="009D3746">
        <w:rPr>
          <w:szCs w:val="20"/>
        </w:rPr>
        <w:t xml:space="preserve">- </w:t>
      </w:r>
      <w:r w:rsidR="00FA37FA">
        <w:rPr>
          <w:szCs w:val="20"/>
        </w:rPr>
        <w:t>Sustainable Diversion Limit Compliance Framework</w:t>
      </w:r>
      <w:r w:rsidRPr="00452256">
        <w:rPr>
          <w:szCs w:val="20"/>
        </w:rPr>
        <w:t xml:space="preserve">, the Australian Government, Canberra, </w:t>
      </w:r>
      <w:r w:rsidR="00841343">
        <w:rPr>
          <w:szCs w:val="20"/>
        </w:rPr>
        <w:t>September</w:t>
      </w:r>
      <w:r w:rsidRPr="00452256">
        <w:rPr>
          <w:szCs w:val="20"/>
        </w:rPr>
        <w:t xml:space="preserve"> 202</w:t>
      </w:r>
      <w:r w:rsidR="00F54AA6">
        <w:rPr>
          <w:szCs w:val="20"/>
        </w:rPr>
        <w:t>3</w:t>
      </w:r>
      <w:r w:rsidRPr="00452256">
        <w:rPr>
          <w:szCs w:val="20"/>
        </w:rPr>
        <w:t>. CC BY 4.0.</w:t>
      </w:r>
    </w:p>
    <w:p w14:paraId="461700F7" w14:textId="6037D0A2" w:rsidR="00C118DE" w:rsidRPr="00452256" w:rsidRDefault="00C90247" w:rsidP="00C118DE">
      <w:pPr>
        <w:rPr>
          <w:rStyle w:val="Hyperlink"/>
          <w:szCs w:val="20"/>
        </w:rPr>
      </w:pPr>
      <w:r w:rsidRPr="00452256">
        <w:rPr>
          <w:szCs w:val="20"/>
        </w:rPr>
        <w:t xml:space="preserve">This publication is available </w:t>
      </w:r>
      <w:r w:rsidRPr="00815B7C">
        <w:rPr>
          <w:szCs w:val="20"/>
        </w:rPr>
        <w:t xml:space="preserve">at </w:t>
      </w:r>
      <w:r w:rsidR="00F3369D" w:rsidRPr="00F3369D">
        <w:rPr>
          <w:szCs w:val="20"/>
        </w:rPr>
        <w:t>https://www.igwc.gov.au/about</w:t>
      </w:r>
    </w:p>
    <w:p w14:paraId="7B8CEB47" w14:textId="77777777" w:rsidR="00C118DE" w:rsidRPr="00452256" w:rsidRDefault="00C90247" w:rsidP="00C118DE">
      <w:pPr>
        <w:rPr>
          <w:szCs w:val="20"/>
        </w:rPr>
      </w:pPr>
      <w:r w:rsidRPr="00452256">
        <w:rPr>
          <w:szCs w:val="20"/>
        </w:rPr>
        <w:t>Inspector-General of Water Compliance</w:t>
      </w:r>
      <w:r w:rsidRPr="00452256">
        <w:rPr>
          <w:szCs w:val="20"/>
        </w:rPr>
        <w:br/>
        <w:t>GPO Box 3090 Canberra ACT 2601</w:t>
      </w:r>
    </w:p>
    <w:p w14:paraId="682B040B" w14:textId="77777777" w:rsidR="00C118DE" w:rsidRPr="00452256" w:rsidRDefault="00C90247" w:rsidP="00C118DE">
      <w:pPr>
        <w:rPr>
          <w:rStyle w:val="Strong"/>
          <w:szCs w:val="20"/>
        </w:rPr>
      </w:pPr>
      <w:r w:rsidRPr="00452256">
        <w:rPr>
          <w:rStyle w:val="Strong"/>
          <w:szCs w:val="20"/>
        </w:rPr>
        <w:t>Disclaimer</w:t>
      </w:r>
    </w:p>
    <w:p w14:paraId="55470092" w14:textId="77777777" w:rsidR="00C118DE" w:rsidRPr="00452256" w:rsidRDefault="00C90247" w:rsidP="00C118DE">
      <w:pPr>
        <w:rPr>
          <w:szCs w:val="20"/>
        </w:rPr>
      </w:pPr>
      <w:r w:rsidRPr="00452256">
        <w:rPr>
          <w:szCs w:val="20"/>
        </w:rPr>
        <w:t>The Australian Government represented by the Inspector-General of Water Compliance, has exercised due care and skill in preparing and compiling the information and data in this publication. Notwithstanding, the Inspector-General of Water Compliance, the Australian Government’s employees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0DBAD482" w14:textId="77777777" w:rsidR="00F54AA6" w:rsidRPr="00452256" w:rsidRDefault="00C90247" w:rsidP="00F54AA6">
      <w:pPr>
        <w:rPr>
          <w:rStyle w:val="Strong"/>
          <w:szCs w:val="20"/>
        </w:rPr>
      </w:pPr>
      <w:r w:rsidRPr="00452256">
        <w:rPr>
          <w:rStyle w:val="Strong"/>
          <w:szCs w:val="20"/>
        </w:rPr>
        <w:t xml:space="preserve">Acknowledgement of </w:t>
      </w:r>
      <w:r>
        <w:rPr>
          <w:rStyle w:val="Strong"/>
          <w:szCs w:val="20"/>
        </w:rPr>
        <w:t>all Traditional Owners</w:t>
      </w:r>
    </w:p>
    <w:p w14:paraId="53774030" w14:textId="77777777" w:rsidR="00F54AA6" w:rsidRDefault="00C90247" w:rsidP="00F54AA6">
      <w:pPr>
        <w:rPr>
          <w:szCs w:val="20"/>
        </w:rPr>
      </w:pPr>
      <w:r>
        <w:rPr>
          <w:szCs w:val="20"/>
        </w:rPr>
        <w:t xml:space="preserve">We pay our respect to the Traditional Owners and their Nations of the Murray-Darling Basin. We acknowledge their deep cultural, social, environmental, spiritual and economic connection to their lands and waters. </w:t>
      </w:r>
    </w:p>
    <w:p w14:paraId="20E65DC9" w14:textId="77777777" w:rsidR="00F54AA6" w:rsidRPr="00452256" w:rsidRDefault="00C90247" w:rsidP="00F54AA6">
      <w:pPr>
        <w:rPr>
          <w:szCs w:val="20"/>
        </w:rPr>
      </w:pPr>
      <w:r>
        <w:rPr>
          <w:szCs w:val="20"/>
        </w:rPr>
        <w:t xml:space="preserve">Aboriginal people should be aware that this publication may contain images, names, or quotations of deceased persons. </w:t>
      </w:r>
    </w:p>
    <w:p w14:paraId="10795F39" w14:textId="77777777" w:rsidR="00C118DE" w:rsidRPr="00452256" w:rsidRDefault="00C90247" w:rsidP="00C118DE">
      <w:pPr>
        <w:rPr>
          <w:rStyle w:val="Strong"/>
          <w:szCs w:val="20"/>
        </w:rPr>
      </w:pPr>
      <w:r w:rsidRPr="00452256">
        <w:rPr>
          <w:rStyle w:val="Strong"/>
          <w:szCs w:val="20"/>
        </w:rPr>
        <w:t>Accessibility</w:t>
      </w:r>
    </w:p>
    <w:p w14:paraId="1B46CAB4" w14:textId="77777777" w:rsidR="00C118DE" w:rsidRDefault="00C90247" w:rsidP="00C118DE">
      <w:pPr>
        <w:rPr>
          <w:szCs w:val="20"/>
        </w:rPr>
      </w:pPr>
      <w:r w:rsidRPr="00452256">
        <w:rPr>
          <w:szCs w:val="20"/>
        </w:rPr>
        <w:t>The document and information is available in accessible formats. On some occasions the highly technical nature of the document means that we cannot make some sections fully accessible. If you encounter accessibility problems or the document is in a format that you cannot access, please contact us.</w:t>
      </w:r>
    </w:p>
    <w:p w14:paraId="3481D538" w14:textId="01C53F82" w:rsidR="00473F5B" w:rsidRDefault="00C90247" w:rsidP="006318A8">
      <w:r>
        <w:br w:type="page"/>
      </w:r>
    </w:p>
    <w:p w14:paraId="25BC3F3D" w14:textId="5C61DABF" w:rsidR="001C0F11" w:rsidRDefault="001C0F11" w:rsidP="002C07A5">
      <w:pPr>
        <w:sectPr w:rsidR="001C0F11" w:rsidSect="003A39E1">
          <w:headerReference w:type="default" r:id="rId12"/>
          <w:footerReference w:type="default" r:id="rId13"/>
          <w:headerReference w:type="first" r:id="rId14"/>
          <w:footerReference w:type="first" r:id="rId15"/>
          <w:pgSz w:w="11906" w:h="16838"/>
          <w:pgMar w:top="1284" w:right="1134" w:bottom="816" w:left="1134" w:header="431" w:footer="999" w:gutter="0"/>
          <w:cols w:space="708"/>
          <w:titlePg/>
          <w:docGrid w:linePitch="360"/>
        </w:sectPr>
      </w:pPr>
    </w:p>
    <w:p w14:paraId="1F6372C1" w14:textId="3FB09422" w:rsidR="00055589" w:rsidRPr="00AA50F7" w:rsidRDefault="00E505A7" w:rsidP="00AA50F7">
      <w:pPr>
        <w:pStyle w:val="Heading1"/>
      </w:pPr>
      <w:r w:rsidRPr="00AA50F7">
        <w:lastRenderedPageBreak/>
        <w:t>SDL Compliance Framework</w:t>
      </w:r>
      <w:r w:rsidR="000800C3">
        <w:t xml:space="preserve"> – Frequently Asked Questions </w:t>
      </w:r>
    </w:p>
    <w:p w14:paraId="2A80F4CC" w14:textId="034BD54C" w:rsidR="007935B6" w:rsidRDefault="000800C3" w:rsidP="00AA50F7">
      <w:pPr>
        <w:pStyle w:val="Heading2"/>
      </w:pPr>
      <w:r>
        <w:t>Roles</w:t>
      </w:r>
      <w:r w:rsidR="00B966FE">
        <w:t xml:space="preserve"> and responsibilities</w:t>
      </w:r>
    </w:p>
    <w:p w14:paraId="2AF10504" w14:textId="186FE9A0" w:rsidR="00A763AE" w:rsidRDefault="00A763AE" w:rsidP="00AA50F7">
      <w:pPr>
        <w:pStyle w:val="Heading3"/>
      </w:pPr>
      <w:r>
        <w:t xml:space="preserve">Why was the </w:t>
      </w:r>
      <w:r w:rsidR="00695791">
        <w:t>Inspector-</w:t>
      </w:r>
      <w:r>
        <w:t>General of Water Compliance established?</w:t>
      </w:r>
    </w:p>
    <w:p w14:paraId="7B5A305C" w14:textId="44EBEEE4" w:rsidR="00A763AE" w:rsidRDefault="00A763AE" w:rsidP="00A763AE">
      <w:r>
        <w:t xml:space="preserve">The Inspector-General of Water Compliance </w:t>
      </w:r>
      <w:r w:rsidR="00D16CF2">
        <w:t>w</w:t>
      </w:r>
      <w:r>
        <w:t>as created on 5 August 2021 to serve as a strong and independent regulator of Australia’s largest water resource – the Murray–Darling Basin</w:t>
      </w:r>
      <w:r w:rsidR="009B55F3">
        <w:t xml:space="preserve"> (the Basin)</w:t>
      </w:r>
      <w:r>
        <w:t xml:space="preserve">. The Inspector-General’s role was established under the </w:t>
      </w:r>
      <w:r w:rsidRPr="00D16CF2">
        <w:rPr>
          <w:i/>
        </w:rPr>
        <w:t>Water Act 2007</w:t>
      </w:r>
      <w:r>
        <w:t xml:space="preserve"> </w:t>
      </w:r>
      <w:r w:rsidR="000F17A8">
        <w:t>(Cth)</w:t>
      </w:r>
      <w:r w:rsidR="00322AC0">
        <w:t xml:space="preserve"> </w:t>
      </w:r>
      <w:r>
        <w:t>(</w:t>
      </w:r>
      <w:r w:rsidR="00B67021">
        <w:t>Water Act</w:t>
      </w:r>
      <w:r>
        <w:t xml:space="preserve">) to strengthen compliance, increase transparency, and improve trust. The Inspector-General has powers to scrutinise, provide oversight of and monitor compliance with the </w:t>
      </w:r>
      <w:r w:rsidRPr="00CF6DDC">
        <w:rPr>
          <w:i/>
          <w:iCs/>
        </w:rPr>
        <w:t>Basin Plan 2012</w:t>
      </w:r>
      <w:r>
        <w:t xml:space="preserve"> (Basin Plan), </w:t>
      </w:r>
      <w:r w:rsidR="003348A2">
        <w:t>w</w:t>
      </w:r>
      <w:r>
        <w:t xml:space="preserve">ater </w:t>
      </w:r>
      <w:r w:rsidR="003348A2">
        <w:t>r</w:t>
      </w:r>
      <w:r>
        <w:t xml:space="preserve">esource </w:t>
      </w:r>
      <w:r w:rsidR="003348A2">
        <w:t>p</w:t>
      </w:r>
      <w:r>
        <w:t>lans</w:t>
      </w:r>
      <w:r w:rsidR="00CC2AFC">
        <w:t xml:space="preserve"> </w:t>
      </w:r>
      <w:r>
        <w:t xml:space="preserve">and intergovernmental agreements and arrangements relating to water resource management in the Basin.  </w:t>
      </w:r>
    </w:p>
    <w:p w14:paraId="4A1D1739" w14:textId="45C6E2FF" w:rsidR="004911DD" w:rsidRDefault="004911DD" w:rsidP="004911DD">
      <w:pPr>
        <w:pStyle w:val="Heading3"/>
      </w:pPr>
      <w:r>
        <w:t xml:space="preserve">What is the </w:t>
      </w:r>
      <w:r w:rsidR="00861245">
        <w:t xml:space="preserve">role of the </w:t>
      </w:r>
      <w:r>
        <w:t>Inspector-</w:t>
      </w:r>
      <w:r w:rsidR="00861245">
        <w:t>General of Water Compliance</w:t>
      </w:r>
    </w:p>
    <w:p w14:paraId="18D947FE" w14:textId="77777777" w:rsidR="004911DD" w:rsidRDefault="004911DD" w:rsidP="004911DD">
      <w:r>
        <w:t>The independent Inspector–General of Water Compliance was established to enforce compliance with the national laws and to hold Commonwealth and Basin State governments to account in their management of Basin water resources.</w:t>
      </w:r>
    </w:p>
    <w:p w14:paraId="62ABA274" w14:textId="349EB478" w:rsidR="004911DD" w:rsidRDefault="004911DD" w:rsidP="004911DD">
      <w:r>
        <w:t>In this context, the Inspector–General broadly has the roles of:</w:t>
      </w:r>
    </w:p>
    <w:p w14:paraId="6D842B68" w14:textId="1D519B37" w:rsidR="004911DD" w:rsidRDefault="004911DD" w:rsidP="004911DD">
      <w:pPr>
        <w:pStyle w:val="ListBullet"/>
      </w:pPr>
      <w:r>
        <w:t>Monitoring and overseeing the performance of functions and exercise of powers by agencies of the Commonwealth</w:t>
      </w:r>
      <w:r w:rsidR="00D5080D">
        <w:t>, as described in the Water Act, Basin Plan and water resource plans, for</w:t>
      </w:r>
      <w:r w:rsidR="008727D7">
        <w:t xml:space="preserve"> the management of Basin water resources</w:t>
      </w:r>
      <w:r w:rsidR="007D4FE3">
        <w:t>.</w:t>
      </w:r>
    </w:p>
    <w:p w14:paraId="02822ADF" w14:textId="35691B21" w:rsidR="004911DD" w:rsidRDefault="004911DD" w:rsidP="004911DD">
      <w:pPr>
        <w:pStyle w:val="ListBullet"/>
      </w:pPr>
      <w:r>
        <w:t xml:space="preserve">Monitoring and overseeing Basin </w:t>
      </w:r>
      <w:r w:rsidR="004C2F7B">
        <w:t>S</w:t>
      </w:r>
      <w:r>
        <w:t xml:space="preserve">tate and </w:t>
      </w:r>
      <w:r w:rsidR="004C2F7B">
        <w:t>T</w:t>
      </w:r>
      <w:r>
        <w:t xml:space="preserve">erritory government agencies’ performance </w:t>
      </w:r>
      <w:r w:rsidR="003A012A">
        <w:t>in meeting</w:t>
      </w:r>
      <w:r w:rsidR="001271CB">
        <w:t xml:space="preserve"> </w:t>
      </w:r>
      <w:r w:rsidR="009A1762">
        <w:t>legislat</w:t>
      </w:r>
      <w:r w:rsidR="006F38E8">
        <w:t xml:space="preserve">ive </w:t>
      </w:r>
      <w:r w:rsidR="00A91E8F">
        <w:t xml:space="preserve">obligations </w:t>
      </w:r>
      <w:r w:rsidR="006F38E8">
        <w:t>for</w:t>
      </w:r>
      <w:r>
        <w:t xml:space="preserve"> the management of Basin water resources</w:t>
      </w:r>
      <w:r w:rsidR="007D4FE3">
        <w:t>.</w:t>
      </w:r>
    </w:p>
    <w:p w14:paraId="56B36AAD" w14:textId="587827AA" w:rsidR="004911DD" w:rsidRDefault="004911DD" w:rsidP="004911DD">
      <w:pPr>
        <w:pStyle w:val="ListBullet"/>
      </w:pPr>
      <w:r>
        <w:t>Enforcing compliance with Commonwealth laws that regulate the management of Basin water resources</w:t>
      </w:r>
      <w:r w:rsidR="007D4FE3">
        <w:t>.</w:t>
      </w:r>
    </w:p>
    <w:p w14:paraId="3C105B7F" w14:textId="7FCD565C" w:rsidR="004911DD" w:rsidRDefault="004911DD" w:rsidP="004911DD">
      <w:pPr>
        <w:pStyle w:val="ListBullet"/>
      </w:pPr>
      <w:r>
        <w:t xml:space="preserve">Engaging with the Australian community </w:t>
      </w:r>
      <w:r w:rsidR="006F38E8">
        <w:t>about</w:t>
      </w:r>
      <w:r>
        <w:t xml:space="preserve"> the management of Basin water resources.</w:t>
      </w:r>
    </w:p>
    <w:p w14:paraId="1A1453A3" w14:textId="77777777" w:rsidR="004911DD" w:rsidRPr="004911DD" w:rsidRDefault="004911DD" w:rsidP="004911DD"/>
    <w:p w14:paraId="54D501A1" w14:textId="44A0F4EA" w:rsidR="00D638D3" w:rsidRDefault="00D638D3" w:rsidP="00D638D3">
      <w:pPr>
        <w:pStyle w:val="Heading3"/>
      </w:pPr>
      <w:r>
        <w:t xml:space="preserve">What is the role of the </w:t>
      </w:r>
      <w:r w:rsidR="0023615D">
        <w:t>Inspector-</w:t>
      </w:r>
      <w:r>
        <w:t>General compared to the M</w:t>
      </w:r>
      <w:r w:rsidR="00736BE5">
        <w:t xml:space="preserve">urray </w:t>
      </w:r>
      <w:r>
        <w:t>D</w:t>
      </w:r>
      <w:r w:rsidR="00736BE5">
        <w:t xml:space="preserve">arling </w:t>
      </w:r>
      <w:r>
        <w:t>B</w:t>
      </w:r>
      <w:r w:rsidR="00736BE5">
        <w:t xml:space="preserve">asin </w:t>
      </w:r>
      <w:r>
        <w:t>A</w:t>
      </w:r>
      <w:r w:rsidR="00736BE5">
        <w:t>uthority</w:t>
      </w:r>
      <w:r>
        <w:t>?</w:t>
      </w:r>
    </w:p>
    <w:p w14:paraId="0AAC4D97" w14:textId="7D9F617A" w:rsidR="00D638D3" w:rsidRDefault="00D97021" w:rsidP="00D638D3">
      <w:r>
        <w:t xml:space="preserve">In relation to the assessment of compliance with </w:t>
      </w:r>
      <w:r w:rsidR="00D264A8">
        <w:t>Sustainable Diversion Limits (</w:t>
      </w:r>
      <w:r>
        <w:t>SDLs</w:t>
      </w:r>
      <w:r w:rsidR="00D264A8">
        <w:t>)</w:t>
      </w:r>
      <w:r>
        <w:t xml:space="preserve">, </w:t>
      </w:r>
      <w:r w:rsidR="00A06CA4">
        <w:t xml:space="preserve">it is the role of the </w:t>
      </w:r>
      <w:r w:rsidR="00736BE5">
        <w:t>Murray Darling Basin Authority</w:t>
      </w:r>
      <w:r w:rsidR="00A06CA4">
        <w:t xml:space="preserve"> (MDBA)</w:t>
      </w:r>
      <w:r w:rsidR="00736BE5">
        <w:t xml:space="preserve"> </w:t>
      </w:r>
      <w:r w:rsidR="00D638D3">
        <w:t xml:space="preserve">to: </w:t>
      </w:r>
    </w:p>
    <w:p w14:paraId="0F295401" w14:textId="7CD9F607" w:rsidR="00D638D3" w:rsidRPr="00D8181B" w:rsidRDefault="00874AF5" w:rsidP="00D638D3">
      <w:pPr>
        <w:pStyle w:val="ListBullet"/>
      </w:pPr>
      <w:r>
        <w:t>M</w:t>
      </w:r>
      <w:r w:rsidRPr="00D8181B">
        <w:t xml:space="preserve">aintain </w:t>
      </w:r>
      <w:r w:rsidR="00D638D3" w:rsidRPr="00D8181B">
        <w:t xml:space="preserve">a </w:t>
      </w:r>
      <w:r w:rsidR="007A6228">
        <w:t>R</w:t>
      </w:r>
      <w:r w:rsidR="00D638D3" w:rsidRPr="00D8181B">
        <w:t xml:space="preserve">egister of </w:t>
      </w:r>
      <w:r w:rsidR="007A6228">
        <w:t>T</w:t>
      </w:r>
      <w:r w:rsidR="00D638D3" w:rsidRPr="00D8181B">
        <w:t>ake for each SDL resource unit (Basin Plan, Chapter 6)</w:t>
      </w:r>
    </w:p>
    <w:p w14:paraId="3F885C0B" w14:textId="3C388F1F" w:rsidR="00D638D3" w:rsidRPr="00D8181B" w:rsidRDefault="00827EF3" w:rsidP="00D638D3">
      <w:pPr>
        <w:pStyle w:val="ListBullet"/>
      </w:pPr>
      <w:r>
        <w:t>P</w:t>
      </w:r>
      <w:r w:rsidRPr="00D8181B">
        <w:t xml:space="preserve">rovide </w:t>
      </w:r>
      <w:r w:rsidR="00D638D3" w:rsidRPr="00D8181B">
        <w:t xml:space="preserve">information </w:t>
      </w:r>
      <w:r w:rsidR="0023615D" w:rsidRPr="00D8181B">
        <w:t>submitted</w:t>
      </w:r>
      <w:r w:rsidR="0023615D">
        <w:t xml:space="preserve"> by Basin States</w:t>
      </w:r>
      <w:r w:rsidR="0023615D" w:rsidRPr="00D8181B">
        <w:t xml:space="preserve"> </w:t>
      </w:r>
      <w:r w:rsidR="00D638D3" w:rsidRPr="00D8181B">
        <w:t>(reports</w:t>
      </w:r>
      <w:r w:rsidR="0023615D">
        <w:t xml:space="preserve"> under</w:t>
      </w:r>
      <w:r w:rsidR="0023615D" w:rsidRPr="0023615D">
        <w:t xml:space="preserve"> </w:t>
      </w:r>
      <w:r w:rsidR="00391653">
        <w:t>s</w:t>
      </w:r>
      <w:r w:rsidR="004C6DFD">
        <w:t>ection</w:t>
      </w:r>
      <w:r w:rsidR="00A55064">
        <w:t xml:space="preserve"> </w:t>
      </w:r>
      <w:r w:rsidR="0023615D" w:rsidRPr="00D8181B">
        <w:t>71</w:t>
      </w:r>
      <w:r w:rsidR="0023615D">
        <w:t xml:space="preserve"> of the </w:t>
      </w:r>
      <w:r w:rsidR="003553D0">
        <w:rPr>
          <w:i/>
          <w:iCs/>
        </w:rPr>
        <w:t>Water Act 2007</w:t>
      </w:r>
      <w:r w:rsidR="00710794">
        <w:rPr>
          <w:i/>
          <w:iCs/>
        </w:rPr>
        <w:t xml:space="preserve"> </w:t>
      </w:r>
      <w:r w:rsidR="00710794">
        <w:t>(Cth)</w:t>
      </w:r>
      <w:r w:rsidR="00D638D3" w:rsidRPr="00D8181B">
        <w:t xml:space="preserve">) to </w:t>
      </w:r>
      <w:r w:rsidR="00D264A8">
        <w:t>the</w:t>
      </w:r>
      <w:r w:rsidR="00D638D3" w:rsidRPr="00D8181B">
        <w:t xml:space="preserve"> Inspector-General</w:t>
      </w:r>
    </w:p>
    <w:p w14:paraId="6D3FD5E1" w14:textId="41D766C5" w:rsidR="00D638D3" w:rsidRDefault="00827EF3" w:rsidP="00D638D3">
      <w:pPr>
        <w:pStyle w:val="ListBullet"/>
      </w:pPr>
      <w:r>
        <w:t>I</w:t>
      </w:r>
      <w:r w:rsidRPr="00D8181B">
        <w:t xml:space="preserve">dentify </w:t>
      </w:r>
      <w:r w:rsidR="00D638D3" w:rsidRPr="00D8181B">
        <w:t xml:space="preserve">concerns with information provided and advise </w:t>
      </w:r>
      <w:r w:rsidR="00D264A8">
        <w:t xml:space="preserve">the </w:t>
      </w:r>
      <w:r w:rsidR="00D638D3" w:rsidRPr="00D8181B">
        <w:t>Inspector-General</w:t>
      </w:r>
      <w:r w:rsidR="00D638D3">
        <w:t>.</w:t>
      </w:r>
    </w:p>
    <w:p w14:paraId="44FD084E" w14:textId="5FE8ADC0" w:rsidR="00D638D3" w:rsidRDefault="00D638D3" w:rsidP="00D638D3">
      <w:pPr>
        <w:pStyle w:val="ListBullet"/>
        <w:numPr>
          <w:ilvl w:val="0"/>
          <w:numId w:val="0"/>
        </w:numPr>
      </w:pPr>
      <w:r>
        <w:t xml:space="preserve">The </w:t>
      </w:r>
      <w:r w:rsidR="0023615D">
        <w:t>Inspector-</w:t>
      </w:r>
      <w:r>
        <w:t xml:space="preserve">General’s role is to </w:t>
      </w:r>
      <w:r w:rsidRPr="00096150">
        <w:t>undertake assessment of SDL compliance</w:t>
      </w:r>
      <w:r>
        <w:t xml:space="preserve"> u</w:t>
      </w:r>
      <w:r w:rsidRPr="00096150">
        <w:t>sing information provided by the MDBA and other lines of evidence</w:t>
      </w:r>
      <w:r>
        <w:t>.</w:t>
      </w:r>
    </w:p>
    <w:p w14:paraId="3DCC6EB3" w14:textId="0BCAE450" w:rsidR="00C14D15" w:rsidRDefault="00C14D15" w:rsidP="00C14D15">
      <w:pPr>
        <w:pStyle w:val="Heading2"/>
      </w:pPr>
      <w:r>
        <w:lastRenderedPageBreak/>
        <w:t>Purpose</w:t>
      </w:r>
    </w:p>
    <w:p w14:paraId="493E7456" w14:textId="51BBAAE8" w:rsidR="00121E27" w:rsidRDefault="00121E27" w:rsidP="00C90247">
      <w:pPr>
        <w:pStyle w:val="Heading3"/>
      </w:pPr>
      <w:r>
        <w:t xml:space="preserve">What is </w:t>
      </w:r>
      <w:r w:rsidR="006F38E8">
        <w:t xml:space="preserve">the </w:t>
      </w:r>
      <w:r>
        <w:t>purpose of the SDL Compliance Framework?</w:t>
      </w:r>
    </w:p>
    <w:p w14:paraId="4E99558C" w14:textId="78CE61D6" w:rsidR="00461882" w:rsidRPr="00461882" w:rsidRDefault="00461882" w:rsidP="00461882">
      <w:r w:rsidRPr="00461882">
        <w:t>The purpose of th</w:t>
      </w:r>
      <w:r w:rsidR="00045DD9">
        <w:t>e</w:t>
      </w:r>
      <w:r w:rsidRPr="00461882">
        <w:t xml:space="preserve"> </w:t>
      </w:r>
      <w:r w:rsidR="009D418C">
        <w:t>F</w:t>
      </w:r>
      <w:r w:rsidRPr="00461882">
        <w:t>ramework is to:</w:t>
      </w:r>
    </w:p>
    <w:p w14:paraId="6B73B506" w14:textId="3A68F67B" w:rsidR="00461882" w:rsidRPr="00461882" w:rsidRDefault="00466B7E" w:rsidP="00461882">
      <w:pPr>
        <w:pStyle w:val="ListBullet"/>
      </w:pPr>
      <w:r>
        <w:t>S</w:t>
      </w:r>
      <w:r w:rsidRPr="00461882">
        <w:t xml:space="preserve">et </w:t>
      </w:r>
      <w:r w:rsidR="00461882" w:rsidRPr="00461882">
        <w:t xml:space="preserve">out the </w:t>
      </w:r>
      <w:r w:rsidR="003F74A6">
        <w:t>Inspector-General’s</w:t>
      </w:r>
      <w:r w:rsidR="003F74A6" w:rsidRPr="00461882">
        <w:t xml:space="preserve"> </w:t>
      </w:r>
      <w:r w:rsidR="00461882" w:rsidRPr="00461882">
        <w:t>role and objectives in relation to SDL compliance</w:t>
      </w:r>
      <w:r w:rsidR="001E5CE3">
        <w:t>.</w:t>
      </w:r>
    </w:p>
    <w:p w14:paraId="50F486DD" w14:textId="79AC8111" w:rsidR="00461882" w:rsidRPr="00461882" w:rsidRDefault="003F74A6" w:rsidP="00461882">
      <w:pPr>
        <w:pStyle w:val="ListBullet"/>
      </w:pPr>
      <w:r>
        <w:t>A</w:t>
      </w:r>
      <w:r w:rsidRPr="00461882">
        <w:t xml:space="preserve">rticulate </w:t>
      </w:r>
      <w:r w:rsidR="00461882" w:rsidRPr="00461882">
        <w:t xml:space="preserve">the </w:t>
      </w:r>
      <w:r>
        <w:t>Inspector-General’s</w:t>
      </w:r>
      <w:r w:rsidRPr="00461882">
        <w:t xml:space="preserve"> </w:t>
      </w:r>
      <w:r w:rsidR="00461882" w:rsidRPr="00461882">
        <w:t>expectations, requirements and approach</w:t>
      </w:r>
      <w:r w:rsidR="001E5CE3">
        <w:t>.</w:t>
      </w:r>
    </w:p>
    <w:p w14:paraId="0C6A52B8" w14:textId="04FC8E85" w:rsidR="00461882" w:rsidRDefault="00D7098B" w:rsidP="00461882">
      <w:pPr>
        <w:pStyle w:val="ListBullet"/>
      </w:pPr>
      <w:r>
        <w:t>P</w:t>
      </w:r>
      <w:r w:rsidRPr="00461882">
        <w:t xml:space="preserve">rovide </w:t>
      </w:r>
      <w:r w:rsidR="00461882" w:rsidRPr="00461882">
        <w:t>transparency and confidence about this essential function to the community</w:t>
      </w:r>
      <w:r w:rsidR="00461882">
        <w:t>.</w:t>
      </w:r>
    </w:p>
    <w:p w14:paraId="0249A400" w14:textId="53124735" w:rsidR="00B80FA8" w:rsidRDefault="006344F8" w:rsidP="005077A0">
      <w:pPr>
        <w:pStyle w:val="ListBullet"/>
        <w:numPr>
          <w:ilvl w:val="0"/>
          <w:numId w:val="0"/>
        </w:numPr>
      </w:pPr>
      <w:r>
        <w:t>SDL compliance assessment</w:t>
      </w:r>
      <w:r w:rsidR="00D74B02">
        <w:t>s</w:t>
      </w:r>
      <w:r>
        <w:t xml:space="preserve"> consider the overall management of </w:t>
      </w:r>
      <w:r w:rsidR="00D74B02">
        <w:t xml:space="preserve">take of water from both surface </w:t>
      </w:r>
      <w:r w:rsidR="00012BE8">
        <w:t xml:space="preserve">water </w:t>
      </w:r>
      <w:r w:rsidR="00D74B02">
        <w:t xml:space="preserve">and groundwater at an SDL resource unit level. </w:t>
      </w:r>
      <w:r w:rsidR="00747734">
        <w:t>They do not assess an individual water users’ compliance</w:t>
      </w:r>
      <w:r w:rsidR="005077A0">
        <w:t>.</w:t>
      </w:r>
    </w:p>
    <w:p w14:paraId="3A2A85D7" w14:textId="2E7EFD3C" w:rsidR="007935B6" w:rsidRPr="00FF5EE6" w:rsidRDefault="00121E27" w:rsidP="00C90247">
      <w:pPr>
        <w:pStyle w:val="Heading3"/>
      </w:pPr>
      <w:r w:rsidRPr="00FF5EE6">
        <w:t xml:space="preserve">What is in scope of the </w:t>
      </w:r>
      <w:r w:rsidR="00FD66D4">
        <w:t xml:space="preserve">SDL Compliance </w:t>
      </w:r>
      <w:r w:rsidR="00DC3F78">
        <w:t>F</w:t>
      </w:r>
      <w:r w:rsidRPr="00FF5EE6">
        <w:t>ramework?</w:t>
      </w:r>
    </w:p>
    <w:p w14:paraId="3D205F51" w14:textId="2244AF48" w:rsidR="005F49D0" w:rsidRPr="00FF5EE6" w:rsidRDefault="005F49D0" w:rsidP="005F49D0">
      <w:r w:rsidRPr="00FF5EE6">
        <w:t>Th</w:t>
      </w:r>
      <w:r w:rsidR="00FC3B0C" w:rsidRPr="00FF5EE6">
        <w:t>e</w:t>
      </w:r>
      <w:r w:rsidRPr="00FF5EE6">
        <w:t xml:space="preserve"> </w:t>
      </w:r>
      <w:r w:rsidR="00FD66D4">
        <w:t xml:space="preserve">SDL </w:t>
      </w:r>
      <w:r w:rsidR="00DC3F78">
        <w:t>C</w:t>
      </w:r>
      <w:r w:rsidR="00FD66D4">
        <w:t xml:space="preserve">ompliance </w:t>
      </w:r>
      <w:r w:rsidR="00DC3F78">
        <w:t>F</w:t>
      </w:r>
      <w:r w:rsidRPr="00FF5EE6">
        <w:t>ramework sets out the Inspector-General</w:t>
      </w:r>
      <w:r w:rsidR="00715912" w:rsidRPr="00FF5EE6">
        <w:t>’s</w:t>
      </w:r>
      <w:r w:rsidRPr="00FF5EE6">
        <w:t xml:space="preserve"> role and objectives in relation to ensuring compliance with the SDLs. The </w:t>
      </w:r>
      <w:r w:rsidR="009D418C">
        <w:t>F</w:t>
      </w:r>
      <w:r w:rsidRPr="00FF5EE6">
        <w:t xml:space="preserve">ramework </w:t>
      </w:r>
      <w:r w:rsidR="00A02935" w:rsidRPr="00FF5EE6">
        <w:t>outlines</w:t>
      </w:r>
      <w:r w:rsidRPr="00FF5EE6">
        <w:t xml:space="preserve"> the Inspector-General’s expectations and approach.</w:t>
      </w:r>
    </w:p>
    <w:p w14:paraId="0D1EEA93" w14:textId="5B42B142" w:rsidR="00DE087D" w:rsidRPr="00FF5EE6" w:rsidRDefault="005B2778" w:rsidP="005F49D0">
      <w:r w:rsidRPr="00FF5EE6">
        <w:t xml:space="preserve">The Inspector-General relies on the data and information provided by the MDBA and Basin States. The method for collecting </w:t>
      </w:r>
      <w:r w:rsidR="00AA4F23" w:rsidRPr="00FF5EE6">
        <w:t xml:space="preserve">this data is documented in the </w:t>
      </w:r>
      <w:hyperlink r:id="rId16" w:history="1">
        <w:r w:rsidR="0070575D">
          <w:rPr>
            <w:rStyle w:val="Hyperlink"/>
          </w:rPr>
          <w:t>Sustainable Diversion Limit Accounting and Reporting Framework (mdba.gov.au)</w:t>
        </w:r>
      </w:hyperlink>
      <w:r w:rsidR="002C0E4C">
        <w:t xml:space="preserve"> </w:t>
      </w:r>
      <w:r w:rsidR="00C44764" w:rsidRPr="00FF5EE6">
        <w:t xml:space="preserve">and the relevant </w:t>
      </w:r>
      <w:r w:rsidR="008048E5">
        <w:t>w</w:t>
      </w:r>
      <w:r w:rsidR="008048E5" w:rsidRPr="00FF5EE6">
        <w:t xml:space="preserve">ater </w:t>
      </w:r>
      <w:r w:rsidR="008048E5">
        <w:t>r</w:t>
      </w:r>
      <w:r w:rsidR="008048E5" w:rsidRPr="00FF5EE6">
        <w:t xml:space="preserve">esource </w:t>
      </w:r>
      <w:r w:rsidR="008048E5">
        <w:t>p</w:t>
      </w:r>
      <w:r w:rsidR="008048E5" w:rsidRPr="00FF5EE6">
        <w:t xml:space="preserve">lan </w:t>
      </w:r>
      <w:r w:rsidR="00C44764" w:rsidRPr="00FF5EE6">
        <w:t xml:space="preserve">for each SDL </w:t>
      </w:r>
      <w:r w:rsidR="00FD66D4">
        <w:t xml:space="preserve">resource </w:t>
      </w:r>
      <w:r w:rsidR="00875BD6" w:rsidRPr="00FF5EE6">
        <w:t>unit and</w:t>
      </w:r>
      <w:r w:rsidR="00AA4F23" w:rsidRPr="00FF5EE6">
        <w:t xml:space="preserve"> is outside of the scope </w:t>
      </w:r>
      <w:r w:rsidR="00364895">
        <w:t>of</w:t>
      </w:r>
      <w:r w:rsidR="00364895" w:rsidRPr="00FF5EE6">
        <w:t xml:space="preserve"> </w:t>
      </w:r>
      <w:r w:rsidR="00AA4F23" w:rsidRPr="00FF5EE6">
        <w:t xml:space="preserve">this </w:t>
      </w:r>
      <w:r w:rsidR="009D418C">
        <w:t>F</w:t>
      </w:r>
      <w:r w:rsidR="00AA4F23" w:rsidRPr="00FF5EE6">
        <w:t>ramework.</w:t>
      </w:r>
    </w:p>
    <w:p w14:paraId="1AB85E4E" w14:textId="417D52F2" w:rsidR="00AA4F23" w:rsidRDefault="00C44764" w:rsidP="005F49D0">
      <w:r w:rsidRPr="00FF5EE6">
        <w:t xml:space="preserve">Similarly, the amount of water </w:t>
      </w:r>
      <w:r w:rsidR="00927F66">
        <w:t>available</w:t>
      </w:r>
      <w:r w:rsidR="00927F66" w:rsidRPr="00FF5EE6">
        <w:t xml:space="preserve"> </w:t>
      </w:r>
      <w:r w:rsidRPr="00FF5EE6">
        <w:t>to be taken each year,</w:t>
      </w:r>
      <w:r w:rsidR="00FF5EE6" w:rsidRPr="00FF5EE6">
        <w:t xml:space="preserve"> </w:t>
      </w:r>
      <w:r w:rsidR="00111440" w:rsidRPr="00FF5EE6">
        <w:t xml:space="preserve">is determined using the method set out in the relevant </w:t>
      </w:r>
      <w:r w:rsidR="0050435A">
        <w:t>water resource plan</w:t>
      </w:r>
      <w:r w:rsidR="0050435A" w:rsidRPr="00FF5EE6">
        <w:t xml:space="preserve"> </w:t>
      </w:r>
      <w:r w:rsidR="00B64441" w:rsidRPr="00FF5EE6">
        <w:t xml:space="preserve">and is outside of the scope of this </w:t>
      </w:r>
      <w:r w:rsidR="009D418C">
        <w:t>F</w:t>
      </w:r>
      <w:r w:rsidR="00B64441" w:rsidRPr="00FF5EE6">
        <w:t>ramework</w:t>
      </w:r>
      <w:r w:rsidR="00111440" w:rsidRPr="00FF5EE6">
        <w:t xml:space="preserve">. </w:t>
      </w:r>
    </w:p>
    <w:p w14:paraId="116B3399" w14:textId="524ADF7B" w:rsidR="00983E10" w:rsidRDefault="00EF61DC" w:rsidP="00EF61DC">
      <w:pPr>
        <w:pStyle w:val="Heading2"/>
      </w:pPr>
      <w:r>
        <w:t>Sustainable Diversion Limit (SDL)</w:t>
      </w:r>
    </w:p>
    <w:p w14:paraId="244B5890" w14:textId="169192FD" w:rsidR="00EF61DC" w:rsidRDefault="00EF61DC" w:rsidP="00EF61DC">
      <w:pPr>
        <w:pStyle w:val="Heading3"/>
      </w:pPr>
      <w:r>
        <w:t>What is an SDL?</w:t>
      </w:r>
    </w:p>
    <w:p w14:paraId="25714A2C" w14:textId="2233FDA6" w:rsidR="00567694" w:rsidRPr="00956A40" w:rsidRDefault="00567694" w:rsidP="001948B1">
      <w:pPr>
        <w:rPr>
          <w:rStyle w:val="Hyperlink"/>
        </w:rPr>
      </w:pPr>
      <w:r>
        <w:t xml:space="preserve">Sustainable diversion limits </w:t>
      </w:r>
      <w:r w:rsidR="00B91D7D">
        <w:t xml:space="preserve">(SDLs) </w:t>
      </w:r>
      <w:r>
        <w:t xml:space="preserve">are how much water, on average, can be </w:t>
      </w:r>
      <w:r w:rsidR="00FA4AA0">
        <w:t xml:space="preserve">used in the </w:t>
      </w:r>
      <w:r w:rsidR="007737CC">
        <w:t>Murray-Darling</w:t>
      </w:r>
      <w:r w:rsidR="00FA4AA0">
        <w:t xml:space="preserve"> Basin, while keeping the rivers and environment healthy</w:t>
      </w:r>
      <w:r w:rsidR="00BD22CA">
        <w:t>. S</w:t>
      </w:r>
      <w:r w:rsidR="0075164F">
        <w:t>DLs</w:t>
      </w:r>
      <w:r w:rsidR="00AB3870">
        <w:t xml:space="preserve"> </w:t>
      </w:r>
      <w:r w:rsidR="00BD22CA">
        <w:t>are in place for 29 surface water and 80 groundwater areas</w:t>
      </w:r>
      <w:r w:rsidR="0088707F">
        <w:t xml:space="preserve"> called SDL resource units</w:t>
      </w:r>
      <w:r w:rsidR="00BD22CA">
        <w:t xml:space="preserve">. </w:t>
      </w:r>
      <w:r w:rsidR="00AD6340">
        <w:t xml:space="preserve">The SDLs regulate the total </w:t>
      </w:r>
      <w:r w:rsidR="00F44F30">
        <w:t xml:space="preserve">long-term </w:t>
      </w:r>
      <w:r w:rsidR="00AD6340">
        <w:t>average</w:t>
      </w:r>
      <w:r w:rsidR="005356DC">
        <w:t xml:space="preserve"> water use in </w:t>
      </w:r>
      <w:r w:rsidR="0088707F">
        <w:t>an SDL resource unit</w:t>
      </w:r>
      <w:r w:rsidR="005356DC">
        <w:t xml:space="preserve">, they do not regulate the water </w:t>
      </w:r>
      <w:r w:rsidR="00E95BE0">
        <w:t>taken by</w:t>
      </w:r>
      <w:r w:rsidR="005356DC">
        <w:t xml:space="preserve"> individual entitlement holders. </w:t>
      </w:r>
      <w:r w:rsidR="00465244">
        <w:t xml:space="preserve">Individual water </w:t>
      </w:r>
      <w:r w:rsidR="00E95BE0">
        <w:t xml:space="preserve">take </w:t>
      </w:r>
      <w:r w:rsidR="00465244">
        <w:t>is limited by state allocation frameworks</w:t>
      </w:r>
      <w:r w:rsidR="00E95BE0">
        <w:t xml:space="preserve"> and legislation</w:t>
      </w:r>
      <w:r w:rsidR="00465244">
        <w:t xml:space="preserve">. </w:t>
      </w:r>
      <w:r w:rsidR="00BD22CA">
        <w:t xml:space="preserve">The SDLs came into effect in 2019 and are binding on all </w:t>
      </w:r>
      <w:r w:rsidR="004E3557">
        <w:t>S</w:t>
      </w:r>
      <w:r w:rsidR="00BD22CA">
        <w:t>tates</w:t>
      </w:r>
      <w:r w:rsidR="00193362">
        <w:t xml:space="preserve"> and </w:t>
      </w:r>
      <w:r w:rsidR="004E3557">
        <w:t>T</w:t>
      </w:r>
      <w:r w:rsidR="00193362">
        <w:t>erritory</w:t>
      </w:r>
      <w:r w:rsidR="00BD22CA">
        <w:t xml:space="preserve"> in the </w:t>
      </w:r>
      <w:r w:rsidR="00E52189">
        <w:t>Basin</w:t>
      </w:r>
      <w:r w:rsidR="00BD22CA">
        <w:t xml:space="preserve">. </w:t>
      </w:r>
      <w:r w:rsidR="00FE482A">
        <w:t>Further details regarding</w:t>
      </w:r>
      <w:r w:rsidR="00797C85">
        <w:t xml:space="preserve"> information on SDLs can be found at</w:t>
      </w:r>
      <w:r w:rsidR="00B92236">
        <w:t xml:space="preserve"> </w:t>
      </w:r>
      <w:hyperlink r:id="rId17" w:history="1">
        <w:r w:rsidR="00B92236" w:rsidRPr="00956A40">
          <w:rPr>
            <w:rStyle w:val="Hyperlink"/>
          </w:rPr>
          <w:t>Sustainable diversion limits | Murray–Darling Basin Authority (mdba.gov.au)</w:t>
        </w:r>
      </w:hyperlink>
      <w:r w:rsidR="00B92236" w:rsidRPr="00956A40">
        <w:rPr>
          <w:rStyle w:val="Hyperlink"/>
        </w:rPr>
        <w:t xml:space="preserve"> </w:t>
      </w:r>
    </w:p>
    <w:p w14:paraId="191383A0" w14:textId="70C738A0" w:rsidR="00334ACA" w:rsidRDefault="00334ACA" w:rsidP="00334ACA">
      <w:pPr>
        <w:pStyle w:val="Heading2"/>
      </w:pPr>
      <w:r>
        <w:t>Data</w:t>
      </w:r>
    </w:p>
    <w:p w14:paraId="439F9834" w14:textId="70877EAC" w:rsidR="00CA06BA" w:rsidRDefault="00CA06BA" w:rsidP="00541C04">
      <w:pPr>
        <w:pStyle w:val="Heading3"/>
      </w:pPr>
      <w:r>
        <w:t>Where does the water accounting data come from?</w:t>
      </w:r>
    </w:p>
    <w:p w14:paraId="19AC4A74" w14:textId="4CE6FEDD" w:rsidR="004711C5" w:rsidRDefault="004711C5" w:rsidP="00CA06BA">
      <w:r>
        <w:t xml:space="preserve">Water account data is submitted by the Basin States as required under </w:t>
      </w:r>
      <w:r w:rsidR="00391653">
        <w:t>s</w:t>
      </w:r>
      <w:r w:rsidR="00924839">
        <w:t xml:space="preserve">ection </w:t>
      </w:r>
      <w:r>
        <w:t xml:space="preserve">71 of the </w:t>
      </w:r>
      <w:r w:rsidRPr="002817ED">
        <w:rPr>
          <w:iCs/>
        </w:rPr>
        <w:t>Water</w:t>
      </w:r>
      <w:r w:rsidRPr="004C6DFD">
        <w:rPr>
          <w:i/>
        </w:rPr>
        <w:t xml:space="preserve"> </w:t>
      </w:r>
      <w:r w:rsidRPr="002817ED">
        <w:rPr>
          <w:iCs/>
        </w:rPr>
        <w:t>Act</w:t>
      </w:r>
      <w:r>
        <w:t xml:space="preserve">. This information is due </w:t>
      </w:r>
      <w:r w:rsidR="00E701B0">
        <w:t xml:space="preserve">within </w:t>
      </w:r>
      <w:r>
        <w:t xml:space="preserve">four months after the end of the water accounting year i.e., 30 June, which means submission is due on 31 October annually. Basin States can seek an extension from the MDBA. </w:t>
      </w:r>
    </w:p>
    <w:p w14:paraId="7E28C3CD" w14:textId="337BB79D" w:rsidR="004711C5" w:rsidRDefault="004711C5" w:rsidP="00CA06BA">
      <w:r>
        <w:t xml:space="preserve">Basin States source the </w:t>
      </w:r>
      <w:r w:rsidR="00391653">
        <w:t>s</w:t>
      </w:r>
      <w:r>
        <w:t xml:space="preserve">ection 71 data from several different resources including water licensing systems, water resource monitoring </w:t>
      </w:r>
      <w:r w:rsidR="00F16857">
        <w:t xml:space="preserve">and </w:t>
      </w:r>
      <w:r>
        <w:t xml:space="preserve">gauging stations, hydrological models, and other methods </w:t>
      </w:r>
      <w:r w:rsidR="00924839">
        <w:t xml:space="preserve">as </w:t>
      </w:r>
      <w:r>
        <w:t xml:space="preserve">necessary. </w:t>
      </w:r>
    </w:p>
    <w:p w14:paraId="6AF66F73" w14:textId="286FF739" w:rsidR="00CA06BA" w:rsidRDefault="004711C5" w:rsidP="00CA06BA">
      <w:r>
        <w:t xml:space="preserve">When submitting the </w:t>
      </w:r>
      <w:r w:rsidR="00391653">
        <w:t>s</w:t>
      </w:r>
      <w:r>
        <w:t xml:space="preserve">ection 71 data, Basin States provide a declaration of accuracy of the data. The MDBA then undertakes a quality assurance check on the data and collates the information </w:t>
      </w:r>
      <w:r w:rsidR="0080154A">
        <w:t xml:space="preserve">into </w:t>
      </w:r>
      <w:r>
        <w:t xml:space="preserve">the Registers of </w:t>
      </w:r>
      <w:r w:rsidR="009E478B">
        <w:t>Take</w:t>
      </w:r>
      <w:r>
        <w:t>.</w:t>
      </w:r>
    </w:p>
    <w:p w14:paraId="1E157B01" w14:textId="1DD9B273" w:rsidR="00541C04" w:rsidRDefault="00541C04" w:rsidP="00541C04">
      <w:pPr>
        <w:pStyle w:val="Heading3"/>
      </w:pPr>
      <w:r>
        <w:lastRenderedPageBreak/>
        <w:t>What information is used to assess compliance?</w:t>
      </w:r>
    </w:p>
    <w:p w14:paraId="1423BD93" w14:textId="7E1AC1E5" w:rsidR="0033358F" w:rsidRDefault="00BE2B31" w:rsidP="00BE2B31">
      <w:r>
        <w:t xml:space="preserve">Given the complexity of </w:t>
      </w:r>
      <w:r w:rsidR="009F333C">
        <w:t xml:space="preserve">managing </w:t>
      </w:r>
      <w:r>
        <w:t xml:space="preserve">SDLs, the Inspector-General will </w:t>
      </w:r>
      <w:r w:rsidR="002E1C52">
        <w:t>use</w:t>
      </w:r>
      <w:r>
        <w:t xml:space="preserve"> multiple lines of evidence </w:t>
      </w:r>
      <w:r w:rsidR="002E1C52">
        <w:t>to assess</w:t>
      </w:r>
      <w:r>
        <w:t xml:space="preserve"> SDL compliance.</w:t>
      </w:r>
      <w:r w:rsidR="00FD6EE3">
        <w:t xml:space="preserve"> A number of lines of evidence are </w:t>
      </w:r>
      <w:r w:rsidR="00D25AF3">
        <w:t>established in the Water Act and Basin Plan</w:t>
      </w:r>
      <w:r w:rsidR="008D7309">
        <w:t>, and the Inspector-General may also seek additional lines of evidence</w:t>
      </w:r>
      <w:r w:rsidR="00D25AF3">
        <w:t xml:space="preserve">. </w:t>
      </w:r>
      <w:r w:rsidR="00B26F45">
        <w:t xml:space="preserve">The </w:t>
      </w:r>
      <w:r w:rsidR="00CA4A83">
        <w:t>F</w:t>
      </w:r>
      <w:r w:rsidR="00B26F45">
        <w:t>ramework provides a</w:t>
      </w:r>
      <w:r w:rsidR="006B7F92">
        <w:t>n indicative</w:t>
      </w:r>
      <w:r w:rsidR="00B26F45">
        <w:t xml:space="preserve"> list of possible lines of evidence that the Inspector-General will </w:t>
      </w:r>
      <w:r w:rsidR="008A32DA">
        <w:t>use to assess compliance, however it is the responsibility of the Basin States to provide enough evidence to support their claims.</w:t>
      </w:r>
    </w:p>
    <w:p w14:paraId="36B0CCD8" w14:textId="17118AC9" w:rsidR="00CB5615" w:rsidRDefault="00334ACA" w:rsidP="00334ACA">
      <w:pPr>
        <w:pStyle w:val="Heading2"/>
      </w:pPr>
      <w:r>
        <w:t>Compliance</w:t>
      </w:r>
    </w:p>
    <w:p w14:paraId="7FE3E3D6" w14:textId="77777777" w:rsidR="00334ACA" w:rsidRDefault="00334ACA" w:rsidP="00334ACA">
      <w:pPr>
        <w:pStyle w:val="Heading3"/>
      </w:pPr>
      <w:r>
        <w:t>How is SDL compliance assessed?</w:t>
      </w:r>
    </w:p>
    <w:p w14:paraId="64A882E0" w14:textId="77777777" w:rsidR="00334ACA" w:rsidRDefault="00334ACA" w:rsidP="00334ACA">
      <w:pPr>
        <w:pStyle w:val="paragraph"/>
        <w:spacing w:before="0" w:beforeAutospacing="0" w:after="0" w:afterAutospacing="0"/>
        <w:textAlignment w:val="baseline"/>
        <w:rPr>
          <w:rFonts w:ascii="Verdana" w:eastAsia="Calibri" w:hAnsi="Verdana"/>
          <w:sz w:val="20"/>
          <w:szCs w:val="22"/>
          <w:lang w:eastAsia="en-US"/>
        </w:rPr>
      </w:pPr>
      <w:r w:rsidRPr="005E7E43">
        <w:rPr>
          <w:rFonts w:ascii="Verdana" w:eastAsia="Calibri" w:hAnsi="Verdana"/>
          <w:sz w:val="20"/>
          <w:szCs w:val="22"/>
          <w:lang w:eastAsia="en-US"/>
        </w:rPr>
        <w:t>The Inspector-General’s</w:t>
      </w:r>
      <w:r>
        <w:rPr>
          <w:rFonts w:ascii="Verdana" w:eastAsia="Calibri" w:hAnsi="Verdana"/>
          <w:sz w:val="20"/>
          <w:szCs w:val="22"/>
          <w:lang w:eastAsia="en-US"/>
        </w:rPr>
        <w:t xml:space="preserve"> assessment of SDL compliance is based on information provided by the MDBA and the Basin States. </w:t>
      </w:r>
    </w:p>
    <w:p w14:paraId="2FB1A836" w14:textId="77777777" w:rsidR="00334ACA" w:rsidRDefault="00334ACA" w:rsidP="00334ACA">
      <w:pPr>
        <w:pStyle w:val="paragraph"/>
        <w:spacing w:before="0" w:beforeAutospacing="0" w:after="0" w:afterAutospacing="0"/>
        <w:textAlignment w:val="baseline"/>
        <w:rPr>
          <w:rFonts w:ascii="Verdana" w:eastAsia="Calibri" w:hAnsi="Verdana"/>
          <w:sz w:val="20"/>
          <w:szCs w:val="22"/>
          <w:lang w:eastAsia="en-US"/>
        </w:rPr>
      </w:pPr>
    </w:p>
    <w:p w14:paraId="4D8EFB7B" w14:textId="41DC49E9" w:rsidR="00334ACA" w:rsidRDefault="00334ACA" w:rsidP="00334ACA">
      <w:pPr>
        <w:pStyle w:val="paragraph"/>
        <w:spacing w:before="0" w:beforeAutospacing="0" w:after="0" w:afterAutospacing="0"/>
        <w:textAlignment w:val="baseline"/>
        <w:rPr>
          <w:rFonts w:ascii="Verdana" w:eastAsia="Calibri" w:hAnsi="Verdana"/>
          <w:sz w:val="20"/>
          <w:szCs w:val="22"/>
          <w:lang w:eastAsia="en-US"/>
        </w:rPr>
      </w:pPr>
      <w:r>
        <w:rPr>
          <w:rFonts w:ascii="Verdana" w:eastAsia="Calibri" w:hAnsi="Verdana"/>
          <w:sz w:val="20"/>
          <w:szCs w:val="22"/>
          <w:lang w:eastAsia="en-US"/>
        </w:rPr>
        <w:t>The</w:t>
      </w:r>
      <w:r w:rsidRPr="005E7E43">
        <w:rPr>
          <w:rFonts w:ascii="Verdana" w:eastAsia="Calibri" w:hAnsi="Verdana"/>
          <w:sz w:val="20"/>
          <w:szCs w:val="22"/>
          <w:lang w:eastAsia="en-US"/>
        </w:rPr>
        <w:t xml:space="preserve"> Basin States </w:t>
      </w:r>
      <w:r>
        <w:rPr>
          <w:rFonts w:ascii="Verdana" w:eastAsia="Calibri" w:hAnsi="Verdana"/>
          <w:sz w:val="20"/>
          <w:szCs w:val="22"/>
          <w:lang w:eastAsia="en-US"/>
        </w:rPr>
        <w:t>must</w:t>
      </w:r>
      <w:r w:rsidRPr="005E7E43">
        <w:rPr>
          <w:rFonts w:ascii="Verdana" w:eastAsia="Calibri" w:hAnsi="Verdana"/>
          <w:sz w:val="20"/>
          <w:szCs w:val="22"/>
          <w:lang w:eastAsia="en-US"/>
        </w:rPr>
        <w:t xml:space="preserve"> report on permitted and actual take</w:t>
      </w:r>
      <w:r>
        <w:rPr>
          <w:rFonts w:ascii="Verdana" w:eastAsia="Calibri" w:hAnsi="Verdana"/>
          <w:sz w:val="20"/>
          <w:szCs w:val="22"/>
          <w:lang w:eastAsia="en-US"/>
        </w:rPr>
        <w:t xml:space="preserve"> for each SDL </w:t>
      </w:r>
      <w:r w:rsidR="0027081F">
        <w:rPr>
          <w:rFonts w:ascii="Verdana" w:eastAsia="Calibri" w:hAnsi="Verdana"/>
          <w:sz w:val="20"/>
          <w:szCs w:val="22"/>
          <w:lang w:eastAsia="en-US"/>
        </w:rPr>
        <w:t xml:space="preserve">resource </w:t>
      </w:r>
      <w:r>
        <w:rPr>
          <w:rFonts w:ascii="Verdana" w:eastAsia="Calibri" w:hAnsi="Verdana"/>
          <w:sz w:val="20"/>
          <w:szCs w:val="22"/>
          <w:lang w:eastAsia="en-US"/>
        </w:rPr>
        <w:t xml:space="preserve">unit </w:t>
      </w:r>
      <w:r w:rsidRPr="005E7E43">
        <w:rPr>
          <w:rFonts w:ascii="Verdana" w:eastAsia="Calibri" w:hAnsi="Verdana"/>
          <w:sz w:val="20"/>
          <w:szCs w:val="22"/>
          <w:lang w:eastAsia="en-US"/>
        </w:rPr>
        <w:t xml:space="preserve">to the MDBA within 4 months after the end of </w:t>
      </w:r>
      <w:r w:rsidR="0068207C">
        <w:rPr>
          <w:rFonts w:ascii="Verdana" w:eastAsia="Calibri" w:hAnsi="Verdana"/>
          <w:sz w:val="20"/>
          <w:szCs w:val="22"/>
          <w:lang w:eastAsia="en-US"/>
        </w:rPr>
        <w:t>a</w:t>
      </w:r>
      <w:r w:rsidR="0068207C" w:rsidRPr="005E7E43">
        <w:rPr>
          <w:rFonts w:ascii="Verdana" w:eastAsia="Calibri" w:hAnsi="Verdana"/>
          <w:sz w:val="20"/>
          <w:szCs w:val="22"/>
          <w:lang w:eastAsia="en-US"/>
        </w:rPr>
        <w:t xml:space="preserve"> </w:t>
      </w:r>
      <w:r w:rsidRPr="005E7E43">
        <w:rPr>
          <w:rFonts w:ascii="Verdana" w:eastAsia="Calibri" w:hAnsi="Verdana"/>
          <w:sz w:val="20"/>
          <w:szCs w:val="22"/>
          <w:lang w:eastAsia="en-US"/>
        </w:rPr>
        <w:t>water accounting period</w:t>
      </w:r>
      <w:r>
        <w:rPr>
          <w:rFonts w:ascii="Verdana" w:eastAsia="Calibri" w:hAnsi="Verdana"/>
          <w:sz w:val="20"/>
          <w:szCs w:val="22"/>
          <w:lang w:eastAsia="en-US"/>
        </w:rPr>
        <w:t xml:space="preserve"> (30 June). The MDBA then reviews and checks the information </w:t>
      </w:r>
      <w:r w:rsidR="00CC033F">
        <w:rPr>
          <w:rFonts w:ascii="Verdana" w:eastAsia="Calibri" w:hAnsi="Verdana"/>
          <w:sz w:val="20"/>
          <w:szCs w:val="22"/>
          <w:lang w:eastAsia="en-US"/>
        </w:rPr>
        <w:t>received</w:t>
      </w:r>
      <w:r w:rsidR="004149C8">
        <w:rPr>
          <w:rFonts w:ascii="Verdana" w:eastAsia="Calibri" w:hAnsi="Verdana"/>
          <w:sz w:val="20"/>
          <w:szCs w:val="22"/>
          <w:lang w:eastAsia="en-US"/>
        </w:rPr>
        <w:t xml:space="preserve"> </w:t>
      </w:r>
      <w:r>
        <w:rPr>
          <w:rFonts w:ascii="Verdana" w:eastAsia="Calibri" w:hAnsi="Verdana"/>
          <w:sz w:val="20"/>
          <w:szCs w:val="22"/>
          <w:lang w:eastAsia="en-US"/>
        </w:rPr>
        <w:t xml:space="preserve">and meets with the relevant </w:t>
      </w:r>
      <w:r w:rsidR="00586AFC">
        <w:rPr>
          <w:rFonts w:ascii="Verdana" w:eastAsia="Calibri" w:hAnsi="Verdana"/>
          <w:sz w:val="20"/>
          <w:szCs w:val="22"/>
          <w:lang w:eastAsia="en-US"/>
        </w:rPr>
        <w:t>S</w:t>
      </w:r>
      <w:r>
        <w:rPr>
          <w:rFonts w:ascii="Verdana" w:eastAsia="Calibri" w:hAnsi="Verdana"/>
          <w:sz w:val="20"/>
          <w:szCs w:val="22"/>
          <w:lang w:eastAsia="en-US"/>
        </w:rPr>
        <w:t xml:space="preserve">tate agencies to confirm their findings. The MDBA </w:t>
      </w:r>
      <w:r w:rsidR="00446935">
        <w:rPr>
          <w:rFonts w:ascii="Verdana" w:eastAsia="Calibri" w:hAnsi="Verdana"/>
          <w:sz w:val="20"/>
          <w:szCs w:val="22"/>
          <w:lang w:eastAsia="en-US"/>
        </w:rPr>
        <w:t>collates the Registers of Ta</w:t>
      </w:r>
      <w:r w:rsidR="00DB544B">
        <w:rPr>
          <w:rFonts w:ascii="Verdana" w:eastAsia="Calibri" w:hAnsi="Verdana"/>
          <w:sz w:val="20"/>
          <w:szCs w:val="22"/>
          <w:lang w:eastAsia="en-US"/>
        </w:rPr>
        <w:t xml:space="preserve">ke </w:t>
      </w:r>
      <w:r w:rsidR="00727FF3">
        <w:rPr>
          <w:rFonts w:ascii="Verdana" w:eastAsia="Calibri" w:hAnsi="Verdana"/>
          <w:sz w:val="20"/>
          <w:szCs w:val="22"/>
          <w:lang w:eastAsia="en-US"/>
        </w:rPr>
        <w:t>and provides</w:t>
      </w:r>
      <w:r>
        <w:rPr>
          <w:rFonts w:ascii="Verdana" w:eastAsia="Calibri" w:hAnsi="Verdana"/>
          <w:sz w:val="20"/>
          <w:szCs w:val="22"/>
          <w:lang w:eastAsia="en-US"/>
        </w:rPr>
        <w:t xml:space="preserve"> the compliance data and documentation to the </w:t>
      </w:r>
      <w:r w:rsidR="00F63F60" w:rsidRPr="005E7E43">
        <w:rPr>
          <w:rFonts w:ascii="Verdana" w:eastAsia="Calibri" w:hAnsi="Verdana"/>
          <w:sz w:val="20"/>
          <w:szCs w:val="22"/>
          <w:lang w:eastAsia="en-US"/>
        </w:rPr>
        <w:t>Inspector-General</w:t>
      </w:r>
      <w:r w:rsidR="00F63F60">
        <w:rPr>
          <w:rFonts w:ascii="Verdana" w:eastAsia="Calibri" w:hAnsi="Verdana"/>
          <w:sz w:val="20"/>
          <w:szCs w:val="22"/>
          <w:lang w:eastAsia="en-US"/>
        </w:rPr>
        <w:t xml:space="preserve"> </w:t>
      </w:r>
      <w:r>
        <w:rPr>
          <w:rFonts w:ascii="Verdana" w:eastAsia="Calibri" w:hAnsi="Verdana"/>
          <w:sz w:val="20"/>
          <w:szCs w:val="22"/>
          <w:lang w:eastAsia="en-US"/>
        </w:rPr>
        <w:t>in March</w:t>
      </w:r>
      <w:r w:rsidR="000C27CA">
        <w:rPr>
          <w:rFonts w:ascii="Verdana" w:eastAsia="Calibri" w:hAnsi="Verdana"/>
          <w:sz w:val="20"/>
          <w:szCs w:val="22"/>
          <w:lang w:eastAsia="en-US"/>
        </w:rPr>
        <w:t xml:space="preserve"> each year</w:t>
      </w:r>
      <w:r w:rsidR="00DB7938">
        <w:rPr>
          <w:rFonts w:ascii="Verdana" w:eastAsia="Calibri" w:hAnsi="Verdana"/>
          <w:sz w:val="20"/>
          <w:szCs w:val="22"/>
          <w:lang w:eastAsia="en-US"/>
        </w:rPr>
        <w:t>.</w:t>
      </w:r>
    </w:p>
    <w:p w14:paraId="01526BB0" w14:textId="77777777" w:rsidR="00334ACA" w:rsidRDefault="00334ACA" w:rsidP="00334ACA">
      <w:pPr>
        <w:pStyle w:val="paragraph"/>
        <w:spacing w:before="0" w:beforeAutospacing="0" w:after="0" w:afterAutospacing="0"/>
        <w:textAlignment w:val="baseline"/>
        <w:rPr>
          <w:rFonts w:ascii="Verdana" w:eastAsia="Calibri" w:hAnsi="Verdana"/>
          <w:sz w:val="20"/>
          <w:szCs w:val="22"/>
          <w:lang w:eastAsia="en-US"/>
        </w:rPr>
      </w:pPr>
    </w:p>
    <w:p w14:paraId="51F9F5C9" w14:textId="0C38A98B" w:rsidR="00334ACA" w:rsidRDefault="00334ACA" w:rsidP="00334ACA">
      <w:pPr>
        <w:pStyle w:val="paragraph"/>
        <w:spacing w:before="0" w:beforeAutospacing="0" w:after="0" w:afterAutospacing="0"/>
        <w:textAlignment w:val="baseline"/>
        <w:rPr>
          <w:rFonts w:ascii="Verdana" w:eastAsia="Calibri" w:hAnsi="Verdana"/>
          <w:sz w:val="20"/>
          <w:szCs w:val="22"/>
          <w:lang w:eastAsia="en-US"/>
        </w:rPr>
      </w:pPr>
      <w:r>
        <w:rPr>
          <w:rFonts w:ascii="Verdana" w:eastAsia="Calibri" w:hAnsi="Verdana"/>
          <w:sz w:val="20"/>
          <w:szCs w:val="22"/>
          <w:lang w:eastAsia="en-US"/>
        </w:rPr>
        <w:t>The Inspector-General will then assess SDL compliance, including claims of reasonable excuse and action plan</w:t>
      </w:r>
      <w:r w:rsidR="00367628">
        <w:rPr>
          <w:rFonts w:ascii="Verdana" w:eastAsia="Calibri" w:hAnsi="Verdana"/>
          <w:sz w:val="20"/>
          <w:szCs w:val="22"/>
          <w:lang w:eastAsia="en-US"/>
        </w:rPr>
        <w:t>s</w:t>
      </w:r>
      <w:r>
        <w:rPr>
          <w:rFonts w:ascii="Verdana" w:eastAsia="Calibri" w:hAnsi="Verdana"/>
          <w:sz w:val="20"/>
          <w:szCs w:val="22"/>
          <w:lang w:eastAsia="en-US"/>
        </w:rPr>
        <w:t xml:space="preserve">, by applying the approach laid out in the Framework. </w:t>
      </w:r>
    </w:p>
    <w:p w14:paraId="7D56F85C" w14:textId="77777777" w:rsidR="00334ACA" w:rsidRDefault="00334ACA" w:rsidP="00334ACA">
      <w:pPr>
        <w:pStyle w:val="paragraph"/>
        <w:spacing w:before="0" w:beforeAutospacing="0" w:after="0" w:afterAutospacing="0"/>
        <w:textAlignment w:val="baseline"/>
        <w:rPr>
          <w:rFonts w:ascii="Verdana" w:eastAsia="Calibri" w:hAnsi="Verdana"/>
          <w:sz w:val="20"/>
          <w:szCs w:val="22"/>
          <w:lang w:eastAsia="en-US"/>
        </w:rPr>
      </w:pPr>
    </w:p>
    <w:p w14:paraId="0C82CCA6" w14:textId="1CBA7E6F" w:rsidR="00334ACA" w:rsidRDefault="00334ACA" w:rsidP="00334ACA">
      <w:pPr>
        <w:pStyle w:val="paragraph"/>
        <w:spacing w:before="0" w:beforeAutospacing="0" w:after="0" w:afterAutospacing="0"/>
        <w:textAlignment w:val="baseline"/>
        <w:rPr>
          <w:rFonts w:ascii="Verdana" w:eastAsia="Calibri" w:hAnsi="Verdana"/>
          <w:sz w:val="20"/>
          <w:szCs w:val="22"/>
          <w:lang w:eastAsia="en-US"/>
        </w:rPr>
      </w:pPr>
      <w:r>
        <w:rPr>
          <w:rFonts w:ascii="Verdana" w:eastAsia="Calibri" w:hAnsi="Verdana"/>
          <w:sz w:val="20"/>
          <w:szCs w:val="22"/>
          <w:lang w:eastAsia="en-US"/>
        </w:rPr>
        <w:t>The Inspector-General will publish the outcomes of each annual compliance assessment</w:t>
      </w:r>
      <w:r w:rsidR="007A3751">
        <w:rPr>
          <w:rFonts w:ascii="Verdana" w:eastAsia="Calibri" w:hAnsi="Verdana"/>
          <w:sz w:val="20"/>
          <w:szCs w:val="22"/>
          <w:lang w:eastAsia="en-US"/>
        </w:rPr>
        <w:t xml:space="preserve">, through </w:t>
      </w:r>
      <w:r w:rsidR="00F02C48">
        <w:rPr>
          <w:rFonts w:ascii="Verdana" w:eastAsia="Calibri" w:hAnsi="Verdana"/>
          <w:sz w:val="20"/>
          <w:szCs w:val="22"/>
          <w:lang w:eastAsia="en-US"/>
        </w:rPr>
        <w:t>the SDL Compliance Statement</w:t>
      </w:r>
      <w:r>
        <w:rPr>
          <w:rFonts w:ascii="Verdana" w:eastAsia="Calibri" w:hAnsi="Verdana"/>
          <w:sz w:val="20"/>
          <w:szCs w:val="22"/>
          <w:lang w:eastAsia="en-US"/>
        </w:rPr>
        <w:t xml:space="preserve"> on their website.</w:t>
      </w:r>
    </w:p>
    <w:p w14:paraId="5470628A" w14:textId="77777777" w:rsidR="008A2A62" w:rsidRDefault="008A2A62" w:rsidP="008A2A62">
      <w:pPr>
        <w:pStyle w:val="Heading3"/>
      </w:pPr>
      <w:r>
        <w:t>What is the difference between excess and exceedance?</w:t>
      </w:r>
    </w:p>
    <w:p w14:paraId="768124AB" w14:textId="77777777" w:rsidR="008A2A62" w:rsidRDefault="008A2A62" w:rsidP="008A2A62">
      <w:r>
        <w:t xml:space="preserve">The term ‘excess’ has a specific meaning in the Basin Plan. </w:t>
      </w:r>
    </w:p>
    <w:p w14:paraId="53689A79" w14:textId="57873B16" w:rsidR="008A2A62" w:rsidRDefault="008A2A62" w:rsidP="008A2A62">
      <w:r>
        <w:t xml:space="preserve">For surface water SDL resource units, each year the actual take is subtracted from the permitted </w:t>
      </w:r>
      <w:r w:rsidRPr="00AC5D7D">
        <w:t xml:space="preserve">take to generate a debit (where actual take is more than permitted take) or a credit (where actual take is less than permitted take). Over time, these debits and credits generate a </w:t>
      </w:r>
      <w:r w:rsidRPr="002939D1">
        <w:t>cumulative balance</w:t>
      </w:r>
      <w:r w:rsidRPr="00AC5D7D">
        <w:t xml:space="preserve">. An excess occurs when the </w:t>
      </w:r>
      <w:r w:rsidRPr="002939D1">
        <w:t>cumulative balance</w:t>
      </w:r>
      <w:r w:rsidRPr="00AC5D7D">
        <w:t xml:space="preserve"> on</w:t>
      </w:r>
      <w:r w:rsidRPr="00C60AC3">
        <w:t xml:space="preserve"> </w:t>
      </w:r>
      <w:r>
        <w:t>the relevant</w:t>
      </w:r>
      <w:r w:rsidRPr="00C60AC3">
        <w:t xml:space="preserve"> Register </w:t>
      </w:r>
      <w:r w:rsidR="005742FF">
        <w:t>of Take</w:t>
      </w:r>
      <w:r w:rsidRPr="00C60AC3">
        <w:t xml:space="preserve"> is a debit amount equal to or greater than 20% of the SDL</w:t>
      </w:r>
      <w:r w:rsidR="001E0F90">
        <w:t xml:space="preserve"> (the SDL compliance threshold)</w:t>
      </w:r>
      <w:r>
        <w:t>.</w:t>
      </w:r>
    </w:p>
    <w:p w14:paraId="6EFAF297" w14:textId="239078EF" w:rsidR="008A2A62" w:rsidRDefault="008A2A62" w:rsidP="008A2A62">
      <w:r>
        <w:t xml:space="preserve">An example cumulative balance showing exceedance and excess is shown in </w:t>
      </w:r>
      <w:r>
        <w:fldChar w:fldCharType="begin"/>
      </w:r>
      <w:r>
        <w:instrText xml:space="preserve"> REF _Ref140592456 \h </w:instrText>
      </w:r>
      <w:r>
        <w:fldChar w:fldCharType="separate"/>
      </w:r>
      <w:r w:rsidR="00BD51BC">
        <w:t xml:space="preserve">Figure </w:t>
      </w:r>
      <w:r w:rsidR="00BD51BC">
        <w:rPr>
          <w:noProof/>
        </w:rPr>
        <w:t>1</w:t>
      </w:r>
      <w:r>
        <w:fldChar w:fldCharType="end"/>
      </w:r>
      <w:r w:rsidR="007461AF">
        <w:t>.</w:t>
      </w:r>
    </w:p>
    <w:p w14:paraId="2C397482" w14:textId="2107DBDB" w:rsidR="008A2A62" w:rsidRDefault="008A2A62" w:rsidP="002939D1">
      <w:pPr>
        <w:keepNext/>
        <w:keepLines/>
      </w:pPr>
      <w:r>
        <w:lastRenderedPageBreak/>
        <w:t> </w:t>
      </w:r>
      <w:r w:rsidR="00707D7F">
        <w:rPr>
          <w:noProof/>
        </w:rPr>
        <w:drawing>
          <wp:inline distT="0" distB="0" distL="0" distR="0" wp14:anchorId="4735C71D" wp14:editId="033E30DA">
            <wp:extent cx="5707256" cy="4238046"/>
            <wp:effectExtent l="0" t="0" r="8255" b="0"/>
            <wp:docPr id="11032154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0005" cy="4269790"/>
                    </a:xfrm>
                    <a:prstGeom prst="rect">
                      <a:avLst/>
                    </a:prstGeom>
                    <a:noFill/>
                  </pic:spPr>
                </pic:pic>
              </a:graphicData>
            </a:graphic>
          </wp:inline>
        </w:drawing>
      </w:r>
    </w:p>
    <w:p w14:paraId="33375733" w14:textId="7E5521B9" w:rsidR="008A2A62" w:rsidRDefault="008A2A62" w:rsidP="002939D1">
      <w:pPr>
        <w:pStyle w:val="Caption"/>
        <w:keepNext/>
        <w:keepLines/>
      </w:pPr>
      <w:bookmarkStart w:id="0" w:name="_Ref140592456"/>
      <w:r>
        <w:t xml:space="preserve">Figure </w:t>
      </w:r>
      <w:r w:rsidR="009E05B8">
        <w:fldChar w:fldCharType="begin"/>
      </w:r>
      <w:r w:rsidR="009E05B8">
        <w:instrText xml:space="preserve"> SEQ Figure \* ARABIC </w:instrText>
      </w:r>
      <w:r w:rsidR="009E05B8">
        <w:fldChar w:fldCharType="separate"/>
      </w:r>
      <w:r w:rsidR="00BD51BC">
        <w:rPr>
          <w:noProof/>
        </w:rPr>
        <w:t>1</w:t>
      </w:r>
      <w:r w:rsidR="009E05B8">
        <w:rPr>
          <w:noProof/>
        </w:rPr>
        <w:fldChar w:fldCharType="end"/>
      </w:r>
      <w:bookmarkEnd w:id="0"/>
      <w:r>
        <w:t xml:space="preserve"> </w:t>
      </w:r>
      <w:r w:rsidR="00E85CB7">
        <w:t xml:space="preserve">A hypothetical </w:t>
      </w:r>
      <w:r>
        <w:t xml:space="preserve">example cumulative balance for a surface water SDL </w:t>
      </w:r>
      <w:r w:rsidR="00B07F8F">
        <w:t xml:space="preserve">resource </w:t>
      </w:r>
      <w:r>
        <w:t xml:space="preserve">unit (the </w:t>
      </w:r>
      <w:r w:rsidR="00EE4668">
        <w:t>blue</w:t>
      </w:r>
      <w:r>
        <w:t xml:space="preserve"> solid line represents cumulative balance)</w:t>
      </w:r>
    </w:p>
    <w:p w14:paraId="6D190D4D" w14:textId="3FD35CC7" w:rsidR="008A2A62" w:rsidRDefault="008A2A62" w:rsidP="008A2A62">
      <w:r>
        <w:t xml:space="preserve">For </w:t>
      </w:r>
      <w:r w:rsidRPr="002939D1">
        <w:rPr>
          <w:bCs/>
        </w:rPr>
        <w:t>groundwater</w:t>
      </w:r>
      <w:r w:rsidRPr="001A4624">
        <w:rPr>
          <w:bCs/>
        </w:rPr>
        <w:t xml:space="preserve"> </w:t>
      </w:r>
      <w:r>
        <w:t xml:space="preserve">SDL resource units, in any accounting period up to 2028, an excess occurs when the sum of actual take for all years since 2019 is greater than the sum of permitted take for those years, plus 20%. This method will change in 2028, </w:t>
      </w:r>
      <w:r w:rsidR="00AF1814">
        <w:t xml:space="preserve">after which an excess occurs </w:t>
      </w:r>
      <w:r>
        <w:t xml:space="preserve">when </w:t>
      </w:r>
      <w:r w:rsidR="00AF1814">
        <w:t xml:space="preserve">the </w:t>
      </w:r>
      <w:r>
        <w:t xml:space="preserve">average annual take over the previous 10 years </w:t>
      </w:r>
      <w:r w:rsidR="00AF1814">
        <w:t xml:space="preserve">exceeds the average permitted take </w:t>
      </w:r>
      <w:r w:rsidR="000E67F2">
        <w:t>over the previous 10 years</w:t>
      </w:r>
      <w:r>
        <w:t xml:space="preserve">. </w:t>
      </w:r>
      <w:r>
        <w:fldChar w:fldCharType="begin"/>
      </w:r>
      <w:r>
        <w:instrText xml:space="preserve"> REF _Ref140592478 \h </w:instrText>
      </w:r>
      <w:r>
        <w:fldChar w:fldCharType="separate"/>
      </w:r>
      <w:r w:rsidR="00BD51BC" w:rsidRPr="001F2316">
        <w:rPr>
          <w:i/>
          <w:iCs/>
          <w:sz w:val="18"/>
          <w:szCs w:val="18"/>
        </w:rPr>
        <w:t xml:space="preserve">Figure </w:t>
      </w:r>
      <w:r w:rsidR="00BD51BC">
        <w:rPr>
          <w:i/>
          <w:iCs/>
          <w:noProof/>
          <w:sz w:val="18"/>
          <w:szCs w:val="18"/>
        </w:rPr>
        <w:t>2</w:t>
      </w:r>
      <w:r>
        <w:fldChar w:fldCharType="end"/>
      </w:r>
      <w:r>
        <w:t xml:space="preserve"> shows </w:t>
      </w:r>
      <w:r w:rsidR="00AA4331">
        <w:t xml:space="preserve">an </w:t>
      </w:r>
      <w:r>
        <w:t xml:space="preserve">example of </w:t>
      </w:r>
      <w:r w:rsidR="00AA4331">
        <w:t>a</w:t>
      </w:r>
      <w:r>
        <w:t xml:space="preserve"> groundwater SDL </w:t>
      </w:r>
      <w:r w:rsidR="00B07F8F">
        <w:t xml:space="preserve">resource </w:t>
      </w:r>
      <w:r>
        <w:t>unit in exceedance and excess</w:t>
      </w:r>
      <w:r w:rsidR="000E67F2">
        <w:t xml:space="preserve"> prior to 2028</w:t>
      </w:r>
      <w:r>
        <w:t>.</w:t>
      </w:r>
    </w:p>
    <w:p w14:paraId="752031A4" w14:textId="62745E85" w:rsidR="008A2A62" w:rsidRDefault="00B06B7F" w:rsidP="008A2A62">
      <w:r>
        <w:rPr>
          <w:noProof/>
        </w:rPr>
        <w:lastRenderedPageBreak/>
        <w:drawing>
          <wp:inline distT="0" distB="0" distL="0" distR="0" wp14:anchorId="76F48FCE" wp14:editId="3E79B837">
            <wp:extent cx="6104853" cy="3986343"/>
            <wp:effectExtent l="0" t="0" r="0" b="0"/>
            <wp:docPr id="17588114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1368" cy="3997127"/>
                    </a:xfrm>
                    <a:prstGeom prst="rect">
                      <a:avLst/>
                    </a:prstGeom>
                    <a:noFill/>
                  </pic:spPr>
                </pic:pic>
              </a:graphicData>
            </a:graphic>
          </wp:inline>
        </w:drawing>
      </w:r>
    </w:p>
    <w:p w14:paraId="50FA99BC" w14:textId="703DA529" w:rsidR="008A2A62" w:rsidRPr="001F2316" w:rsidRDefault="008A2A62" w:rsidP="006C45AB">
      <w:pPr>
        <w:keepNext/>
        <w:rPr>
          <w:i/>
          <w:iCs/>
          <w:sz w:val="18"/>
          <w:szCs w:val="18"/>
        </w:rPr>
      </w:pPr>
      <w:bookmarkStart w:id="1" w:name="_Ref140592478"/>
      <w:r w:rsidRPr="001F2316">
        <w:rPr>
          <w:i/>
          <w:iCs/>
          <w:sz w:val="18"/>
          <w:szCs w:val="18"/>
        </w:rPr>
        <w:t xml:space="preserve">Figure </w:t>
      </w:r>
      <w:r w:rsidR="008D395C" w:rsidRPr="001F2316">
        <w:rPr>
          <w:i/>
          <w:iCs/>
          <w:sz w:val="18"/>
          <w:szCs w:val="18"/>
        </w:rPr>
        <w:fldChar w:fldCharType="begin"/>
      </w:r>
      <w:r w:rsidR="008D395C" w:rsidRPr="001F2316">
        <w:rPr>
          <w:i/>
          <w:iCs/>
          <w:sz w:val="18"/>
          <w:szCs w:val="18"/>
        </w:rPr>
        <w:instrText xml:space="preserve"> SEQ Figure \* ARABIC </w:instrText>
      </w:r>
      <w:r w:rsidR="008D395C" w:rsidRPr="001F2316">
        <w:rPr>
          <w:i/>
          <w:iCs/>
          <w:sz w:val="18"/>
          <w:szCs w:val="18"/>
        </w:rPr>
        <w:fldChar w:fldCharType="separate"/>
      </w:r>
      <w:r w:rsidR="00BD51BC">
        <w:rPr>
          <w:i/>
          <w:iCs/>
          <w:noProof/>
          <w:sz w:val="18"/>
          <w:szCs w:val="18"/>
        </w:rPr>
        <w:t>2</w:t>
      </w:r>
      <w:r w:rsidR="008D395C" w:rsidRPr="001F2316">
        <w:rPr>
          <w:i/>
          <w:iCs/>
          <w:noProof/>
          <w:sz w:val="18"/>
          <w:szCs w:val="18"/>
        </w:rPr>
        <w:fldChar w:fldCharType="end"/>
      </w:r>
      <w:bookmarkEnd w:id="1"/>
      <w:r w:rsidRPr="001F2316">
        <w:rPr>
          <w:i/>
          <w:iCs/>
          <w:sz w:val="18"/>
          <w:szCs w:val="18"/>
        </w:rPr>
        <w:t xml:space="preserve"> </w:t>
      </w:r>
      <w:r w:rsidR="002F211F" w:rsidRPr="001F2316">
        <w:rPr>
          <w:i/>
          <w:iCs/>
          <w:sz w:val="18"/>
          <w:szCs w:val="18"/>
        </w:rPr>
        <w:t xml:space="preserve">A hypothetical </w:t>
      </w:r>
      <w:r w:rsidRPr="001F2316">
        <w:rPr>
          <w:i/>
          <w:iCs/>
          <w:sz w:val="18"/>
          <w:szCs w:val="18"/>
        </w:rPr>
        <w:t xml:space="preserve">example of </w:t>
      </w:r>
      <w:r w:rsidR="00A96647" w:rsidRPr="001F2316">
        <w:rPr>
          <w:i/>
          <w:iCs/>
          <w:sz w:val="18"/>
          <w:szCs w:val="18"/>
        </w:rPr>
        <w:t>a groundwater</w:t>
      </w:r>
      <w:r w:rsidRPr="001F2316">
        <w:rPr>
          <w:i/>
          <w:iCs/>
          <w:sz w:val="18"/>
          <w:szCs w:val="18"/>
        </w:rPr>
        <w:t xml:space="preserve"> exceedance and excess</w:t>
      </w:r>
      <w:r w:rsidR="000E67F2" w:rsidRPr="001F2316">
        <w:rPr>
          <w:i/>
          <w:iCs/>
          <w:sz w:val="18"/>
          <w:szCs w:val="18"/>
        </w:rPr>
        <w:t xml:space="preserve"> prior to 2028</w:t>
      </w:r>
      <w:r w:rsidR="00DF4831" w:rsidRPr="001F2316">
        <w:rPr>
          <w:i/>
          <w:iCs/>
          <w:sz w:val="18"/>
          <w:szCs w:val="18"/>
        </w:rPr>
        <w:t>.</w:t>
      </w:r>
    </w:p>
    <w:p w14:paraId="4804EC23" w14:textId="38743B2D" w:rsidR="00334ACA" w:rsidRDefault="008A2A62" w:rsidP="008518EB">
      <w:r>
        <w:t xml:space="preserve">The Framework uses the term ‘exceedance’ to refer to circumstances where actual take is higher than permitted take (cumulatively) but has not reached the </w:t>
      </w:r>
      <w:r w:rsidR="00D06F7E">
        <w:t xml:space="preserve">SDL </w:t>
      </w:r>
      <w:r>
        <w:t>compliance threshold of ‘excess’.</w:t>
      </w:r>
    </w:p>
    <w:p w14:paraId="30382052" w14:textId="4073C9EE" w:rsidR="00F42D12" w:rsidRDefault="00F42D12" w:rsidP="00C90247">
      <w:pPr>
        <w:pStyle w:val="Heading3"/>
      </w:pPr>
      <w:r>
        <w:t>What is a reasonable excuse</w:t>
      </w:r>
      <w:r w:rsidR="00434634">
        <w:t xml:space="preserve"> and why is it provided</w:t>
      </w:r>
      <w:r>
        <w:t>?</w:t>
      </w:r>
    </w:p>
    <w:p w14:paraId="650160F5" w14:textId="5F98FB11" w:rsidR="00150DDF" w:rsidRDefault="00150DDF" w:rsidP="00DF1AF0">
      <w:r>
        <w:t xml:space="preserve">When </w:t>
      </w:r>
      <w:r w:rsidR="00515383">
        <w:t xml:space="preserve">the water taken </w:t>
      </w:r>
      <w:r w:rsidR="001E2ACF">
        <w:t>is in excess of the SDL compliance threshold,</w:t>
      </w:r>
      <w:r w:rsidR="00E45D6D">
        <w:t xml:space="preserve"> a Basin State may choose to provide a ‘reasonable excuse’ explaining the reasons for the </w:t>
      </w:r>
      <w:r w:rsidR="00222108">
        <w:t>excess</w:t>
      </w:r>
      <w:r w:rsidR="000D44ED">
        <w:t xml:space="preserve">. </w:t>
      </w:r>
    </w:p>
    <w:p w14:paraId="276179DF" w14:textId="40EED48D" w:rsidR="00BE47DF" w:rsidRDefault="002B6EE3" w:rsidP="00687AFB">
      <w:pPr>
        <w:rPr>
          <w:rStyle w:val="normaltextrun"/>
          <w:color w:val="000000"/>
          <w:szCs w:val="20"/>
          <w:shd w:val="clear" w:color="auto" w:fill="FFFFFF"/>
        </w:rPr>
      </w:pPr>
      <w:r>
        <w:rPr>
          <w:rStyle w:val="normaltextrun"/>
          <w:color w:val="000000"/>
          <w:szCs w:val="20"/>
          <w:shd w:val="clear" w:color="auto" w:fill="FFFFFF"/>
        </w:rPr>
        <w:t xml:space="preserve">The concept of ‘reasonable excuse’ was introduced in the Basin Plan because the SDL compliance threshold </w:t>
      </w:r>
      <w:r w:rsidR="00BE47DF">
        <w:rPr>
          <w:rStyle w:val="normaltextrun"/>
          <w:color w:val="000000"/>
          <w:szCs w:val="20"/>
          <w:shd w:val="clear" w:color="auto" w:fill="FFFFFF"/>
        </w:rPr>
        <w:t xml:space="preserve">may be breached even if a </w:t>
      </w:r>
      <w:r w:rsidR="00481D74">
        <w:rPr>
          <w:rStyle w:val="normaltextrun"/>
          <w:color w:val="000000"/>
          <w:szCs w:val="20"/>
          <w:shd w:val="clear" w:color="auto" w:fill="FFFFFF"/>
        </w:rPr>
        <w:t xml:space="preserve">Basin </w:t>
      </w:r>
      <w:r w:rsidR="00BE47DF">
        <w:rPr>
          <w:rStyle w:val="normaltextrun"/>
          <w:color w:val="000000"/>
          <w:szCs w:val="20"/>
          <w:shd w:val="clear" w:color="auto" w:fill="FFFFFF"/>
        </w:rPr>
        <w:t>State did everything within its power to try to prevent it. Circumstances where a reasonable excuse may be appropriate include</w:t>
      </w:r>
      <w:r w:rsidR="003D3EE9">
        <w:rPr>
          <w:rStyle w:val="normaltextrun"/>
          <w:color w:val="000000"/>
          <w:szCs w:val="20"/>
          <w:shd w:val="clear" w:color="auto" w:fill="FFFFFF"/>
        </w:rPr>
        <w:t xml:space="preserve"> times when the </w:t>
      </w:r>
      <w:r w:rsidR="007F5C36">
        <w:rPr>
          <w:rStyle w:val="normaltextrun"/>
          <w:color w:val="000000"/>
          <w:szCs w:val="20"/>
          <w:shd w:val="clear" w:color="auto" w:fill="FFFFFF"/>
        </w:rPr>
        <w:t xml:space="preserve">SDL </w:t>
      </w:r>
      <w:r w:rsidR="003D3EE9">
        <w:rPr>
          <w:rStyle w:val="normaltextrun"/>
          <w:color w:val="000000"/>
          <w:szCs w:val="20"/>
          <w:shd w:val="clear" w:color="auto" w:fill="FFFFFF"/>
        </w:rPr>
        <w:t xml:space="preserve">compliance threshold is breached even though all the rules in the relevant </w:t>
      </w:r>
      <w:r w:rsidR="00CF2B44">
        <w:rPr>
          <w:rStyle w:val="normaltextrun"/>
          <w:color w:val="000000"/>
          <w:szCs w:val="20"/>
          <w:shd w:val="clear" w:color="auto" w:fill="FFFFFF"/>
        </w:rPr>
        <w:t>water resource plan</w:t>
      </w:r>
      <w:r w:rsidR="003D3EE9">
        <w:rPr>
          <w:rStyle w:val="normaltextrun"/>
          <w:color w:val="000000"/>
          <w:szCs w:val="20"/>
          <w:shd w:val="clear" w:color="auto" w:fill="FFFFFF"/>
        </w:rPr>
        <w:t xml:space="preserve"> have been complied with, or where the circumstances that caused the excess are outside of the control of the </w:t>
      </w:r>
      <w:r w:rsidR="00481D74">
        <w:rPr>
          <w:rStyle w:val="normaltextrun"/>
          <w:color w:val="000000"/>
          <w:szCs w:val="20"/>
          <w:shd w:val="clear" w:color="auto" w:fill="FFFFFF"/>
        </w:rPr>
        <w:t xml:space="preserve">Basin </w:t>
      </w:r>
      <w:r w:rsidR="003D3EE9">
        <w:rPr>
          <w:rStyle w:val="normaltextrun"/>
          <w:color w:val="000000"/>
          <w:szCs w:val="20"/>
          <w:shd w:val="clear" w:color="auto" w:fill="FFFFFF"/>
        </w:rPr>
        <w:t>State</w:t>
      </w:r>
      <w:r w:rsidR="00474C79">
        <w:rPr>
          <w:rStyle w:val="normaltextrun"/>
          <w:color w:val="000000"/>
          <w:szCs w:val="20"/>
          <w:shd w:val="clear" w:color="auto" w:fill="FFFFFF"/>
        </w:rPr>
        <w:t>.</w:t>
      </w:r>
    </w:p>
    <w:p w14:paraId="3D574951" w14:textId="2286351B" w:rsidR="0092608A" w:rsidRDefault="0092608A" w:rsidP="00DF1AF0">
      <w:r w:rsidRPr="0092608A">
        <w:t xml:space="preserve">The Inspector-General assesses reasonable excuse reports from Basin States. </w:t>
      </w:r>
      <w:r w:rsidR="005E5E82">
        <w:t xml:space="preserve">If the ‘reasonable excuse’ is assessed by the Inspector-General to be acceptable, then the SDL </w:t>
      </w:r>
      <w:r w:rsidR="00B07F8F">
        <w:t xml:space="preserve">resource </w:t>
      </w:r>
      <w:r w:rsidR="005E5E82">
        <w:t xml:space="preserve">unit is considered </w:t>
      </w:r>
      <w:r w:rsidR="008A333C">
        <w:t>‘</w:t>
      </w:r>
      <w:r w:rsidR="005E5E82">
        <w:t xml:space="preserve">compliant with </w:t>
      </w:r>
      <w:r w:rsidR="008A333C">
        <w:t>a reasonable excuse’</w:t>
      </w:r>
      <w:r w:rsidR="005E5E82">
        <w:t xml:space="preserve">.  </w:t>
      </w:r>
    </w:p>
    <w:p w14:paraId="1DC7FCC8" w14:textId="6EBF2E88" w:rsidR="00F97DC8" w:rsidRDefault="00A51EFC" w:rsidP="00086D3D">
      <w:r>
        <w:t xml:space="preserve">It is the responsibility of the </w:t>
      </w:r>
      <w:r w:rsidR="00A45750">
        <w:t>Basin State</w:t>
      </w:r>
      <w:r w:rsidR="00DF1AF0" w:rsidRPr="00DF1AF0">
        <w:t xml:space="preserve"> </w:t>
      </w:r>
      <w:r w:rsidR="00086D3D">
        <w:t>making the claim</w:t>
      </w:r>
      <w:r w:rsidR="00DF1AF0" w:rsidRPr="00DF1AF0">
        <w:t xml:space="preserve"> to provide appropriate information to demonstrate the reasonable excuse</w:t>
      </w:r>
      <w:r w:rsidR="00DF1AF0">
        <w:t>.</w:t>
      </w:r>
      <w:r w:rsidR="00F77B7D">
        <w:t xml:space="preserve"> </w:t>
      </w:r>
    </w:p>
    <w:p w14:paraId="0238A4AF" w14:textId="4C0B7260" w:rsidR="00864278" w:rsidRDefault="00864278" w:rsidP="00864278">
      <w:pPr>
        <w:pStyle w:val="Heading3"/>
      </w:pPr>
      <w:r>
        <w:t>What will occur if there is non-compliance?</w:t>
      </w:r>
    </w:p>
    <w:p w14:paraId="4E935FA9" w14:textId="200D82FB" w:rsidR="00B976D0" w:rsidRDefault="00B0411D" w:rsidP="00864278">
      <w:r>
        <w:t xml:space="preserve">If the Inspector-General assesses a </w:t>
      </w:r>
      <w:r w:rsidR="00371F7A">
        <w:t xml:space="preserve">Basin </w:t>
      </w:r>
      <w:r w:rsidR="00CC0887">
        <w:t xml:space="preserve">State </w:t>
      </w:r>
      <w:r w:rsidR="00765C20">
        <w:t>a</w:t>
      </w:r>
      <w:r w:rsidR="00CC0887">
        <w:t>s non-</w:t>
      </w:r>
      <w:r w:rsidR="000915F4">
        <w:t xml:space="preserve">compliant </w:t>
      </w:r>
      <w:r w:rsidR="00FB6A1A">
        <w:t xml:space="preserve">in </w:t>
      </w:r>
      <w:r w:rsidR="00CC0887">
        <w:t xml:space="preserve">a particular SDL resource unit, the </w:t>
      </w:r>
      <w:r w:rsidR="005624D6">
        <w:t xml:space="preserve">Inspector-General will work with that </w:t>
      </w:r>
      <w:r w:rsidR="00371F7A">
        <w:t xml:space="preserve">Basin </w:t>
      </w:r>
      <w:r w:rsidR="005624D6">
        <w:t xml:space="preserve">State </w:t>
      </w:r>
      <w:r w:rsidR="00506075">
        <w:t>to understand how</w:t>
      </w:r>
      <w:r w:rsidR="00254052">
        <w:t xml:space="preserve"> the Basin State </w:t>
      </w:r>
      <w:r w:rsidR="00506075">
        <w:t>will</w:t>
      </w:r>
      <w:r w:rsidR="00254052">
        <w:t xml:space="preserve"> ensure </w:t>
      </w:r>
      <w:r w:rsidR="005624D6">
        <w:t xml:space="preserve">that the non-compliance does not occur again. This will involve the </w:t>
      </w:r>
      <w:r w:rsidR="00711C9D">
        <w:t xml:space="preserve">Basin </w:t>
      </w:r>
      <w:r w:rsidR="005624D6">
        <w:t xml:space="preserve">State proposing an </w:t>
      </w:r>
      <w:r w:rsidR="006F0D83">
        <w:t>‘</w:t>
      </w:r>
      <w:r w:rsidR="00045FFB" w:rsidRPr="006F0D83">
        <w:t>action plan</w:t>
      </w:r>
      <w:r w:rsidR="006F0D83">
        <w:t>’</w:t>
      </w:r>
      <w:r w:rsidR="005624D6">
        <w:t xml:space="preserve"> that outlines the steps it will take to </w:t>
      </w:r>
      <w:r w:rsidR="005B13F3">
        <w:t xml:space="preserve">bring the SDL </w:t>
      </w:r>
      <w:r w:rsidR="00B07F8F">
        <w:t xml:space="preserve">resource </w:t>
      </w:r>
      <w:r w:rsidR="005B13F3">
        <w:t>unit back</w:t>
      </w:r>
      <w:r w:rsidR="00270BA1">
        <w:t xml:space="preserve"> to being compliant</w:t>
      </w:r>
      <w:r w:rsidR="005B13F3">
        <w:t>.</w:t>
      </w:r>
      <w:r w:rsidR="00270BA1">
        <w:t xml:space="preserve"> </w:t>
      </w:r>
      <w:r w:rsidR="00EC2355">
        <w:t xml:space="preserve">The Inspector-General will review this action plan </w:t>
      </w:r>
      <w:r w:rsidR="00F644EC">
        <w:t xml:space="preserve">and make a public statement regarding the facts of the non-compliance and the </w:t>
      </w:r>
      <w:r w:rsidR="00506075">
        <w:t xml:space="preserve">Basin </w:t>
      </w:r>
      <w:r w:rsidR="00F644EC">
        <w:t xml:space="preserve">State’s response. </w:t>
      </w:r>
    </w:p>
    <w:p w14:paraId="34782BC9" w14:textId="765DC394" w:rsidR="00DA1DD3" w:rsidRDefault="00DA1DD3" w:rsidP="00864278">
      <w:r>
        <w:lastRenderedPageBreak/>
        <w:t xml:space="preserve">If the Inspector-General </w:t>
      </w:r>
      <w:r w:rsidR="00C15514">
        <w:t>assessment</w:t>
      </w:r>
      <w:r w:rsidR="00AD6399">
        <w:t xml:space="preserve"> indicates</w:t>
      </w:r>
      <w:r>
        <w:t xml:space="preserve"> non-compliance, the Inspecto</w:t>
      </w:r>
      <w:r w:rsidR="00351231">
        <w:t>r-General will provide th</w:t>
      </w:r>
      <w:r w:rsidR="00AD6399">
        <w:t>e responsible</w:t>
      </w:r>
      <w:r w:rsidR="00351231">
        <w:t xml:space="preserve"> </w:t>
      </w:r>
      <w:r w:rsidR="00506075">
        <w:t xml:space="preserve">Basin </w:t>
      </w:r>
      <w:r w:rsidR="00351231">
        <w:t xml:space="preserve">State with an opportunity to respond to the assessment before it is finalised. </w:t>
      </w:r>
    </w:p>
    <w:p w14:paraId="6D792307" w14:textId="2AE9F7F1" w:rsidR="00B0411D" w:rsidRDefault="00B51BB4" w:rsidP="00864278">
      <w:r>
        <w:t>The Inspector-General may also choose to undertake an audit or investigation</w:t>
      </w:r>
      <w:r w:rsidR="00D85EC6">
        <w:t xml:space="preserve"> of the </w:t>
      </w:r>
      <w:r w:rsidR="00506075">
        <w:t xml:space="preserve">Basin </w:t>
      </w:r>
      <w:r w:rsidR="00D85EC6">
        <w:t>State’s data and actions.</w:t>
      </w:r>
      <w:r w:rsidR="005B7A3A">
        <w:t xml:space="preserve"> </w:t>
      </w:r>
    </w:p>
    <w:p w14:paraId="52128146" w14:textId="1A5316FC" w:rsidR="00864278" w:rsidRDefault="00864278" w:rsidP="00864278">
      <w:r>
        <w:t xml:space="preserve">An SDL non-compliance is not in itself a direct </w:t>
      </w:r>
      <w:r w:rsidR="00506075">
        <w:t xml:space="preserve">contravention </w:t>
      </w:r>
      <w:r>
        <w:t xml:space="preserve">of the </w:t>
      </w:r>
      <w:r w:rsidRPr="002E3304">
        <w:rPr>
          <w:iCs/>
        </w:rPr>
        <w:t>Water Act</w:t>
      </w:r>
      <w:r>
        <w:t xml:space="preserve">, or the Basin Plan or a </w:t>
      </w:r>
      <w:r w:rsidR="00302DC3">
        <w:t>water resource</w:t>
      </w:r>
      <w:r>
        <w:t xml:space="preserve"> </w:t>
      </w:r>
      <w:r w:rsidR="00302DC3">
        <w:t>plan</w:t>
      </w:r>
      <w:r>
        <w:t xml:space="preserve">. However, acting inconsistently with the Basin Plan or a </w:t>
      </w:r>
      <w:r w:rsidR="008A78D9">
        <w:t xml:space="preserve">water resource plan </w:t>
      </w:r>
      <w:r>
        <w:t xml:space="preserve">is a </w:t>
      </w:r>
      <w:r w:rsidR="0062605C">
        <w:t xml:space="preserve">contravention </w:t>
      </w:r>
      <w:r>
        <w:t>of the Water Act.</w:t>
      </w:r>
    </w:p>
    <w:p w14:paraId="4428CDC2" w14:textId="755EC8FD" w:rsidR="00864278" w:rsidRDefault="00864278" w:rsidP="00864278">
      <w:r>
        <w:t xml:space="preserve">If the Inspector-General has evidence of a </w:t>
      </w:r>
      <w:r w:rsidR="00F23A6B">
        <w:t xml:space="preserve">contravention </w:t>
      </w:r>
      <w:r>
        <w:t>of the Water Act, the Inspector-General may take appropriate enforcement action. Enforcement action may include:</w:t>
      </w:r>
      <w:r>
        <w:rPr>
          <w:rStyle w:val="FootnoteReference"/>
        </w:rPr>
        <w:footnoteReference w:id="2"/>
      </w:r>
    </w:p>
    <w:p w14:paraId="6C6A51C2" w14:textId="66399C57" w:rsidR="00864278" w:rsidRDefault="00ED4F0E" w:rsidP="00864278">
      <w:pPr>
        <w:pStyle w:val="ListBullet"/>
        <w:numPr>
          <w:ilvl w:val="0"/>
          <w:numId w:val="49"/>
        </w:numPr>
      </w:pPr>
      <w:r>
        <w:t>Requesting</w:t>
      </w:r>
      <w:r w:rsidR="00864278">
        <w:t xml:space="preserve"> a person (including a Basin State agency) to provide an enforceable undertaking that the person will take specified action to prevent the contravention; or</w:t>
      </w:r>
    </w:p>
    <w:p w14:paraId="45CF67DA" w14:textId="7FBACAB4" w:rsidR="00864278" w:rsidRDefault="003F36B0" w:rsidP="00864278">
      <w:pPr>
        <w:pStyle w:val="ListBullet"/>
        <w:numPr>
          <w:ilvl w:val="0"/>
          <w:numId w:val="49"/>
        </w:numPr>
      </w:pPr>
      <w:r>
        <w:t>Applying</w:t>
      </w:r>
      <w:r w:rsidR="00864278">
        <w:t xml:space="preserve"> to the court for a declaration that there has been a contravention, and/or an injunction to prevent the contravention.</w:t>
      </w:r>
    </w:p>
    <w:p w14:paraId="7D30E0DE" w14:textId="594A1A1C" w:rsidR="00864278" w:rsidRDefault="00864278" w:rsidP="00864278">
      <w:pPr>
        <w:pStyle w:val="Heading2"/>
      </w:pPr>
      <w:r>
        <w:t>Actions</w:t>
      </w:r>
    </w:p>
    <w:p w14:paraId="35676627" w14:textId="483F596B" w:rsidR="007E0267" w:rsidRDefault="007E0267" w:rsidP="00672D45">
      <w:pPr>
        <w:pStyle w:val="Heading3"/>
      </w:pPr>
      <w:r>
        <w:t xml:space="preserve">What must </w:t>
      </w:r>
      <w:r w:rsidR="008D421C">
        <w:t>the Basin</w:t>
      </w:r>
      <w:r w:rsidR="0039717E">
        <w:t xml:space="preserve"> </w:t>
      </w:r>
      <w:r w:rsidR="008D421C">
        <w:t>S</w:t>
      </w:r>
      <w:r>
        <w:t>tate do if they are in excess?</w:t>
      </w:r>
    </w:p>
    <w:p w14:paraId="7123043D" w14:textId="1F153A35" w:rsidR="007E0267" w:rsidRDefault="00614B10" w:rsidP="007E0267">
      <w:r>
        <w:t>If an SDL resource unit is in excess</w:t>
      </w:r>
      <w:r w:rsidR="00014D8D">
        <w:t xml:space="preserve"> </w:t>
      </w:r>
      <w:r w:rsidR="00721DE8">
        <w:t>of the SDL compliance threshold</w:t>
      </w:r>
      <w:r w:rsidR="00B67817">
        <w:t>,</w:t>
      </w:r>
      <w:r w:rsidR="00074349">
        <w:t xml:space="preserve"> the </w:t>
      </w:r>
      <w:r w:rsidR="00E014C2">
        <w:t xml:space="preserve">Basin </w:t>
      </w:r>
      <w:r w:rsidR="00074349">
        <w:t>State must take steps</w:t>
      </w:r>
      <w:r w:rsidR="00EF760D">
        <w:t xml:space="preserve"> </w:t>
      </w:r>
      <w:r w:rsidR="00074349">
        <w:t xml:space="preserve">to ensure that the SDL is complied with in the future. </w:t>
      </w:r>
    </w:p>
    <w:p w14:paraId="158CFFED" w14:textId="2B8C79F3" w:rsidR="00B67817" w:rsidRDefault="00B67817" w:rsidP="007E0267">
      <w:r>
        <w:t>If a surface water SDL</w:t>
      </w:r>
      <w:r w:rsidR="00CC06FB">
        <w:t xml:space="preserve"> resource unit</w:t>
      </w:r>
      <w:r>
        <w:t xml:space="preserve"> is in excess, but </w:t>
      </w:r>
      <w:r w:rsidR="00E42E16">
        <w:t xml:space="preserve">the </w:t>
      </w:r>
      <w:r w:rsidR="00E014C2">
        <w:t xml:space="preserve">Basin </w:t>
      </w:r>
      <w:r w:rsidR="00E42E16">
        <w:t xml:space="preserve">State </w:t>
      </w:r>
      <w:r w:rsidR="00E014C2">
        <w:t xml:space="preserve">has </w:t>
      </w:r>
      <w:r w:rsidR="00E42E16">
        <w:t xml:space="preserve">a claim of </w:t>
      </w:r>
      <w:r w:rsidR="00B31989">
        <w:t xml:space="preserve">reasonable excuse, the </w:t>
      </w:r>
      <w:r w:rsidR="00E014C2">
        <w:t xml:space="preserve">Basin </w:t>
      </w:r>
      <w:r w:rsidR="00B31989">
        <w:t xml:space="preserve">State must </w:t>
      </w:r>
      <w:r w:rsidR="00D14035">
        <w:t>provide an action plan and indicate the steps that will be taken</w:t>
      </w:r>
      <w:r w:rsidR="0039717E">
        <w:t xml:space="preserve"> </w:t>
      </w:r>
      <w:r w:rsidR="00B31989">
        <w:t xml:space="preserve">to reduce the cumulative balance </w:t>
      </w:r>
      <w:r w:rsidR="00DF79EF">
        <w:t>to</w:t>
      </w:r>
      <w:r w:rsidR="00B31989">
        <w:t xml:space="preserve"> </w:t>
      </w:r>
      <w:r w:rsidR="00CC06FB">
        <w:t>zero or less.</w:t>
      </w:r>
    </w:p>
    <w:p w14:paraId="53BF4348" w14:textId="6C925746" w:rsidR="00CC06FB" w:rsidRDefault="00CC06FB" w:rsidP="007E0267">
      <w:r>
        <w:t>If a groundwater SDL</w:t>
      </w:r>
      <w:r w:rsidR="00E42E16">
        <w:t xml:space="preserve"> resource unit is in excess, but </w:t>
      </w:r>
      <w:r w:rsidR="00E014C2">
        <w:t xml:space="preserve">the Basin </w:t>
      </w:r>
      <w:r w:rsidR="00E42E16">
        <w:t xml:space="preserve">State </w:t>
      </w:r>
      <w:r w:rsidR="00E014C2">
        <w:t>has</w:t>
      </w:r>
      <w:r w:rsidR="00E42E16">
        <w:t xml:space="preserve"> a claim of reasonable excuse, </w:t>
      </w:r>
      <w:r w:rsidR="00EE6303">
        <w:t xml:space="preserve">the </w:t>
      </w:r>
      <w:r w:rsidR="001F2316">
        <w:t xml:space="preserve">Basin </w:t>
      </w:r>
      <w:r w:rsidR="00EE6303">
        <w:t xml:space="preserve">State must </w:t>
      </w:r>
      <w:r w:rsidR="0046618C">
        <w:t xml:space="preserve">provide an action plan and indicate the steps that will be </w:t>
      </w:r>
      <w:r w:rsidR="00EE6303">
        <w:t>take</w:t>
      </w:r>
      <w:r w:rsidR="0046618C">
        <w:t>n</w:t>
      </w:r>
      <w:r w:rsidR="00EE6303">
        <w:t xml:space="preserve"> to reach the point where there is no excess.</w:t>
      </w:r>
    </w:p>
    <w:p w14:paraId="0969ACFD" w14:textId="4F5C1EC5" w:rsidR="007E0267" w:rsidRDefault="007E0267" w:rsidP="00672D45">
      <w:pPr>
        <w:pStyle w:val="Heading3"/>
      </w:pPr>
      <w:r>
        <w:t>What is an Action Plan?</w:t>
      </w:r>
    </w:p>
    <w:p w14:paraId="223004CC" w14:textId="18A08603" w:rsidR="009A7B08" w:rsidRDefault="009A7B08" w:rsidP="009A7B08">
      <w:pPr>
        <w:spacing w:line="276" w:lineRule="auto"/>
        <w:rPr>
          <w:szCs w:val="20"/>
        </w:rPr>
      </w:pPr>
      <w:r>
        <w:rPr>
          <w:szCs w:val="20"/>
        </w:rPr>
        <w:t xml:space="preserve">This Framework uses the term </w:t>
      </w:r>
      <w:r w:rsidR="003C5B99">
        <w:rPr>
          <w:szCs w:val="20"/>
        </w:rPr>
        <w:t>‘</w:t>
      </w:r>
      <w:r w:rsidRPr="00BA55B6">
        <w:rPr>
          <w:szCs w:val="20"/>
        </w:rPr>
        <w:t>Action Plan</w:t>
      </w:r>
      <w:r w:rsidR="003C5B99">
        <w:rPr>
          <w:szCs w:val="20"/>
        </w:rPr>
        <w:t>’</w:t>
      </w:r>
      <w:r>
        <w:rPr>
          <w:szCs w:val="20"/>
        </w:rPr>
        <w:t xml:space="preserve"> to refer to</w:t>
      </w:r>
      <w:r w:rsidR="00C9115F">
        <w:rPr>
          <w:szCs w:val="20"/>
        </w:rPr>
        <w:t xml:space="preserve"> the </w:t>
      </w:r>
      <w:r w:rsidR="003C5B99">
        <w:rPr>
          <w:szCs w:val="20"/>
        </w:rPr>
        <w:t xml:space="preserve">steps </w:t>
      </w:r>
      <w:r w:rsidR="00C9115F">
        <w:rPr>
          <w:szCs w:val="20"/>
        </w:rPr>
        <w:t xml:space="preserve">a </w:t>
      </w:r>
      <w:r w:rsidR="003C5B99">
        <w:rPr>
          <w:szCs w:val="20"/>
        </w:rPr>
        <w:t>Basin S</w:t>
      </w:r>
      <w:r w:rsidR="00C9115F">
        <w:rPr>
          <w:szCs w:val="20"/>
        </w:rPr>
        <w:t>tate will take to</w:t>
      </w:r>
      <w:r w:rsidR="007D5951">
        <w:rPr>
          <w:szCs w:val="20"/>
        </w:rPr>
        <w:t xml:space="preserve"> address the cause </w:t>
      </w:r>
      <w:r w:rsidR="00D96AC7">
        <w:rPr>
          <w:szCs w:val="20"/>
        </w:rPr>
        <w:t xml:space="preserve">and reduce </w:t>
      </w:r>
      <w:r w:rsidR="007D5951">
        <w:rPr>
          <w:szCs w:val="20"/>
        </w:rPr>
        <w:t>the excess.</w:t>
      </w:r>
    </w:p>
    <w:p w14:paraId="6E4D2881" w14:textId="3E3DF338" w:rsidR="00672D45" w:rsidRDefault="007E5B3B" w:rsidP="007E5B3B">
      <w:pPr>
        <w:pStyle w:val="Heading2"/>
      </w:pPr>
      <w:r>
        <w:t>Timing</w:t>
      </w:r>
    </w:p>
    <w:p w14:paraId="4AAE19D8" w14:textId="30151EE8" w:rsidR="00241BF6" w:rsidRDefault="00241BF6" w:rsidP="007C5F60">
      <w:pPr>
        <w:pStyle w:val="Heading3"/>
      </w:pPr>
      <w:r>
        <w:t xml:space="preserve">How long will the </w:t>
      </w:r>
      <w:r w:rsidR="00E014C2">
        <w:t xml:space="preserve">SDL </w:t>
      </w:r>
      <w:r>
        <w:t>compliance assessment take?</w:t>
      </w:r>
    </w:p>
    <w:p w14:paraId="3615E13B" w14:textId="5ED419AA" w:rsidR="008E3606" w:rsidRDefault="008E3606" w:rsidP="008E3606">
      <w:pPr>
        <w:rPr>
          <w:lang w:val="en-US"/>
        </w:rPr>
      </w:pPr>
      <w:r>
        <w:rPr>
          <w:lang w:val="en-US"/>
        </w:rPr>
        <w:t xml:space="preserve">The Inspector-General’s assessment of SDL compliance will </w:t>
      </w:r>
      <w:r w:rsidR="005C6F42">
        <w:rPr>
          <w:lang w:val="en-US"/>
        </w:rPr>
        <w:t xml:space="preserve">commence when they have received the </w:t>
      </w:r>
      <w:r w:rsidR="00C12044">
        <w:rPr>
          <w:lang w:val="en-US"/>
        </w:rPr>
        <w:t>Registers of Take and supporting data</w:t>
      </w:r>
      <w:r w:rsidR="005C6F42">
        <w:rPr>
          <w:lang w:val="en-US"/>
        </w:rPr>
        <w:t xml:space="preserve"> from the MDBA. </w:t>
      </w:r>
      <w:r w:rsidR="00123AD8">
        <w:rPr>
          <w:lang w:val="en-US"/>
        </w:rPr>
        <w:t xml:space="preserve">Where there are </w:t>
      </w:r>
      <w:r w:rsidR="00CD2712">
        <w:rPr>
          <w:lang w:val="en-US"/>
        </w:rPr>
        <w:t>no</w:t>
      </w:r>
      <w:r w:rsidR="00123AD8">
        <w:rPr>
          <w:lang w:val="en-US"/>
        </w:rPr>
        <w:t xml:space="preserve"> compliance issues, the Inspector-General will aim to complete the </w:t>
      </w:r>
      <w:r w:rsidR="002612BB">
        <w:rPr>
          <w:lang w:val="en-US"/>
        </w:rPr>
        <w:t xml:space="preserve">SDL Compliance Statement </w:t>
      </w:r>
      <w:r w:rsidR="00123AD8">
        <w:rPr>
          <w:lang w:val="en-US"/>
        </w:rPr>
        <w:t xml:space="preserve">in two months. Where there are one or more cases of </w:t>
      </w:r>
      <w:r w:rsidR="00CD2712">
        <w:rPr>
          <w:lang w:val="en-US"/>
        </w:rPr>
        <w:t>SDL excess</w:t>
      </w:r>
      <w:r w:rsidR="008900CD">
        <w:rPr>
          <w:lang w:val="en-US"/>
        </w:rPr>
        <w:t>, the Inspector-General will aim to complete assessment</w:t>
      </w:r>
      <w:r w:rsidR="00CE2B16">
        <w:rPr>
          <w:lang w:val="en-US"/>
        </w:rPr>
        <w:t>s</w:t>
      </w:r>
      <w:r w:rsidR="008900CD">
        <w:rPr>
          <w:lang w:val="en-US"/>
        </w:rPr>
        <w:t xml:space="preserve"> within three months. </w:t>
      </w:r>
    </w:p>
    <w:p w14:paraId="763D9344" w14:textId="6457C643" w:rsidR="007E5B3B" w:rsidRDefault="007E5B3B" w:rsidP="007E5B3B">
      <w:pPr>
        <w:pStyle w:val="Heading2"/>
      </w:pPr>
      <w:r>
        <w:lastRenderedPageBreak/>
        <w:t>Public Information</w:t>
      </w:r>
    </w:p>
    <w:p w14:paraId="56C2BC5F" w14:textId="2429F93F" w:rsidR="00F3082F" w:rsidRDefault="00F3082F" w:rsidP="007C5F60">
      <w:pPr>
        <w:pStyle w:val="Heading3"/>
      </w:pPr>
      <w:r>
        <w:t xml:space="preserve">Will the </w:t>
      </w:r>
      <w:r w:rsidR="00E014C2">
        <w:t xml:space="preserve">SDL </w:t>
      </w:r>
      <w:r w:rsidR="009F13B3">
        <w:t>C</w:t>
      </w:r>
      <w:r>
        <w:t xml:space="preserve">ompliance </w:t>
      </w:r>
      <w:r w:rsidR="009F13B3">
        <w:t xml:space="preserve">Statement </w:t>
      </w:r>
      <w:r>
        <w:t>be publicly reported?</w:t>
      </w:r>
    </w:p>
    <w:p w14:paraId="6FFCB37E" w14:textId="207C9AB0" w:rsidR="003079E5" w:rsidRPr="003079E5" w:rsidRDefault="003079E5" w:rsidP="00BA55B6">
      <w:r>
        <w:t xml:space="preserve">The Inspector-General will publish </w:t>
      </w:r>
      <w:r w:rsidR="001F2316">
        <w:t>a</w:t>
      </w:r>
      <w:r w:rsidR="001B0B0A">
        <w:t xml:space="preserve"> </w:t>
      </w:r>
      <w:r>
        <w:t>S</w:t>
      </w:r>
      <w:r w:rsidR="00853E5B">
        <w:t xml:space="preserve">ustainable </w:t>
      </w:r>
      <w:r>
        <w:t>D</w:t>
      </w:r>
      <w:r w:rsidR="00853E5B">
        <w:t xml:space="preserve">iversion </w:t>
      </w:r>
      <w:r>
        <w:t>L</w:t>
      </w:r>
      <w:r w:rsidR="00853E5B">
        <w:t>imit</w:t>
      </w:r>
      <w:r>
        <w:t xml:space="preserve"> Compliance </w:t>
      </w:r>
      <w:r w:rsidR="00E0061E">
        <w:t xml:space="preserve">Statement </w:t>
      </w:r>
      <w:r>
        <w:t>on its website</w:t>
      </w:r>
      <w:r w:rsidR="006770BE">
        <w:t>, for each water accounting year</w:t>
      </w:r>
      <w:r>
        <w:t>.</w:t>
      </w:r>
    </w:p>
    <w:p w14:paraId="3E294ADC" w14:textId="7C5973AC" w:rsidR="007C5F60" w:rsidRDefault="007C5F60" w:rsidP="007C5F60">
      <w:pPr>
        <w:pStyle w:val="Heading3"/>
      </w:pPr>
      <w:r>
        <w:t xml:space="preserve">How have stakeholders been </w:t>
      </w:r>
      <w:r w:rsidR="00DA2732">
        <w:t>consulted</w:t>
      </w:r>
      <w:r>
        <w:t>?</w:t>
      </w:r>
    </w:p>
    <w:p w14:paraId="5129ABAB" w14:textId="31229D83" w:rsidR="007C5F60" w:rsidRDefault="007C5F60" w:rsidP="007C5F60">
      <w:r>
        <w:t xml:space="preserve">The </w:t>
      </w:r>
      <w:r w:rsidR="00A24C28">
        <w:t xml:space="preserve">Inspector-General </w:t>
      </w:r>
      <w:r>
        <w:t xml:space="preserve">developed a draft SDL Compliance Framework and consulted the Basin States and MDBA through a workshop and bilateral </w:t>
      </w:r>
      <w:r w:rsidR="00167019">
        <w:t xml:space="preserve">meetings </w:t>
      </w:r>
      <w:r>
        <w:t xml:space="preserve">over June to July 2023. The Basin States and MDBA were asked to review the </w:t>
      </w:r>
      <w:r w:rsidR="00204E73">
        <w:t>F</w:t>
      </w:r>
      <w:r>
        <w:t xml:space="preserve">ramework and provide feedback on </w:t>
      </w:r>
    </w:p>
    <w:p w14:paraId="46AB9F7B" w14:textId="0CD7E66C" w:rsidR="007C5F60" w:rsidRDefault="007C5F60" w:rsidP="007C5F60">
      <w:r>
        <w:t>i)</w:t>
      </w:r>
      <w:r>
        <w:tab/>
      </w:r>
      <w:r w:rsidR="00B76B07">
        <w:t xml:space="preserve">Any </w:t>
      </w:r>
      <w:r>
        <w:t xml:space="preserve">errors or omissions from the </w:t>
      </w:r>
      <w:r w:rsidR="00780E80">
        <w:t>F</w:t>
      </w:r>
      <w:r>
        <w:t xml:space="preserve">ramework; and </w:t>
      </w:r>
    </w:p>
    <w:p w14:paraId="4111FBCA" w14:textId="524D2A3F" w:rsidR="007C5F60" w:rsidRDefault="007C5F60" w:rsidP="007C5F60">
      <w:r>
        <w:t>ii)</w:t>
      </w:r>
      <w:r>
        <w:tab/>
      </w:r>
      <w:r w:rsidR="00B76B07">
        <w:t xml:space="preserve">Matters </w:t>
      </w:r>
      <w:r>
        <w:t xml:space="preserve">related to the implementation of the </w:t>
      </w:r>
      <w:r w:rsidR="00780E80">
        <w:t>F</w:t>
      </w:r>
      <w:r>
        <w:t>ramework.</w:t>
      </w:r>
    </w:p>
    <w:p w14:paraId="31089DEB" w14:textId="77777777" w:rsidR="005F0D9F" w:rsidRPr="00120FC9" w:rsidRDefault="005F0D9F" w:rsidP="005F0D9F">
      <w:pPr>
        <w:rPr>
          <w:rFonts w:cs="Arial"/>
          <w:b/>
          <w:color w:val="48555E" w:themeColor="text2"/>
          <w:sz w:val="26"/>
        </w:rPr>
      </w:pPr>
      <w:r w:rsidRPr="00120FC9">
        <w:rPr>
          <w:rFonts w:cs="Arial"/>
          <w:b/>
          <w:color w:val="48555E" w:themeColor="text2"/>
          <w:sz w:val="26"/>
        </w:rPr>
        <w:t>Where can I find the Sustainable Diversion Limit Compliance Framework?</w:t>
      </w:r>
    </w:p>
    <w:p w14:paraId="329EFAD1" w14:textId="77777777" w:rsidR="005F0D9F" w:rsidRPr="007935B6" w:rsidRDefault="005F0D9F" w:rsidP="005F0D9F">
      <w:r>
        <w:t xml:space="preserve">The Framework is published on the Inspector-Generals website, </w:t>
      </w:r>
      <w:hyperlink r:id="rId20" w:history="1">
        <w:r>
          <w:rPr>
            <w:rStyle w:val="Hyperlink"/>
          </w:rPr>
          <w:t>Reviews and reports | Inspector General of Water Compliance (igwc.gov.au)</w:t>
        </w:r>
      </w:hyperlink>
      <w:r>
        <w:t>.</w:t>
      </w:r>
    </w:p>
    <w:p w14:paraId="3F586BB8" w14:textId="1F0229C1" w:rsidR="007C5F60" w:rsidRPr="007935B6" w:rsidRDefault="007C5F60" w:rsidP="005F0D9F"/>
    <w:sectPr w:rsidR="007C5F60" w:rsidRPr="007935B6" w:rsidSect="00D775D1">
      <w:headerReference w:type="first" r:id="rId21"/>
      <w:pgSz w:w="11906" w:h="16838"/>
      <w:pgMar w:top="1284" w:right="1134" w:bottom="816" w:left="1134" w:header="425" w:footer="9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D9C36" w14:textId="77777777" w:rsidR="009C52A3" w:rsidRDefault="009C52A3">
      <w:pPr>
        <w:spacing w:after="0"/>
      </w:pPr>
      <w:r>
        <w:separator/>
      </w:r>
    </w:p>
  </w:endnote>
  <w:endnote w:type="continuationSeparator" w:id="0">
    <w:p w14:paraId="016DF855" w14:textId="77777777" w:rsidR="009C52A3" w:rsidRDefault="009C52A3">
      <w:pPr>
        <w:spacing w:after="0"/>
      </w:pPr>
      <w:r>
        <w:continuationSeparator/>
      </w:r>
    </w:p>
  </w:endnote>
  <w:endnote w:type="continuationNotice" w:id="1">
    <w:p w14:paraId="1233F38D" w14:textId="77777777" w:rsidR="009C52A3" w:rsidRDefault="009C52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7AE6" w14:textId="35C186A4" w:rsidR="0046450A" w:rsidRPr="00473F5B" w:rsidRDefault="00C90247" w:rsidP="00473F5B">
    <w:pPr>
      <w:pStyle w:val="Footer"/>
      <w:tabs>
        <w:tab w:val="clear" w:pos="4513"/>
        <w:tab w:val="clear" w:pos="9026"/>
        <w:tab w:val="right" w:pos="9638"/>
      </w:tabs>
    </w:pPr>
    <w:r>
      <w:t>Inspector-General of Water Compliance</w:t>
    </w:r>
    <w:r>
      <w:tab/>
    </w:r>
    <w:r>
      <w:fldChar w:fldCharType="begin"/>
    </w:r>
    <w:r>
      <w:instrText xml:space="preserve"> PAGE   \* MERGEFORMAT </w:instrText>
    </w:r>
    <w:r>
      <w:fldChar w:fldCharType="separate"/>
    </w:r>
    <w:r>
      <w:t>11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2873" w14:textId="2BD3E59E" w:rsidR="009F0367" w:rsidRPr="002C07A5" w:rsidRDefault="009F0367" w:rsidP="002C07A5">
    <w:pPr>
      <w:pStyle w:val="Footer"/>
      <w:tabs>
        <w:tab w:val="clear" w:pos="4513"/>
        <w:tab w:val="clear" w:pos="9026"/>
        <w:tab w:val="right" w:pos="9638"/>
      </w:tabs>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AED45" w14:textId="77777777" w:rsidR="009C52A3" w:rsidRDefault="009C52A3">
      <w:pPr>
        <w:spacing w:after="0"/>
      </w:pPr>
      <w:r>
        <w:separator/>
      </w:r>
    </w:p>
  </w:footnote>
  <w:footnote w:type="continuationSeparator" w:id="0">
    <w:p w14:paraId="6DD1D76B" w14:textId="77777777" w:rsidR="009C52A3" w:rsidRDefault="009C52A3">
      <w:pPr>
        <w:spacing w:after="0"/>
      </w:pPr>
      <w:r>
        <w:continuationSeparator/>
      </w:r>
    </w:p>
  </w:footnote>
  <w:footnote w:type="continuationNotice" w:id="1">
    <w:p w14:paraId="52FA1169" w14:textId="77777777" w:rsidR="009C52A3" w:rsidRDefault="009C52A3">
      <w:pPr>
        <w:spacing w:after="0"/>
      </w:pPr>
    </w:p>
  </w:footnote>
  <w:footnote w:id="2">
    <w:p w14:paraId="40CFF115" w14:textId="77777777" w:rsidR="00864278" w:rsidRPr="006375F3" w:rsidRDefault="00864278" w:rsidP="00864278">
      <w:pPr>
        <w:pStyle w:val="FootnoteText"/>
        <w:rPr>
          <w:lang w:val="en-GB"/>
        </w:rPr>
      </w:pPr>
      <w:r>
        <w:rPr>
          <w:rStyle w:val="FootnoteReference"/>
        </w:rPr>
        <w:footnoteRef/>
      </w:r>
      <w:r>
        <w:t xml:space="preserve"> </w:t>
      </w:r>
      <w:r>
        <w:rPr>
          <w:lang w:val="en-GB"/>
        </w:rPr>
        <w:t>Water Act Part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F934" w14:textId="44329794" w:rsidR="00CD346C" w:rsidRDefault="00C90247">
    <w:pPr>
      <w:pStyle w:val="Header"/>
    </w:pPr>
    <w:r>
      <w:rPr>
        <w:noProof/>
      </w:rPr>
      <w:drawing>
        <wp:anchor distT="0" distB="0" distL="114300" distR="114300" simplePos="0" relativeHeight="251658242" behindDoc="1" locked="0" layoutInCell="1" allowOverlap="1" wp14:anchorId="76F39DB2" wp14:editId="7AF5B869">
          <wp:simplePos x="0" y="0"/>
          <wp:positionH relativeFrom="column">
            <wp:posOffset>2277110</wp:posOffset>
          </wp:positionH>
          <wp:positionV relativeFrom="paragraph">
            <wp:posOffset>2607945</wp:posOffset>
          </wp:positionV>
          <wp:extent cx="7416800" cy="8849590"/>
          <wp:effectExtent l="0" t="0" r="0" b="2540"/>
          <wp:wrapNone/>
          <wp:docPr id="1877154726" name="Picture 18771547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95769" name="Picture 7">
                    <a:extLst>
                      <a:ext uri="{C183D7F6-B498-43B3-948B-1728B52AA6E4}">
                        <adec:decorative xmlns:adec="http://schemas.microsoft.com/office/drawing/2017/decorative" val="1"/>
                      </a:ext>
                    </a:extLst>
                  </pic:cNvPr>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7416800" cy="88495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986A" w14:textId="37853894" w:rsidR="00473F5B" w:rsidRDefault="00C90247" w:rsidP="005C5D99">
    <w:r w:rsidRPr="003A6733">
      <w:rPr>
        <w:noProof/>
      </w:rPr>
      <w:drawing>
        <wp:anchor distT="0" distB="0" distL="114300" distR="114300" simplePos="0" relativeHeight="251658240" behindDoc="1" locked="0" layoutInCell="1" allowOverlap="1" wp14:anchorId="3FB09300" wp14:editId="74042E67">
          <wp:simplePos x="0" y="0"/>
          <wp:positionH relativeFrom="column">
            <wp:posOffset>-732790</wp:posOffset>
          </wp:positionH>
          <wp:positionV relativeFrom="paragraph">
            <wp:posOffset>-339725</wp:posOffset>
          </wp:positionV>
          <wp:extent cx="7597588" cy="10751549"/>
          <wp:effectExtent l="0" t="0" r="0" b="5715"/>
          <wp:wrapNone/>
          <wp:docPr id="722761795" name="Picture 72276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97588" cy="10751549"/>
                  </a:xfrm>
                  <a:prstGeom prst="rect">
                    <a:avLst/>
                  </a:prstGeom>
                </pic:spPr>
              </pic:pic>
            </a:graphicData>
          </a:graphic>
          <wp14:sizeRelH relativeFrom="page">
            <wp14:pctWidth>0</wp14:pctWidth>
          </wp14:sizeRelH>
          <wp14:sizeRelV relativeFrom="page">
            <wp14:pctHeight>0</wp14:pctHeight>
          </wp14:sizeRelV>
        </wp:anchor>
      </w:drawing>
    </w:r>
  </w:p>
  <w:p w14:paraId="252C6567" w14:textId="7641654D" w:rsidR="00473F5B" w:rsidRDefault="00473F5B" w:rsidP="005C5D99"/>
  <w:p w14:paraId="73BFFFC6" w14:textId="7FF26F01" w:rsidR="00473F5B" w:rsidRDefault="00473F5B" w:rsidP="005C5D99"/>
  <w:p w14:paraId="2EDDB6F7" w14:textId="635470C0" w:rsidR="00473F5B" w:rsidRDefault="00473F5B" w:rsidP="005C5D99"/>
  <w:p w14:paraId="2683189A" w14:textId="4C5888D5" w:rsidR="00473F5B" w:rsidRDefault="00473F5B" w:rsidP="005C5D99"/>
  <w:p w14:paraId="3A0EC190" w14:textId="1CADC713" w:rsidR="00473F5B" w:rsidRDefault="00473F5B" w:rsidP="005C5D99"/>
  <w:p w14:paraId="0B4BD0BB" w14:textId="77777777" w:rsidR="00473F5B" w:rsidRDefault="00473F5B" w:rsidP="005C5D99"/>
  <w:p w14:paraId="5DA02233" w14:textId="5CAEC33F" w:rsidR="001345C9" w:rsidRDefault="001345C9" w:rsidP="005C5D99"/>
  <w:p w14:paraId="79B3195C" w14:textId="30DA5E69" w:rsidR="00617D03" w:rsidRPr="00DC6237" w:rsidRDefault="00C90247" w:rsidP="00071327">
    <w:pPr>
      <w:rPr>
        <w:color w:val="00B050"/>
      </w:rPr>
    </w:pPr>
    <w:r>
      <w:rPr>
        <w:noProof/>
      </w:rPr>
      <w:drawing>
        <wp:anchor distT="0" distB="0" distL="114300" distR="114300" simplePos="0" relativeHeight="251658241" behindDoc="1" locked="0" layoutInCell="1" allowOverlap="1" wp14:anchorId="5F752997" wp14:editId="2CC96F95">
          <wp:simplePos x="0" y="0"/>
          <wp:positionH relativeFrom="page">
            <wp:posOffset>622300</wp:posOffset>
          </wp:positionH>
          <wp:positionV relativeFrom="page">
            <wp:posOffset>546100</wp:posOffset>
          </wp:positionV>
          <wp:extent cx="3600450" cy="1040130"/>
          <wp:effectExtent l="0" t="0" r="0" b="0"/>
          <wp:wrapNone/>
          <wp:docPr id="238202134" name="Picture 238202134"/>
          <wp:cNvGraphicFramePr/>
          <a:graphic xmlns:a="http://schemas.openxmlformats.org/drawingml/2006/main">
            <a:graphicData uri="http://schemas.openxmlformats.org/drawingml/2006/picture">
              <pic:pic xmlns:pic="http://schemas.openxmlformats.org/drawingml/2006/picture">
                <pic:nvPicPr>
                  <pic:cNvPr id="11" name="Picture 13"/>
                  <pic:cNvPicPr/>
                </pic:nvPicPr>
                <pic:blipFill>
                  <a:blip r:embed="rId2">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FD6C" w14:textId="577E9529" w:rsidR="002C07A5" w:rsidRPr="00815B7C" w:rsidRDefault="00815B7C" w:rsidP="00815B7C">
    <w:pPr>
      <w:pStyle w:val="Header"/>
    </w:pPr>
    <w:r>
      <w:rPr>
        <w:noProof/>
      </w:rPr>
      <w:drawing>
        <wp:anchor distT="0" distB="0" distL="114300" distR="114300" simplePos="0" relativeHeight="251658243" behindDoc="1" locked="0" layoutInCell="1" allowOverlap="1" wp14:anchorId="2E2D238E" wp14:editId="0E10B9BC">
          <wp:simplePos x="0" y="0"/>
          <wp:positionH relativeFrom="column">
            <wp:posOffset>2224576</wp:posOffset>
          </wp:positionH>
          <wp:positionV relativeFrom="paragraph">
            <wp:posOffset>2673853</wp:posOffset>
          </wp:positionV>
          <wp:extent cx="7416800" cy="8849590"/>
          <wp:effectExtent l="0" t="0" r="0" b="2540"/>
          <wp:wrapNone/>
          <wp:docPr id="1925493788" name="Picture 19254937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95769" name="Picture 7">
                    <a:extLst>
                      <a:ext uri="{C183D7F6-B498-43B3-948B-1728B52AA6E4}">
                        <adec:decorative xmlns:adec="http://schemas.microsoft.com/office/drawing/2017/decorative" val="1"/>
                      </a:ext>
                    </a:extLst>
                  </pic:cNvPr>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7416800" cy="88495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424A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D2C7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BCA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4869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D4BD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708B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469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4401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744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2E6B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3144C1E"/>
    <w:multiLevelType w:val="multilevel"/>
    <w:tmpl w:val="036A53DA"/>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2" w15:restartNumberingAfterBreak="0">
    <w:nsid w:val="0F6F4874"/>
    <w:multiLevelType w:val="hybridMultilevel"/>
    <w:tmpl w:val="7FA08D24"/>
    <w:lvl w:ilvl="0" w:tplc="E36EA4A2">
      <w:start w:val="1"/>
      <w:numFmt w:val="lowerLetter"/>
      <w:lvlText w:val="%1."/>
      <w:lvlJc w:val="left"/>
      <w:pPr>
        <w:ind w:left="1089" w:hanging="360"/>
      </w:pPr>
    </w:lvl>
    <w:lvl w:ilvl="1" w:tplc="84BC94F2" w:tentative="1">
      <w:start w:val="1"/>
      <w:numFmt w:val="lowerLetter"/>
      <w:lvlText w:val="%2."/>
      <w:lvlJc w:val="left"/>
      <w:pPr>
        <w:ind w:left="1809" w:hanging="360"/>
      </w:pPr>
    </w:lvl>
    <w:lvl w:ilvl="2" w:tplc="874AB97C" w:tentative="1">
      <w:start w:val="1"/>
      <w:numFmt w:val="lowerRoman"/>
      <w:lvlText w:val="%3."/>
      <w:lvlJc w:val="right"/>
      <w:pPr>
        <w:ind w:left="2529" w:hanging="180"/>
      </w:pPr>
    </w:lvl>
    <w:lvl w:ilvl="3" w:tplc="516C0AF4" w:tentative="1">
      <w:start w:val="1"/>
      <w:numFmt w:val="decimal"/>
      <w:lvlText w:val="%4."/>
      <w:lvlJc w:val="left"/>
      <w:pPr>
        <w:ind w:left="3249" w:hanging="360"/>
      </w:pPr>
    </w:lvl>
    <w:lvl w:ilvl="4" w:tplc="8084C43E" w:tentative="1">
      <w:start w:val="1"/>
      <w:numFmt w:val="lowerLetter"/>
      <w:lvlText w:val="%5."/>
      <w:lvlJc w:val="left"/>
      <w:pPr>
        <w:ind w:left="3969" w:hanging="360"/>
      </w:pPr>
    </w:lvl>
    <w:lvl w:ilvl="5" w:tplc="077EB87C" w:tentative="1">
      <w:start w:val="1"/>
      <w:numFmt w:val="lowerRoman"/>
      <w:lvlText w:val="%6."/>
      <w:lvlJc w:val="right"/>
      <w:pPr>
        <w:ind w:left="4689" w:hanging="180"/>
      </w:pPr>
    </w:lvl>
    <w:lvl w:ilvl="6" w:tplc="15CA4720" w:tentative="1">
      <w:start w:val="1"/>
      <w:numFmt w:val="decimal"/>
      <w:lvlText w:val="%7."/>
      <w:lvlJc w:val="left"/>
      <w:pPr>
        <w:ind w:left="5409" w:hanging="360"/>
      </w:pPr>
    </w:lvl>
    <w:lvl w:ilvl="7" w:tplc="24D2EA8E" w:tentative="1">
      <w:start w:val="1"/>
      <w:numFmt w:val="lowerLetter"/>
      <w:lvlText w:val="%8."/>
      <w:lvlJc w:val="left"/>
      <w:pPr>
        <w:ind w:left="6129" w:hanging="360"/>
      </w:pPr>
    </w:lvl>
    <w:lvl w:ilvl="8" w:tplc="1062C082" w:tentative="1">
      <w:start w:val="1"/>
      <w:numFmt w:val="lowerRoman"/>
      <w:lvlText w:val="%9."/>
      <w:lvlJc w:val="right"/>
      <w:pPr>
        <w:ind w:left="6849" w:hanging="180"/>
      </w:pPr>
    </w:lvl>
  </w:abstractNum>
  <w:abstractNum w:abstractNumId="13"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14" w15:restartNumberingAfterBreak="0">
    <w:nsid w:val="1F745BC2"/>
    <w:multiLevelType w:val="multilevel"/>
    <w:tmpl w:val="E5E89F92"/>
    <w:numStyleLink w:val="BulletList"/>
  </w:abstractNum>
  <w:abstractNum w:abstractNumId="15"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563DA2"/>
    <w:multiLevelType w:val="hybridMultilevel"/>
    <w:tmpl w:val="5ADADBF4"/>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1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7F8614D"/>
    <w:multiLevelType w:val="hybridMultilevel"/>
    <w:tmpl w:val="26CE1DDA"/>
    <w:lvl w:ilvl="0" w:tplc="FF62DB3E">
      <w:start w:val="1"/>
      <w:numFmt w:val="lowerLetter"/>
      <w:lvlText w:val="%1)"/>
      <w:lvlJc w:val="left"/>
      <w:pPr>
        <w:ind w:left="1089" w:hanging="360"/>
      </w:pPr>
    </w:lvl>
    <w:lvl w:ilvl="1" w:tplc="9B7456A8" w:tentative="1">
      <w:start w:val="1"/>
      <w:numFmt w:val="lowerLetter"/>
      <w:lvlText w:val="%2."/>
      <w:lvlJc w:val="left"/>
      <w:pPr>
        <w:ind w:left="1809" w:hanging="360"/>
      </w:pPr>
    </w:lvl>
    <w:lvl w:ilvl="2" w:tplc="00760F1A" w:tentative="1">
      <w:start w:val="1"/>
      <w:numFmt w:val="lowerRoman"/>
      <w:lvlText w:val="%3."/>
      <w:lvlJc w:val="right"/>
      <w:pPr>
        <w:ind w:left="2529" w:hanging="180"/>
      </w:pPr>
    </w:lvl>
    <w:lvl w:ilvl="3" w:tplc="9D8465AC" w:tentative="1">
      <w:start w:val="1"/>
      <w:numFmt w:val="decimal"/>
      <w:lvlText w:val="%4."/>
      <w:lvlJc w:val="left"/>
      <w:pPr>
        <w:ind w:left="3249" w:hanging="360"/>
      </w:pPr>
    </w:lvl>
    <w:lvl w:ilvl="4" w:tplc="CCECFE04" w:tentative="1">
      <w:start w:val="1"/>
      <w:numFmt w:val="lowerLetter"/>
      <w:lvlText w:val="%5."/>
      <w:lvlJc w:val="left"/>
      <w:pPr>
        <w:ind w:left="3969" w:hanging="360"/>
      </w:pPr>
    </w:lvl>
    <w:lvl w:ilvl="5" w:tplc="632E64C6" w:tentative="1">
      <w:start w:val="1"/>
      <w:numFmt w:val="lowerRoman"/>
      <w:lvlText w:val="%6."/>
      <w:lvlJc w:val="right"/>
      <w:pPr>
        <w:ind w:left="4689" w:hanging="180"/>
      </w:pPr>
    </w:lvl>
    <w:lvl w:ilvl="6" w:tplc="8CE0085A" w:tentative="1">
      <w:start w:val="1"/>
      <w:numFmt w:val="decimal"/>
      <w:lvlText w:val="%7."/>
      <w:lvlJc w:val="left"/>
      <w:pPr>
        <w:ind w:left="5409" w:hanging="360"/>
      </w:pPr>
    </w:lvl>
    <w:lvl w:ilvl="7" w:tplc="D8860992" w:tentative="1">
      <w:start w:val="1"/>
      <w:numFmt w:val="lowerLetter"/>
      <w:lvlText w:val="%8."/>
      <w:lvlJc w:val="left"/>
      <w:pPr>
        <w:ind w:left="6129" w:hanging="360"/>
      </w:pPr>
    </w:lvl>
    <w:lvl w:ilvl="8" w:tplc="73A4F78A" w:tentative="1">
      <w:start w:val="1"/>
      <w:numFmt w:val="lowerRoman"/>
      <w:lvlText w:val="%9."/>
      <w:lvlJc w:val="right"/>
      <w:pPr>
        <w:ind w:left="6849" w:hanging="180"/>
      </w:pPr>
    </w:lvl>
  </w:abstractNum>
  <w:abstractNum w:abstractNumId="19" w15:restartNumberingAfterBreak="0">
    <w:nsid w:val="46F324CE"/>
    <w:multiLevelType w:val="hybridMultilevel"/>
    <w:tmpl w:val="5E425F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21" w15:restartNumberingAfterBreak="0">
    <w:nsid w:val="4C64641D"/>
    <w:multiLevelType w:val="hybridMultilevel"/>
    <w:tmpl w:val="69EAC6B4"/>
    <w:lvl w:ilvl="0" w:tplc="937EB242">
      <w:start w:val="1"/>
      <w:numFmt w:val="bullet"/>
      <w:lvlText w:val=""/>
      <w:lvlJc w:val="left"/>
      <w:pPr>
        <w:ind w:left="360" w:hanging="360"/>
      </w:pPr>
      <w:rPr>
        <w:rFonts w:ascii="Symbol" w:hAnsi="Symbol" w:hint="default"/>
      </w:rPr>
    </w:lvl>
    <w:lvl w:ilvl="1" w:tplc="03E6027C">
      <w:start w:val="1"/>
      <w:numFmt w:val="decimal"/>
      <w:lvlText w:val="%2."/>
      <w:lvlJc w:val="left"/>
      <w:pPr>
        <w:tabs>
          <w:tab w:val="num" w:pos="1440"/>
        </w:tabs>
        <w:ind w:left="1440" w:hanging="360"/>
      </w:pPr>
    </w:lvl>
    <w:lvl w:ilvl="2" w:tplc="BA2CB7C6">
      <w:start w:val="1"/>
      <w:numFmt w:val="decimal"/>
      <w:lvlText w:val="%3."/>
      <w:lvlJc w:val="left"/>
      <w:pPr>
        <w:tabs>
          <w:tab w:val="num" w:pos="2160"/>
        </w:tabs>
        <w:ind w:left="2160" w:hanging="360"/>
      </w:pPr>
    </w:lvl>
    <w:lvl w:ilvl="3" w:tplc="BED46062">
      <w:start w:val="1"/>
      <w:numFmt w:val="decimal"/>
      <w:lvlText w:val="%4."/>
      <w:lvlJc w:val="left"/>
      <w:pPr>
        <w:tabs>
          <w:tab w:val="num" w:pos="2880"/>
        </w:tabs>
        <w:ind w:left="2880" w:hanging="360"/>
      </w:pPr>
    </w:lvl>
    <w:lvl w:ilvl="4" w:tplc="18F84E1C">
      <w:start w:val="1"/>
      <w:numFmt w:val="decimal"/>
      <w:lvlText w:val="%5."/>
      <w:lvlJc w:val="left"/>
      <w:pPr>
        <w:tabs>
          <w:tab w:val="num" w:pos="3600"/>
        </w:tabs>
        <w:ind w:left="3600" w:hanging="360"/>
      </w:pPr>
    </w:lvl>
    <w:lvl w:ilvl="5" w:tplc="13F6017E">
      <w:start w:val="1"/>
      <w:numFmt w:val="decimal"/>
      <w:lvlText w:val="%6."/>
      <w:lvlJc w:val="left"/>
      <w:pPr>
        <w:tabs>
          <w:tab w:val="num" w:pos="4320"/>
        </w:tabs>
        <w:ind w:left="4320" w:hanging="360"/>
      </w:pPr>
    </w:lvl>
    <w:lvl w:ilvl="6" w:tplc="B7167FC8">
      <w:start w:val="1"/>
      <w:numFmt w:val="decimal"/>
      <w:lvlText w:val="%7."/>
      <w:lvlJc w:val="left"/>
      <w:pPr>
        <w:tabs>
          <w:tab w:val="num" w:pos="5040"/>
        </w:tabs>
        <w:ind w:left="5040" w:hanging="360"/>
      </w:pPr>
    </w:lvl>
    <w:lvl w:ilvl="7" w:tplc="8A58CFCC">
      <w:start w:val="1"/>
      <w:numFmt w:val="decimal"/>
      <w:lvlText w:val="%8."/>
      <w:lvlJc w:val="left"/>
      <w:pPr>
        <w:tabs>
          <w:tab w:val="num" w:pos="5760"/>
        </w:tabs>
        <w:ind w:left="5760" w:hanging="360"/>
      </w:pPr>
    </w:lvl>
    <w:lvl w:ilvl="8" w:tplc="50C4C7D6">
      <w:start w:val="1"/>
      <w:numFmt w:val="decimal"/>
      <w:lvlText w:val="%9."/>
      <w:lvlJc w:val="left"/>
      <w:pPr>
        <w:tabs>
          <w:tab w:val="num" w:pos="6480"/>
        </w:tabs>
        <w:ind w:left="6480" w:hanging="360"/>
      </w:pPr>
    </w:lvl>
  </w:abstractNum>
  <w:abstractNum w:abstractNumId="22"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CC95F71"/>
    <w:multiLevelType w:val="hybridMultilevel"/>
    <w:tmpl w:val="66E6DDBC"/>
    <w:lvl w:ilvl="0" w:tplc="992A7E6E">
      <w:start w:val="1"/>
      <w:numFmt w:val="decimal"/>
      <w:lvlText w:val="%1."/>
      <w:lvlJc w:val="left"/>
      <w:pPr>
        <w:ind w:left="1089" w:hanging="360"/>
      </w:pPr>
    </w:lvl>
    <w:lvl w:ilvl="1" w:tplc="E5220000" w:tentative="1">
      <w:start w:val="1"/>
      <w:numFmt w:val="lowerLetter"/>
      <w:lvlText w:val="%2."/>
      <w:lvlJc w:val="left"/>
      <w:pPr>
        <w:ind w:left="1809" w:hanging="360"/>
      </w:pPr>
    </w:lvl>
    <w:lvl w:ilvl="2" w:tplc="476692CE" w:tentative="1">
      <w:start w:val="1"/>
      <w:numFmt w:val="lowerRoman"/>
      <w:lvlText w:val="%3."/>
      <w:lvlJc w:val="right"/>
      <w:pPr>
        <w:ind w:left="2529" w:hanging="180"/>
      </w:pPr>
    </w:lvl>
    <w:lvl w:ilvl="3" w:tplc="886AB196" w:tentative="1">
      <w:start w:val="1"/>
      <w:numFmt w:val="decimal"/>
      <w:lvlText w:val="%4."/>
      <w:lvlJc w:val="left"/>
      <w:pPr>
        <w:ind w:left="3249" w:hanging="360"/>
      </w:pPr>
    </w:lvl>
    <w:lvl w:ilvl="4" w:tplc="6506253C" w:tentative="1">
      <w:start w:val="1"/>
      <w:numFmt w:val="lowerLetter"/>
      <w:lvlText w:val="%5."/>
      <w:lvlJc w:val="left"/>
      <w:pPr>
        <w:ind w:left="3969" w:hanging="360"/>
      </w:pPr>
    </w:lvl>
    <w:lvl w:ilvl="5" w:tplc="C60EAF3C" w:tentative="1">
      <w:start w:val="1"/>
      <w:numFmt w:val="lowerRoman"/>
      <w:lvlText w:val="%6."/>
      <w:lvlJc w:val="right"/>
      <w:pPr>
        <w:ind w:left="4689" w:hanging="180"/>
      </w:pPr>
    </w:lvl>
    <w:lvl w:ilvl="6" w:tplc="0DB8AD4A" w:tentative="1">
      <w:start w:val="1"/>
      <w:numFmt w:val="decimal"/>
      <w:lvlText w:val="%7."/>
      <w:lvlJc w:val="left"/>
      <w:pPr>
        <w:ind w:left="5409" w:hanging="360"/>
      </w:pPr>
    </w:lvl>
    <w:lvl w:ilvl="7" w:tplc="8520A166" w:tentative="1">
      <w:start w:val="1"/>
      <w:numFmt w:val="lowerLetter"/>
      <w:lvlText w:val="%8."/>
      <w:lvlJc w:val="left"/>
      <w:pPr>
        <w:ind w:left="6129" w:hanging="360"/>
      </w:pPr>
    </w:lvl>
    <w:lvl w:ilvl="8" w:tplc="56126EEE" w:tentative="1">
      <w:start w:val="1"/>
      <w:numFmt w:val="lowerRoman"/>
      <w:lvlText w:val="%9."/>
      <w:lvlJc w:val="right"/>
      <w:pPr>
        <w:ind w:left="6849" w:hanging="180"/>
      </w:pPr>
    </w:lvl>
  </w:abstractNum>
  <w:abstractNum w:abstractNumId="24" w15:restartNumberingAfterBreak="0">
    <w:nsid w:val="5FFB6035"/>
    <w:multiLevelType w:val="hybridMultilevel"/>
    <w:tmpl w:val="1B9A4D9A"/>
    <w:lvl w:ilvl="0" w:tplc="9D5EBF74">
      <w:start w:val="1"/>
      <w:numFmt w:val="bullet"/>
      <w:lvlText w:val=""/>
      <w:lvlJc w:val="left"/>
      <w:pPr>
        <w:ind w:left="1077" w:hanging="360"/>
      </w:pPr>
      <w:rPr>
        <w:rFonts w:ascii="Symbol" w:hAnsi="Symbol" w:hint="default"/>
      </w:rPr>
    </w:lvl>
    <w:lvl w:ilvl="1" w:tplc="80604422" w:tentative="1">
      <w:start w:val="1"/>
      <w:numFmt w:val="bullet"/>
      <w:lvlText w:val="o"/>
      <w:lvlJc w:val="left"/>
      <w:pPr>
        <w:ind w:left="1797" w:hanging="360"/>
      </w:pPr>
      <w:rPr>
        <w:rFonts w:ascii="Courier New" w:hAnsi="Courier New" w:cs="Courier New" w:hint="default"/>
      </w:rPr>
    </w:lvl>
    <w:lvl w:ilvl="2" w:tplc="5EF43A22" w:tentative="1">
      <w:start w:val="1"/>
      <w:numFmt w:val="bullet"/>
      <w:lvlText w:val=""/>
      <w:lvlJc w:val="left"/>
      <w:pPr>
        <w:ind w:left="2517" w:hanging="360"/>
      </w:pPr>
      <w:rPr>
        <w:rFonts w:ascii="Wingdings" w:hAnsi="Wingdings" w:hint="default"/>
      </w:rPr>
    </w:lvl>
    <w:lvl w:ilvl="3" w:tplc="B3DCB3C0" w:tentative="1">
      <w:start w:val="1"/>
      <w:numFmt w:val="bullet"/>
      <w:lvlText w:val=""/>
      <w:lvlJc w:val="left"/>
      <w:pPr>
        <w:ind w:left="3237" w:hanging="360"/>
      </w:pPr>
      <w:rPr>
        <w:rFonts w:ascii="Symbol" w:hAnsi="Symbol" w:hint="default"/>
      </w:rPr>
    </w:lvl>
    <w:lvl w:ilvl="4" w:tplc="3F282BAC" w:tentative="1">
      <w:start w:val="1"/>
      <w:numFmt w:val="bullet"/>
      <w:lvlText w:val="o"/>
      <w:lvlJc w:val="left"/>
      <w:pPr>
        <w:ind w:left="3957" w:hanging="360"/>
      </w:pPr>
      <w:rPr>
        <w:rFonts w:ascii="Courier New" w:hAnsi="Courier New" w:cs="Courier New" w:hint="default"/>
      </w:rPr>
    </w:lvl>
    <w:lvl w:ilvl="5" w:tplc="D19A9E34" w:tentative="1">
      <w:start w:val="1"/>
      <w:numFmt w:val="bullet"/>
      <w:lvlText w:val=""/>
      <w:lvlJc w:val="left"/>
      <w:pPr>
        <w:ind w:left="4677" w:hanging="360"/>
      </w:pPr>
      <w:rPr>
        <w:rFonts w:ascii="Wingdings" w:hAnsi="Wingdings" w:hint="default"/>
      </w:rPr>
    </w:lvl>
    <w:lvl w:ilvl="6" w:tplc="B484E498" w:tentative="1">
      <w:start w:val="1"/>
      <w:numFmt w:val="bullet"/>
      <w:lvlText w:val=""/>
      <w:lvlJc w:val="left"/>
      <w:pPr>
        <w:ind w:left="5397" w:hanging="360"/>
      </w:pPr>
      <w:rPr>
        <w:rFonts w:ascii="Symbol" w:hAnsi="Symbol" w:hint="default"/>
      </w:rPr>
    </w:lvl>
    <w:lvl w:ilvl="7" w:tplc="4DF6482C" w:tentative="1">
      <w:start w:val="1"/>
      <w:numFmt w:val="bullet"/>
      <w:lvlText w:val="o"/>
      <w:lvlJc w:val="left"/>
      <w:pPr>
        <w:ind w:left="6117" w:hanging="360"/>
      </w:pPr>
      <w:rPr>
        <w:rFonts w:ascii="Courier New" w:hAnsi="Courier New" w:cs="Courier New" w:hint="default"/>
      </w:rPr>
    </w:lvl>
    <w:lvl w:ilvl="8" w:tplc="1BBC7B04" w:tentative="1">
      <w:start w:val="1"/>
      <w:numFmt w:val="bullet"/>
      <w:lvlText w:val=""/>
      <w:lvlJc w:val="left"/>
      <w:pPr>
        <w:ind w:left="6837" w:hanging="360"/>
      </w:pPr>
      <w:rPr>
        <w:rFonts w:ascii="Wingdings" w:hAnsi="Wingdings" w:hint="default"/>
      </w:rPr>
    </w:lvl>
  </w:abstractNum>
  <w:abstractNum w:abstractNumId="25"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C55560A"/>
    <w:multiLevelType w:val="hybridMultilevel"/>
    <w:tmpl w:val="1CC89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9" w15:restartNumberingAfterBreak="0">
    <w:nsid w:val="6F5C7C61"/>
    <w:multiLevelType w:val="hybridMultilevel"/>
    <w:tmpl w:val="D58E68B2"/>
    <w:lvl w:ilvl="0" w:tplc="92CC425E">
      <w:start w:val="1"/>
      <w:numFmt w:val="decimal"/>
      <w:lvlText w:val="%1."/>
      <w:lvlJc w:val="left"/>
      <w:pPr>
        <w:ind w:left="720" w:hanging="360"/>
      </w:pPr>
    </w:lvl>
    <w:lvl w:ilvl="1" w:tplc="7ABAAE22">
      <w:start w:val="1"/>
      <w:numFmt w:val="lowerLetter"/>
      <w:lvlText w:val="%2."/>
      <w:lvlJc w:val="left"/>
      <w:pPr>
        <w:ind w:left="1440" w:hanging="360"/>
      </w:pPr>
    </w:lvl>
    <w:lvl w:ilvl="2" w:tplc="F8D6EF24">
      <w:start w:val="1"/>
      <w:numFmt w:val="lowerRoman"/>
      <w:lvlText w:val="%3."/>
      <w:lvlJc w:val="right"/>
      <w:pPr>
        <w:ind w:left="2160" w:hanging="180"/>
      </w:pPr>
    </w:lvl>
    <w:lvl w:ilvl="3" w:tplc="B9E63562" w:tentative="1">
      <w:start w:val="1"/>
      <w:numFmt w:val="decimal"/>
      <w:lvlText w:val="%4."/>
      <w:lvlJc w:val="left"/>
      <w:pPr>
        <w:ind w:left="2880" w:hanging="360"/>
      </w:pPr>
    </w:lvl>
    <w:lvl w:ilvl="4" w:tplc="6C2C2F58" w:tentative="1">
      <w:start w:val="1"/>
      <w:numFmt w:val="lowerLetter"/>
      <w:lvlText w:val="%5."/>
      <w:lvlJc w:val="left"/>
      <w:pPr>
        <w:ind w:left="3600" w:hanging="360"/>
      </w:pPr>
    </w:lvl>
    <w:lvl w:ilvl="5" w:tplc="BA38A926" w:tentative="1">
      <w:start w:val="1"/>
      <w:numFmt w:val="lowerRoman"/>
      <w:lvlText w:val="%6."/>
      <w:lvlJc w:val="right"/>
      <w:pPr>
        <w:ind w:left="4320" w:hanging="180"/>
      </w:pPr>
    </w:lvl>
    <w:lvl w:ilvl="6" w:tplc="A1E086C4" w:tentative="1">
      <w:start w:val="1"/>
      <w:numFmt w:val="decimal"/>
      <w:lvlText w:val="%7."/>
      <w:lvlJc w:val="left"/>
      <w:pPr>
        <w:ind w:left="5040" w:hanging="360"/>
      </w:pPr>
    </w:lvl>
    <w:lvl w:ilvl="7" w:tplc="A8AEC54E" w:tentative="1">
      <w:start w:val="1"/>
      <w:numFmt w:val="lowerLetter"/>
      <w:lvlText w:val="%8."/>
      <w:lvlJc w:val="left"/>
      <w:pPr>
        <w:ind w:left="5760" w:hanging="360"/>
      </w:pPr>
    </w:lvl>
    <w:lvl w:ilvl="8" w:tplc="E0049B8E" w:tentative="1">
      <w:start w:val="1"/>
      <w:numFmt w:val="lowerRoman"/>
      <w:lvlText w:val="%9."/>
      <w:lvlJc w:val="right"/>
      <w:pPr>
        <w:ind w:left="6480" w:hanging="180"/>
      </w:pPr>
    </w:lvl>
  </w:abstractNum>
  <w:abstractNum w:abstractNumId="30"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31"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977030762">
    <w:abstractNumId w:val="31"/>
  </w:num>
  <w:num w:numId="2" w16cid:durableId="421219346">
    <w:abstractNumId w:val="10"/>
  </w:num>
  <w:num w:numId="3" w16cid:durableId="2115784886">
    <w:abstractNumId w:val="29"/>
  </w:num>
  <w:num w:numId="4" w16cid:durableId="238097220">
    <w:abstractNumId w:val="26"/>
  </w:num>
  <w:num w:numId="5" w16cid:durableId="1062022864">
    <w:abstractNumId w:val="17"/>
  </w:num>
  <w:num w:numId="6" w16cid:durableId="480661301">
    <w:abstractNumId w:val="15"/>
  </w:num>
  <w:num w:numId="7" w16cid:durableId="1690448435">
    <w:abstractNumId w:val="25"/>
  </w:num>
  <w:num w:numId="8" w16cid:durableId="1381906736">
    <w:abstractNumId w:val="14"/>
  </w:num>
  <w:num w:numId="9" w16cid:durableId="470755263">
    <w:abstractNumId w:val="13"/>
  </w:num>
  <w:num w:numId="10" w16cid:durableId="229120349">
    <w:abstractNumId w:val="30"/>
  </w:num>
  <w:num w:numId="11" w16cid:durableId="1602952586">
    <w:abstractNumId w:val="25"/>
  </w:num>
  <w:num w:numId="12" w16cid:durableId="8097140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5083064">
    <w:abstractNumId w:val="20"/>
  </w:num>
  <w:num w:numId="14" w16cid:durableId="166333914">
    <w:abstractNumId w:val="24"/>
  </w:num>
  <w:num w:numId="15" w16cid:durableId="1801193306">
    <w:abstractNumId w:val="28"/>
  </w:num>
  <w:num w:numId="16" w16cid:durableId="1237589119">
    <w:abstractNumId w:val="25"/>
  </w:num>
  <w:num w:numId="17" w16cid:durableId="180165320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8028796">
    <w:abstractNumId w:val="25"/>
  </w:num>
  <w:num w:numId="19" w16cid:durableId="307981610">
    <w:abstractNumId w:val="21"/>
  </w:num>
  <w:num w:numId="20" w16cid:durableId="848838884">
    <w:abstractNumId w:val="25"/>
  </w:num>
  <w:num w:numId="21" w16cid:durableId="1634601368">
    <w:abstractNumId w:val="23"/>
  </w:num>
  <w:num w:numId="22" w16cid:durableId="492065187">
    <w:abstractNumId w:val="18"/>
  </w:num>
  <w:num w:numId="23" w16cid:durableId="1309631511">
    <w:abstractNumId w:val="12"/>
  </w:num>
  <w:num w:numId="24" w16cid:durableId="1550998748">
    <w:abstractNumId w:val="25"/>
  </w:num>
  <w:num w:numId="25" w16cid:durableId="17233646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8806419">
    <w:abstractNumId w:val="8"/>
  </w:num>
  <w:num w:numId="27" w16cid:durableId="771051952">
    <w:abstractNumId w:val="22"/>
  </w:num>
  <w:num w:numId="28" w16cid:durableId="7106937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12259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3809572">
    <w:abstractNumId w:val="25"/>
  </w:num>
  <w:num w:numId="31" w16cid:durableId="10819458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600100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99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45473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01452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60210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281331">
    <w:abstractNumId w:val="0"/>
  </w:num>
  <w:num w:numId="38" w16cid:durableId="707799895">
    <w:abstractNumId w:val="1"/>
  </w:num>
  <w:num w:numId="39" w16cid:durableId="762991166">
    <w:abstractNumId w:val="4"/>
  </w:num>
  <w:num w:numId="40" w16cid:durableId="724451500">
    <w:abstractNumId w:val="5"/>
  </w:num>
  <w:num w:numId="41" w16cid:durableId="1546141953">
    <w:abstractNumId w:val="6"/>
  </w:num>
  <w:num w:numId="42" w16cid:durableId="1170561361">
    <w:abstractNumId w:val="9"/>
  </w:num>
  <w:num w:numId="43" w16cid:durableId="128209750">
    <w:abstractNumId w:val="7"/>
  </w:num>
  <w:num w:numId="44" w16cid:durableId="1672174990">
    <w:abstractNumId w:val="3"/>
  </w:num>
  <w:num w:numId="45" w16cid:durableId="1376851421">
    <w:abstractNumId w:val="2"/>
  </w:num>
  <w:num w:numId="46" w16cid:durableId="1938562298">
    <w:abstractNumId w:val="27"/>
  </w:num>
  <w:num w:numId="47" w16cid:durableId="599140601">
    <w:abstractNumId w:val="11"/>
  </w:num>
  <w:num w:numId="48" w16cid:durableId="93596982">
    <w:abstractNumId w:val="16"/>
  </w:num>
  <w:num w:numId="49" w16cid:durableId="152987815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TableGridLight"/>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2A61"/>
    <w:rsid w:val="000032A0"/>
    <w:rsid w:val="00007DE1"/>
    <w:rsid w:val="00012BE8"/>
    <w:rsid w:val="000131EE"/>
    <w:rsid w:val="00014BD7"/>
    <w:rsid w:val="00014D8D"/>
    <w:rsid w:val="00017A49"/>
    <w:rsid w:val="000232F2"/>
    <w:rsid w:val="00027858"/>
    <w:rsid w:val="00034E70"/>
    <w:rsid w:val="000401FF"/>
    <w:rsid w:val="00045DD9"/>
    <w:rsid w:val="00045FFB"/>
    <w:rsid w:val="00046DF0"/>
    <w:rsid w:val="00047029"/>
    <w:rsid w:val="0004729B"/>
    <w:rsid w:val="000514BD"/>
    <w:rsid w:val="00055589"/>
    <w:rsid w:val="000613B1"/>
    <w:rsid w:val="00071327"/>
    <w:rsid w:val="0007367C"/>
    <w:rsid w:val="00074349"/>
    <w:rsid w:val="000800C3"/>
    <w:rsid w:val="000807B0"/>
    <w:rsid w:val="00082E59"/>
    <w:rsid w:val="00086D3D"/>
    <w:rsid w:val="000915F4"/>
    <w:rsid w:val="00091B06"/>
    <w:rsid w:val="000956D9"/>
    <w:rsid w:val="00096150"/>
    <w:rsid w:val="000A0887"/>
    <w:rsid w:val="000C27CA"/>
    <w:rsid w:val="000C3FD9"/>
    <w:rsid w:val="000C4132"/>
    <w:rsid w:val="000D06D9"/>
    <w:rsid w:val="000D1751"/>
    <w:rsid w:val="000D1EC4"/>
    <w:rsid w:val="000D44ED"/>
    <w:rsid w:val="000D5EE4"/>
    <w:rsid w:val="000E06AD"/>
    <w:rsid w:val="000E5C12"/>
    <w:rsid w:val="000E67F2"/>
    <w:rsid w:val="000F03DC"/>
    <w:rsid w:val="000F17A8"/>
    <w:rsid w:val="000F515B"/>
    <w:rsid w:val="000F55E7"/>
    <w:rsid w:val="000F6983"/>
    <w:rsid w:val="00104D18"/>
    <w:rsid w:val="00111440"/>
    <w:rsid w:val="00112BB6"/>
    <w:rsid w:val="00114BA0"/>
    <w:rsid w:val="00121E27"/>
    <w:rsid w:val="00123AD8"/>
    <w:rsid w:val="00124A98"/>
    <w:rsid w:val="001271CB"/>
    <w:rsid w:val="0013059A"/>
    <w:rsid w:val="00130D25"/>
    <w:rsid w:val="001345C9"/>
    <w:rsid w:val="0014182C"/>
    <w:rsid w:val="00142E0B"/>
    <w:rsid w:val="00144F0D"/>
    <w:rsid w:val="00147FB0"/>
    <w:rsid w:val="00150DDF"/>
    <w:rsid w:val="00156132"/>
    <w:rsid w:val="0015695F"/>
    <w:rsid w:val="00160754"/>
    <w:rsid w:val="001661D7"/>
    <w:rsid w:val="00167019"/>
    <w:rsid w:val="0017077A"/>
    <w:rsid w:val="00170D66"/>
    <w:rsid w:val="00170DC6"/>
    <w:rsid w:val="0017351A"/>
    <w:rsid w:val="001827C2"/>
    <w:rsid w:val="00186E6F"/>
    <w:rsid w:val="00193362"/>
    <w:rsid w:val="001948B1"/>
    <w:rsid w:val="00194DE5"/>
    <w:rsid w:val="0019724B"/>
    <w:rsid w:val="001A227D"/>
    <w:rsid w:val="001A4624"/>
    <w:rsid w:val="001A5E53"/>
    <w:rsid w:val="001B0B0A"/>
    <w:rsid w:val="001B3685"/>
    <w:rsid w:val="001C0255"/>
    <w:rsid w:val="001C0F11"/>
    <w:rsid w:val="001C1ABF"/>
    <w:rsid w:val="001D0100"/>
    <w:rsid w:val="001E0F90"/>
    <w:rsid w:val="001E2ACF"/>
    <w:rsid w:val="001E5CE3"/>
    <w:rsid w:val="001F2316"/>
    <w:rsid w:val="001F2A15"/>
    <w:rsid w:val="001F2B3B"/>
    <w:rsid w:val="001F31E2"/>
    <w:rsid w:val="001F679F"/>
    <w:rsid w:val="001F6BD8"/>
    <w:rsid w:val="00201EBE"/>
    <w:rsid w:val="00204E35"/>
    <w:rsid w:val="00204E73"/>
    <w:rsid w:val="0020610E"/>
    <w:rsid w:val="0020693B"/>
    <w:rsid w:val="00212251"/>
    <w:rsid w:val="00213977"/>
    <w:rsid w:val="00216B29"/>
    <w:rsid w:val="00222108"/>
    <w:rsid w:val="00231A97"/>
    <w:rsid w:val="00234917"/>
    <w:rsid w:val="0023615D"/>
    <w:rsid w:val="002408EC"/>
    <w:rsid w:val="00241BF6"/>
    <w:rsid w:val="00254052"/>
    <w:rsid w:val="002548BC"/>
    <w:rsid w:val="00255F52"/>
    <w:rsid w:val="002561B9"/>
    <w:rsid w:val="002612BB"/>
    <w:rsid w:val="0027081F"/>
    <w:rsid w:val="00270BA1"/>
    <w:rsid w:val="00272B0B"/>
    <w:rsid w:val="00274818"/>
    <w:rsid w:val="002817ED"/>
    <w:rsid w:val="00284DC9"/>
    <w:rsid w:val="002939D1"/>
    <w:rsid w:val="00294541"/>
    <w:rsid w:val="002A0F83"/>
    <w:rsid w:val="002A351F"/>
    <w:rsid w:val="002A54D0"/>
    <w:rsid w:val="002A577E"/>
    <w:rsid w:val="002A5A1E"/>
    <w:rsid w:val="002A7384"/>
    <w:rsid w:val="002B3E60"/>
    <w:rsid w:val="002B4251"/>
    <w:rsid w:val="002B47B7"/>
    <w:rsid w:val="002B6903"/>
    <w:rsid w:val="002B6EE3"/>
    <w:rsid w:val="002C042D"/>
    <w:rsid w:val="002C07A5"/>
    <w:rsid w:val="002C086E"/>
    <w:rsid w:val="002C0E4C"/>
    <w:rsid w:val="002C6C13"/>
    <w:rsid w:val="002D149C"/>
    <w:rsid w:val="002D2D36"/>
    <w:rsid w:val="002D3EC0"/>
    <w:rsid w:val="002E1C52"/>
    <w:rsid w:val="002E2ADD"/>
    <w:rsid w:val="002E3304"/>
    <w:rsid w:val="002E351B"/>
    <w:rsid w:val="002E43F0"/>
    <w:rsid w:val="002E5A71"/>
    <w:rsid w:val="002F1217"/>
    <w:rsid w:val="002F1F60"/>
    <w:rsid w:val="002F211F"/>
    <w:rsid w:val="002F4465"/>
    <w:rsid w:val="002F6084"/>
    <w:rsid w:val="002F67EC"/>
    <w:rsid w:val="002F7409"/>
    <w:rsid w:val="00302DC3"/>
    <w:rsid w:val="00303FFC"/>
    <w:rsid w:val="00304A92"/>
    <w:rsid w:val="00304C1E"/>
    <w:rsid w:val="003079E5"/>
    <w:rsid w:val="00311E62"/>
    <w:rsid w:val="00313374"/>
    <w:rsid w:val="003145F4"/>
    <w:rsid w:val="003152AB"/>
    <w:rsid w:val="00317687"/>
    <w:rsid w:val="00322AC0"/>
    <w:rsid w:val="0032356E"/>
    <w:rsid w:val="003268F7"/>
    <w:rsid w:val="0033358F"/>
    <w:rsid w:val="003348A2"/>
    <w:rsid w:val="00334ACA"/>
    <w:rsid w:val="003472F1"/>
    <w:rsid w:val="00351231"/>
    <w:rsid w:val="00352BB1"/>
    <w:rsid w:val="00352F25"/>
    <w:rsid w:val="003553D0"/>
    <w:rsid w:val="00360B5E"/>
    <w:rsid w:val="00362E4E"/>
    <w:rsid w:val="00364895"/>
    <w:rsid w:val="00367628"/>
    <w:rsid w:val="00367E2C"/>
    <w:rsid w:val="00371EF5"/>
    <w:rsid w:val="00371F7A"/>
    <w:rsid w:val="003726B8"/>
    <w:rsid w:val="00374588"/>
    <w:rsid w:val="00374903"/>
    <w:rsid w:val="00376A5A"/>
    <w:rsid w:val="00382CF1"/>
    <w:rsid w:val="00384EC2"/>
    <w:rsid w:val="00391653"/>
    <w:rsid w:val="0039416C"/>
    <w:rsid w:val="00396E28"/>
    <w:rsid w:val="0039717E"/>
    <w:rsid w:val="003979A2"/>
    <w:rsid w:val="003A012A"/>
    <w:rsid w:val="003A163C"/>
    <w:rsid w:val="003A39E1"/>
    <w:rsid w:val="003A6733"/>
    <w:rsid w:val="003A7927"/>
    <w:rsid w:val="003B10AF"/>
    <w:rsid w:val="003B3811"/>
    <w:rsid w:val="003B64C4"/>
    <w:rsid w:val="003B7B80"/>
    <w:rsid w:val="003C2E97"/>
    <w:rsid w:val="003C464C"/>
    <w:rsid w:val="003C5B99"/>
    <w:rsid w:val="003D3EE9"/>
    <w:rsid w:val="003D63BD"/>
    <w:rsid w:val="003F2D59"/>
    <w:rsid w:val="003F36B0"/>
    <w:rsid w:val="003F508A"/>
    <w:rsid w:val="003F6F25"/>
    <w:rsid w:val="003F74A6"/>
    <w:rsid w:val="003F7DA8"/>
    <w:rsid w:val="00400875"/>
    <w:rsid w:val="00402EF9"/>
    <w:rsid w:val="0040381F"/>
    <w:rsid w:val="00403BDF"/>
    <w:rsid w:val="00406DCC"/>
    <w:rsid w:val="00407D3B"/>
    <w:rsid w:val="00412531"/>
    <w:rsid w:val="004149C8"/>
    <w:rsid w:val="0041656D"/>
    <w:rsid w:val="00417A52"/>
    <w:rsid w:val="00424F3E"/>
    <w:rsid w:val="00426FE8"/>
    <w:rsid w:val="004341DE"/>
    <w:rsid w:val="00434634"/>
    <w:rsid w:val="00435004"/>
    <w:rsid w:val="00446935"/>
    <w:rsid w:val="00452256"/>
    <w:rsid w:val="00454759"/>
    <w:rsid w:val="00461882"/>
    <w:rsid w:val="00463BE8"/>
    <w:rsid w:val="0046450A"/>
    <w:rsid w:val="00465244"/>
    <w:rsid w:val="0046618C"/>
    <w:rsid w:val="00466B7E"/>
    <w:rsid w:val="004678AA"/>
    <w:rsid w:val="004711C5"/>
    <w:rsid w:val="00473F5B"/>
    <w:rsid w:val="00474040"/>
    <w:rsid w:val="00474C79"/>
    <w:rsid w:val="00474D5B"/>
    <w:rsid w:val="00475359"/>
    <w:rsid w:val="00476C46"/>
    <w:rsid w:val="00481D74"/>
    <w:rsid w:val="0048325D"/>
    <w:rsid w:val="0048373D"/>
    <w:rsid w:val="0048390D"/>
    <w:rsid w:val="00490047"/>
    <w:rsid w:val="004911DD"/>
    <w:rsid w:val="004924A0"/>
    <w:rsid w:val="00494018"/>
    <w:rsid w:val="00496852"/>
    <w:rsid w:val="004A0ECB"/>
    <w:rsid w:val="004A3264"/>
    <w:rsid w:val="004B4668"/>
    <w:rsid w:val="004B6AB8"/>
    <w:rsid w:val="004C2F7B"/>
    <w:rsid w:val="004C3653"/>
    <w:rsid w:val="004C561D"/>
    <w:rsid w:val="004C6DFD"/>
    <w:rsid w:val="004E09A7"/>
    <w:rsid w:val="004E0CA1"/>
    <w:rsid w:val="004E2FE4"/>
    <w:rsid w:val="004E30CC"/>
    <w:rsid w:val="004E33B6"/>
    <w:rsid w:val="004E3557"/>
    <w:rsid w:val="004E67CC"/>
    <w:rsid w:val="004E7BFE"/>
    <w:rsid w:val="004F33A8"/>
    <w:rsid w:val="004F4D77"/>
    <w:rsid w:val="004F5BB5"/>
    <w:rsid w:val="0050435A"/>
    <w:rsid w:val="005045FA"/>
    <w:rsid w:val="00506075"/>
    <w:rsid w:val="005077A0"/>
    <w:rsid w:val="00507CFE"/>
    <w:rsid w:val="005102AB"/>
    <w:rsid w:val="00510BCE"/>
    <w:rsid w:val="00510CD5"/>
    <w:rsid w:val="00515383"/>
    <w:rsid w:val="005162F6"/>
    <w:rsid w:val="00517B36"/>
    <w:rsid w:val="00526821"/>
    <w:rsid w:val="005268BF"/>
    <w:rsid w:val="00534A52"/>
    <w:rsid w:val="005356DC"/>
    <w:rsid w:val="005359F0"/>
    <w:rsid w:val="00540EF4"/>
    <w:rsid w:val="00541C04"/>
    <w:rsid w:val="00550E25"/>
    <w:rsid w:val="005624D6"/>
    <w:rsid w:val="00564FB9"/>
    <w:rsid w:val="00565F20"/>
    <w:rsid w:val="00567694"/>
    <w:rsid w:val="005742FF"/>
    <w:rsid w:val="00576EBB"/>
    <w:rsid w:val="00585FD1"/>
    <w:rsid w:val="00586427"/>
    <w:rsid w:val="00586AFC"/>
    <w:rsid w:val="005A1D93"/>
    <w:rsid w:val="005A6B08"/>
    <w:rsid w:val="005A7088"/>
    <w:rsid w:val="005B13F3"/>
    <w:rsid w:val="005B2778"/>
    <w:rsid w:val="005B2F67"/>
    <w:rsid w:val="005B7243"/>
    <w:rsid w:val="005B7A3A"/>
    <w:rsid w:val="005C5D99"/>
    <w:rsid w:val="005C6F42"/>
    <w:rsid w:val="005D0E20"/>
    <w:rsid w:val="005D2BB2"/>
    <w:rsid w:val="005D4CB2"/>
    <w:rsid w:val="005D6D94"/>
    <w:rsid w:val="005E3F3F"/>
    <w:rsid w:val="005E5E82"/>
    <w:rsid w:val="005E6546"/>
    <w:rsid w:val="005E7E43"/>
    <w:rsid w:val="005F0D9F"/>
    <w:rsid w:val="005F49D0"/>
    <w:rsid w:val="005F687E"/>
    <w:rsid w:val="00603775"/>
    <w:rsid w:val="00606C45"/>
    <w:rsid w:val="00614B10"/>
    <w:rsid w:val="00617D03"/>
    <w:rsid w:val="00622053"/>
    <w:rsid w:val="0062525F"/>
    <w:rsid w:val="0062605C"/>
    <w:rsid w:val="00626E24"/>
    <w:rsid w:val="006318A8"/>
    <w:rsid w:val="006344F8"/>
    <w:rsid w:val="00640584"/>
    <w:rsid w:val="00641FB6"/>
    <w:rsid w:val="00643CAF"/>
    <w:rsid w:val="006442BC"/>
    <w:rsid w:val="00645DBE"/>
    <w:rsid w:val="006524AB"/>
    <w:rsid w:val="006576F8"/>
    <w:rsid w:val="0066145A"/>
    <w:rsid w:val="00661663"/>
    <w:rsid w:val="0066217F"/>
    <w:rsid w:val="006701E1"/>
    <w:rsid w:val="00672D45"/>
    <w:rsid w:val="006770BE"/>
    <w:rsid w:val="00680050"/>
    <w:rsid w:val="00681558"/>
    <w:rsid w:val="00681F7C"/>
    <w:rsid w:val="0068207C"/>
    <w:rsid w:val="00682408"/>
    <w:rsid w:val="00687AFB"/>
    <w:rsid w:val="00691CB9"/>
    <w:rsid w:val="00691F4C"/>
    <w:rsid w:val="00692693"/>
    <w:rsid w:val="00693C50"/>
    <w:rsid w:val="00695791"/>
    <w:rsid w:val="006A78ED"/>
    <w:rsid w:val="006A7965"/>
    <w:rsid w:val="006B1735"/>
    <w:rsid w:val="006B2B83"/>
    <w:rsid w:val="006B726D"/>
    <w:rsid w:val="006B7F92"/>
    <w:rsid w:val="006C2225"/>
    <w:rsid w:val="006C45AB"/>
    <w:rsid w:val="006D01B3"/>
    <w:rsid w:val="006D0B1E"/>
    <w:rsid w:val="006D1859"/>
    <w:rsid w:val="006D3FA8"/>
    <w:rsid w:val="006E0EC3"/>
    <w:rsid w:val="006E0FEB"/>
    <w:rsid w:val="006E2B5F"/>
    <w:rsid w:val="006E4B8A"/>
    <w:rsid w:val="006F0D83"/>
    <w:rsid w:val="006F3470"/>
    <w:rsid w:val="006F38E8"/>
    <w:rsid w:val="00703AF7"/>
    <w:rsid w:val="0070575D"/>
    <w:rsid w:val="00707D7F"/>
    <w:rsid w:val="0071051E"/>
    <w:rsid w:val="00710673"/>
    <w:rsid w:val="00710794"/>
    <w:rsid w:val="00711C9D"/>
    <w:rsid w:val="00712B0A"/>
    <w:rsid w:val="00715231"/>
    <w:rsid w:val="0071562E"/>
    <w:rsid w:val="00715912"/>
    <w:rsid w:val="0072030D"/>
    <w:rsid w:val="00721D8C"/>
    <w:rsid w:val="00721DE8"/>
    <w:rsid w:val="00722C19"/>
    <w:rsid w:val="00723BDE"/>
    <w:rsid w:val="00724F37"/>
    <w:rsid w:val="00725473"/>
    <w:rsid w:val="00725B2A"/>
    <w:rsid w:val="00727FF3"/>
    <w:rsid w:val="00733823"/>
    <w:rsid w:val="00736BE5"/>
    <w:rsid w:val="0074277A"/>
    <w:rsid w:val="00743ABB"/>
    <w:rsid w:val="007440F7"/>
    <w:rsid w:val="0074454B"/>
    <w:rsid w:val="007461AF"/>
    <w:rsid w:val="00747734"/>
    <w:rsid w:val="0075164F"/>
    <w:rsid w:val="00765C20"/>
    <w:rsid w:val="00770DD9"/>
    <w:rsid w:val="00771DE5"/>
    <w:rsid w:val="007733D2"/>
    <w:rsid w:val="007737CC"/>
    <w:rsid w:val="00774B4C"/>
    <w:rsid w:val="00777043"/>
    <w:rsid w:val="007807CF"/>
    <w:rsid w:val="00780D19"/>
    <w:rsid w:val="00780E80"/>
    <w:rsid w:val="00783454"/>
    <w:rsid w:val="00785FE5"/>
    <w:rsid w:val="00790C43"/>
    <w:rsid w:val="00790D28"/>
    <w:rsid w:val="00792822"/>
    <w:rsid w:val="007935B6"/>
    <w:rsid w:val="00796A7E"/>
    <w:rsid w:val="00797C85"/>
    <w:rsid w:val="00797F17"/>
    <w:rsid w:val="007A29DB"/>
    <w:rsid w:val="007A3751"/>
    <w:rsid w:val="007A553B"/>
    <w:rsid w:val="007A6228"/>
    <w:rsid w:val="007B0A0A"/>
    <w:rsid w:val="007B1575"/>
    <w:rsid w:val="007C15E1"/>
    <w:rsid w:val="007C1B36"/>
    <w:rsid w:val="007C3F00"/>
    <w:rsid w:val="007C3F20"/>
    <w:rsid w:val="007C5C7E"/>
    <w:rsid w:val="007C5F60"/>
    <w:rsid w:val="007D25C9"/>
    <w:rsid w:val="007D4FE3"/>
    <w:rsid w:val="007D5951"/>
    <w:rsid w:val="007D7340"/>
    <w:rsid w:val="007E0267"/>
    <w:rsid w:val="007E17AB"/>
    <w:rsid w:val="007E1CB9"/>
    <w:rsid w:val="007E5B3B"/>
    <w:rsid w:val="007E60B7"/>
    <w:rsid w:val="007E6FED"/>
    <w:rsid w:val="007F26FB"/>
    <w:rsid w:val="007F5C36"/>
    <w:rsid w:val="00801520"/>
    <w:rsid w:val="0080154A"/>
    <w:rsid w:val="008015ED"/>
    <w:rsid w:val="008048E5"/>
    <w:rsid w:val="00804D40"/>
    <w:rsid w:val="0080536E"/>
    <w:rsid w:val="00810B41"/>
    <w:rsid w:val="00810CAD"/>
    <w:rsid w:val="00814E25"/>
    <w:rsid w:val="00815B7C"/>
    <w:rsid w:val="008164EC"/>
    <w:rsid w:val="0082386B"/>
    <w:rsid w:val="008246B0"/>
    <w:rsid w:val="00827EF3"/>
    <w:rsid w:val="0083570E"/>
    <w:rsid w:val="00841343"/>
    <w:rsid w:val="00843C1C"/>
    <w:rsid w:val="008479B4"/>
    <w:rsid w:val="008518EB"/>
    <w:rsid w:val="00853E5B"/>
    <w:rsid w:val="00854106"/>
    <w:rsid w:val="008549AD"/>
    <w:rsid w:val="00857C70"/>
    <w:rsid w:val="00861245"/>
    <w:rsid w:val="00861326"/>
    <w:rsid w:val="00864278"/>
    <w:rsid w:val="00864892"/>
    <w:rsid w:val="00870DE8"/>
    <w:rsid w:val="00871FBD"/>
    <w:rsid w:val="008727D7"/>
    <w:rsid w:val="0087312F"/>
    <w:rsid w:val="00873858"/>
    <w:rsid w:val="00874AF5"/>
    <w:rsid w:val="00875BD6"/>
    <w:rsid w:val="008773E5"/>
    <w:rsid w:val="0087798F"/>
    <w:rsid w:val="0088344F"/>
    <w:rsid w:val="0088707F"/>
    <w:rsid w:val="008900CD"/>
    <w:rsid w:val="00892B80"/>
    <w:rsid w:val="008931AC"/>
    <w:rsid w:val="00895FCB"/>
    <w:rsid w:val="008A0665"/>
    <w:rsid w:val="008A2A62"/>
    <w:rsid w:val="008A2AB3"/>
    <w:rsid w:val="008A32DA"/>
    <w:rsid w:val="008A333C"/>
    <w:rsid w:val="008A6BDC"/>
    <w:rsid w:val="008A7636"/>
    <w:rsid w:val="008A78D9"/>
    <w:rsid w:val="008B1BA2"/>
    <w:rsid w:val="008B5CBB"/>
    <w:rsid w:val="008B7E56"/>
    <w:rsid w:val="008C00FC"/>
    <w:rsid w:val="008D395C"/>
    <w:rsid w:val="008D421C"/>
    <w:rsid w:val="008D4ED5"/>
    <w:rsid w:val="008D5EF9"/>
    <w:rsid w:val="008D7309"/>
    <w:rsid w:val="008E3606"/>
    <w:rsid w:val="008E5509"/>
    <w:rsid w:val="008E74E1"/>
    <w:rsid w:val="008F1E81"/>
    <w:rsid w:val="008F202F"/>
    <w:rsid w:val="008F7FE8"/>
    <w:rsid w:val="0090014C"/>
    <w:rsid w:val="00905947"/>
    <w:rsid w:val="009067DC"/>
    <w:rsid w:val="009125C0"/>
    <w:rsid w:val="00913972"/>
    <w:rsid w:val="00917AB4"/>
    <w:rsid w:val="00924839"/>
    <w:rsid w:val="009250E9"/>
    <w:rsid w:val="0092608A"/>
    <w:rsid w:val="00927F66"/>
    <w:rsid w:val="00932AAA"/>
    <w:rsid w:val="00935184"/>
    <w:rsid w:val="009427AA"/>
    <w:rsid w:val="009433FA"/>
    <w:rsid w:val="009455A9"/>
    <w:rsid w:val="009465E7"/>
    <w:rsid w:val="00946ABF"/>
    <w:rsid w:val="00951AD8"/>
    <w:rsid w:val="00956A40"/>
    <w:rsid w:val="009606C8"/>
    <w:rsid w:val="00983E10"/>
    <w:rsid w:val="00994C0F"/>
    <w:rsid w:val="009A108E"/>
    <w:rsid w:val="009A1762"/>
    <w:rsid w:val="009A412F"/>
    <w:rsid w:val="009A5A60"/>
    <w:rsid w:val="009A74DE"/>
    <w:rsid w:val="009A7B08"/>
    <w:rsid w:val="009B0886"/>
    <w:rsid w:val="009B55F3"/>
    <w:rsid w:val="009B5799"/>
    <w:rsid w:val="009B7D13"/>
    <w:rsid w:val="009C3510"/>
    <w:rsid w:val="009C3875"/>
    <w:rsid w:val="009C47DF"/>
    <w:rsid w:val="009C52A3"/>
    <w:rsid w:val="009C6751"/>
    <w:rsid w:val="009D3746"/>
    <w:rsid w:val="009D418C"/>
    <w:rsid w:val="009E05B8"/>
    <w:rsid w:val="009E078F"/>
    <w:rsid w:val="009E478B"/>
    <w:rsid w:val="009F0367"/>
    <w:rsid w:val="009F10E8"/>
    <w:rsid w:val="009F10F1"/>
    <w:rsid w:val="009F13B3"/>
    <w:rsid w:val="009F333C"/>
    <w:rsid w:val="009F4605"/>
    <w:rsid w:val="00A0041E"/>
    <w:rsid w:val="00A02935"/>
    <w:rsid w:val="00A06CA4"/>
    <w:rsid w:val="00A07352"/>
    <w:rsid w:val="00A122AB"/>
    <w:rsid w:val="00A21AB7"/>
    <w:rsid w:val="00A24C28"/>
    <w:rsid w:val="00A26B4B"/>
    <w:rsid w:val="00A277E4"/>
    <w:rsid w:val="00A27E49"/>
    <w:rsid w:val="00A34AAC"/>
    <w:rsid w:val="00A4261E"/>
    <w:rsid w:val="00A45750"/>
    <w:rsid w:val="00A51EFC"/>
    <w:rsid w:val="00A55064"/>
    <w:rsid w:val="00A645E5"/>
    <w:rsid w:val="00A72A97"/>
    <w:rsid w:val="00A74736"/>
    <w:rsid w:val="00A74C3E"/>
    <w:rsid w:val="00A74C64"/>
    <w:rsid w:val="00A763AE"/>
    <w:rsid w:val="00A77366"/>
    <w:rsid w:val="00A80B9C"/>
    <w:rsid w:val="00A83B94"/>
    <w:rsid w:val="00A91E8F"/>
    <w:rsid w:val="00A94BCC"/>
    <w:rsid w:val="00A9564B"/>
    <w:rsid w:val="00A96344"/>
    <w:rsid w:val="00A96647"/>
    <w:rsid w:val="00AA2167"/>
    <w:rsid w:val="00AA4331"/>
    <w:rsid w:val="00AA4F23"/>
    <w:rsid w:val="00AA50F7"/>
    <w:rsid w:val="00AA6D84"/>
    <w:rsid w:val="00AA7CB2"/>
    <w:rsid w:val="00AB29C5"/>
    <w:rsid w:val="00AB3870"/>
    <w:rsid w:val="00AB476E"/>
    <w:rsid w:val="00AC4678"/>
    <w:rsid w:val="00AC533B"/>
    <w:rsid w:val="00AC5D7D"/>
    <w:rsid w:val="00AD402A"/>
    <w:rsid w:val="00AD6340"/>
    <w:rsid w:val="00AD6399"/>
    <w:rsid w:val="00AE3936"/>
    <w:rsid w:val="00AE4758"/>
    <w:rsid w:val="00AF1814"/>
    <w:rsid w:val="00AF63BF"/>
    <w:rsid w:val="00AF77BB"/>
    <w:rsid w:val="00B02055"/>
    <w:rsid w:val="00B0411D"/>
    <w:rsid w:val="00B06B7F"/>
    <w:rsid w:val="00B07F8F"/>
    <w:rsid w:val="00B1156A"/>
    <w:rsid w:val="00B12041"/>
    <w:rsid w:val="00B25458"/>
    <w:rsid w:val="00B26F45"/>
    <w:rsid w:val="00B30269"/>
    <w:rsid w:val="00B30617"/>
    <w:rsid w:val="00B30A1D"/>
    <w:rsid w:val="00B31989"/>
    <w:rsid w:val="00B47524"/>
    <w:rsid w:val="00B51968"/>
    <w:rsid w:val="00B51BB4"/>
    <w:rsid w:val="00B549CA"/>
    <w:rsid w:val="00B639D4"/>
    <w:rsid w:val="00B64441"/>
    <w:rsid w:val="00B661B2"/>
    <w:rsid w:val="00B67021"/>
    <w:rsid w:val="00B67817"/>
    <w:rsid w:val="00B73957"/>
    <w:rsid w:val="00B76B07"/>
    <w:rsid w:val="00B802DE"/>
    <w:rsid w:val="00B80FA8"/>
    <w:rsid w:val="00B814DB"/>
    <w:rsid w:val="00B86445"/>
    <w:rsid w:val="00B91D7D"/>
    <w:rsid w:val="00B91E67"/>
    <w:rsid w:val="00B92236"/>
    <w:rsid w:val="00B924B6"/>
    <w:rsid w:val="00B966FE"/>
    <w:rsid w:val="00B976D0"/>
    <w:rsid w:val="00B97B96"/>
    <w:rsid w:val="00BA0F24"/>
    <w:rsid w:val="00BA46D5"/>
    <w:rsid w:val="00BA4E05"/>
    <w:rsid w:val="00BA55B6"/>
    <w:rsid w:val="00BA7881"/>
    <w:rsid w:val="00BB3003"/>
    <w:rsid w:val="00BB3C77"/>
    <w:rsid w:val="00BC2C9E"/>
    <w:rsid w:val="00BC531A"/>
    <w:rsid w:val="00BD22CA"/>
    <w:rsid w:val="00BD47ED"/>
    <w:rsid w:val="00BD51BC"/>
    <w:rsid w:val="00BE2B31"/>
    <w:rsid w:val="00BE44A9"/>
    <w:rsid w:val="00BE47DF"/>
    <w:rsid w:val="00BE76F0"/>
    <w:rsid w:val="00BF3D93"/>
    <w:rsid w:val="00BF5BA5"/>
    <w:rsid w:val="00BF5DAD"/>
    <w:rsid w:val="00BF7140"/>
    <w:rsid w:val="00BF7940"/>
    <w:rsid w:val="00C00331"/>
    <w:rsid w:val="00C0103F"/>
    <w:rsid w:val="00C07CB3"/>
    <w:rsid w:val="00C118DE"/>
    <w:rsid w:val="00C12044"/>
    <w:rsid w:val="00C14D15"/>
    <w:rsid w:val="00C14D73"/>
    <w:rsid w:val="00C15514"/>
    <w:rsid w:val="00C16924"/>
    <w:rsid w:val="00C22D32"/>
    <w:rsid w:val="00C322D8"/>
    <w:rsid w:val="00C3592F"/>
    <w:rsid w:val="00C36A86"/>
    <w:rsid w:val="00C42C08"/>
    <w:rsid w:val="00C44764"/>
    <w:rsid w:val="00C4688F"/>
    <w:rsid w:val="00C47057"/>
    <w:rsid w:val="00C5495A"/>
    <w:rsid w:val="00C61949"/>
    <w:rsid w:val="00C65F8C"/>
    <w:rsid w:val="00C721EA"/>
    <w:rsid w:val="00C827DA"/>
    <w:rsid w:val="00C82C04"/>
    <w:rsid w:val="00C83D74"/>
    <w:rsid w:val="00C90247"/>
    <w:rsid w:val="00C9115F"/>
    <w:rsid w:val="00C97289"/>
    <w:rsid w:val="00C9747D"/>
    <w:rsid w:val="00C97D6E"/>
    <w:rsid w:val="00CA06BA"/>
    <w:rsid w:val="00CA4A83"/>
    <w:rsid w:val="00CA62BF"/>
    <w:rsid w:val="00CB0109"/>
    <w:rsid w:val="00CB5615"/>
    <w:rsid w:val="00CC033F"/>
    <w:rsid w:val="00CC06FB"/>
    <w:rsid w:val="00CC0887"/>
    <w:rsid w:val="00CC0D65"/>
    <w:rsid w:val="00CC2AFC"/>
    <w:rsid w:val="00CC2F96"/>
    <w:rsid w:val="00CC33C3"/>
    <w:rsid w:val="00CC76BE"/>
    <w:rsid w:val="00CC76D5"/>
    <w:rsid w:val="00CC7983"/>
    <w:rsid w:val="00CD12E6"/>
    <w:rsid w:val="00CD2712"/>
    <w:rsid w:val="00CD346C"/>
    <w:rsid w:val="00CD5CF6"/>
    <w:rsid w:val="00CE2B16"/>
    <w:rsid w:val="00CF0354"/>
    <w:rsid w:val="00CF1A87"/>
    <w:rsid w:val="00CF2810"/>
    <w:rsid w:val="00CF2B44"/>
    <w:rsid w:val="00CF4C86"/>
    <w:rsid w:val="00CF5D0C"/>
    <w:rsid w:val="00CF6DDC"/>
    <w:rsid w:val="00CF7A50"/>
    <w:rsid w:val="00D02834"/>
    <w:rsid w:val="00D02F80"/>
    <w:rsid w:val="00D05009"/>
    <w:rsid w:val="00D06F7E"/>
    <w:rsid w:val="00D13C52"/>
    <w:rsid w:val="00D14035"/>
    <w:rsid w:val="00D14351"/>
    <w:rsid w:val="00D16CF2"/>
    <w:rsid w:val="00D2280D"/>
    <w:rsid w:val="00D2526C"/>
    <w:rsid w:val="00D25AF3"/>
    <w:rsid w:val="00D264A8"/>
    <w:rsid w:val="00D33A11"/>
    <w:rsid w:val="00D3451A"/>
    <w:rsid w:val="00D3469C"/>
    <w:rsid w:val="00D3516F"/>
    <w:rsid w:val="00D35CEC"/>
    <w:rsid w:val="00D37335"/>
    <w:rsid w:val="00D446A8"/>
    <w:rsid w:val="00D44D37"/>
    <w:rsid w:val="00D5080D"/>
    <w:rsid w:val="00D50C76"/>
    <w:rsid w:val="00D51CD2"/>
    <w:rsid w:val="00D55F96"/>
    <w:rsid w:val="00D60813"/>
    <w:rsid w:val="00D611D7"/>
    <w:rsid w:val="00D624A3"/>
    <w:rsid w:val="00D62C0F"/>
    <w:rsid w:val="00D62FAB"/>
    <w:rsid w:val="00D638D3"/>
    <w:rsid w:val="00D7098B"/>
    <w:rsid w:val="00D74B02"/>
    <w:rsid w:val="00D775D1"/>
    <w:rsid w:val="00D77671"/>
    <w:rsid w:val="00D77EF1"/>
    <w:rsid w:val="00D80621"/>
    <w:rsid w:val="00D80A92"/>
    <w:rsid w:val="00D8181B"/>
    <w:rsid w:val="00D8449D"/>
    <w:rsid w:val="00D85EC6"/>
    <w:rsid w:val="00D93AA2"/>
    <w:rsid w:val="00D96AC7"/>
    <w:rsid w:val="00D97021"/>
    <w:rsid w:val="00D976FE"/>
    <w:rsid w:val="00DA1DD3"/>
    <w:rsid w:val="00DA2732"/>
    <w:rsid w:val="00DA555A"/>
    <w:rsid w:val="00DB0077"/>
    <w:rsid w:val="00DB1538"/>
    <w:rsid w:val="00DB4BB7"/>
    <w:rsid w:val="00DB544B"/>
    <w:rsid w:val="00DB7938"/>
    <w:rsid w:val="00DC3F78"/>
    <w:rsid w:val="00DC4A8F"/>
    <w:rsid w:val="00DC6237"/>
    <w:rsid w:val="00DD6FA4"/>
    <w:rsid w:val="00DE06C0"/>
    <w:rsid w:val="00DE087D"/>
    <w:rsid w:val="00DE4300"/>
    <w:rsid w:val="00DF1AF0"/>
    <w:rsid w:val="00DF2153"/>
    <w:rsid w:val="00DF4831"/>
    <w:rsid w:val="00DF49E3"/>
    <w:rsid w:val="00DF79EF"/>
    <w:rsid w:val="00E0061E"/>
    <w:rsid w:val="00E014C2"/>
    <w:rsid w:val="00E06099"/>
    <w:rsid w:val="00E07161"/>
    <w:rsid w:val="00E12029"/>
    <w:rsid w:val="00E144C0"/>
    <w:rsid w:val="00E1578E"/>
    <w:rsid w:val="00E15876"/>
    <w:rsid w:val="00E15CA5"/>
    <w:rsid w:val="00E17D5A"/>
    <w:rsid w:val="00E200CC"/>
    <w:rsid w:val="00E20A1E"/>
    <w:rsid w:val="00E278B0"/>
    <w:rsid w:val="00E350FD"/>
    <w:rsid w:val="00E35587"/>
    <w:rsid w:val="00E37723"/>
    <w:rsid w:val="00E42E16"/>
    <w:rsid w:val="00E4499C"/>
    <w:rsid w:val="00E45D6D"/>
    <w:rsid w:val="00E46B7F"/>
    <w:rsid w:val="00E505A7"/>
    <w:rsid w:val="00E51BFA"/>
    <w:rsid w:val="00E52189"/>
    <w:rsid w:val="00E56ACF"/>
    <w:rsid w:val="00E62EA9"/>
    <w:rsid w:val="00E701B0"/>
    <w:rsid w:val="00E70A33"/>
    <w:rsid w:val="00E75161"/>
    <w:rsid w:val="00E77B8C"/>
    <w:rsid w:val="00E77D11"/>
    <w:rsid w:val="00E85CB7"/>
    <w:rsid w:val="00E9192B"/>
    <w:rsid w:val="00E95BE0"/>
    <w:rsid w:val="00E97275"/>
    <w:rsid w:val="00E97A4A"/>
    <w:rsid w:val="00EA0213"/>
    <w:rsid w:val="00EB43C9"/>
    <w:rsid w:val="00EB441D"/>
    <w:rsid w:val="00EB45E8"/>
    <w:rsid w:val="00EB61B3"/>
    <w:rsid w:val="00EC2355"/>
    <w:rsid w:val="00EC6078"/>
    <w:rsid w:val="00ED1B2C"/>
    <w:rsid w:val="00ED1D79"/>
    <w:rsid w:val="00ED30D0"/>
    <w:rsid w:val="00ED327E"/>
    <w:rsid w:val="00ED333A"/>
    <w:rsid w:val="00ED3E9A"/>
    <w:rsid w:val="00ED4F0E"/>
    <w:rsid w:val="00EE4668"/>
    <w:rsid w:val="00EE6303"/>
    <w:rsid w:val="00EF042C"/>
    <w:rsid w:val="00EF106D"/>
    <w:rsid w:val="00EF34AE"/>
    <w:rsid w:val="00EF5867"/>
    <w:rsid w:val="00EF61DC"/>
    <w:rsid w:val="00EF760D"/>
    <w:rsid w:val="00F02C48"/>
    <w:rsid w:val="00F036E9"/>
    <w:rsid w:val="00F04467"/>
    <w:rsid w:val="00F055EA"/>
    <w:rsid w:val="00F1120E"/>
    <w:rsid w:val="00F16857"/>
    <w:rsid w:val="00F20F3F"/>
    <w:rsid w:val="00F23A6B"/>
    <w:rsid w:val="00F23F93"/>
    <w:rsid w:val="00F267AC"/>
    <w:rsid w:val="00F3082F"/>
    <w:rsid w:val="00F3130F"/>
    <w:rsid w:val="00F32C3D"/>
    <w:rsid w:val="00F33200"/>
    <w:rsid w:val="00F33452"/>
    <w:rsid w:val="00F3369D"/>
    <w:rsid w:val="00F36E4D"/>
    <w:rsid w:val="00F42206"/>
    <w:rsid w:val="00F425D1"/>
    <w:rsid w:val="00F42D12"/>
    <w:rsid w:val="00F44F30"/>
    <w:rsid w:val="00F51F00"/>
    <w:rsid w:val="00F54AA6"/>
    <w:rsid w:val="00F55486"/>
    <w:rsid w:val="00F56412"/>
    <w:rsid w:val="00F63F60"/>
    <w:rsid w:val="00F644EC"/>
    <w:rsid w:val="00F7057A"/>
    <w:rsid w:val="00F70602"/>
    <w:rsid w:val="00F73C6A"/>
    <w:rsid w:val="00F77B7D"/>
    <w:rsid w:val="00F8107D"/>
    <w:rsid w:val="00F81F21"/>
    <w:rsid w:val="00F92297"/>
    <w:rsid w:val="00F93899"/>
    <w:rsid w:val="00F97DC8"/>
    <w:rsid w:val="00FA0421"/>
    <w:rsid w:val="00FA2BF4"/>
    <w:rsid w:val="00FA37FA"/>
    <w:rsid w:val="00FA3B9C"/>
    <w:rsid w:val="00FA4AA0"/>
    <w:rsid w:val="00FA69DC"/>
    <w:rsid w:val="00FB0DE5"/>
    <w:rsid w:val="00FB6A1A"/>
    <w:rsid w:val="00FC2697"/>
    <w:rsid w:val="00FC3B0C"/>
    <w:rsid w:val="00FC4E28"/>
    <w:rsid w:val="00FC5C4B"/>
    <w:rsid w:val="00FD1AC2"/>
    <w:rsid w:val="00FD1C48"/>
    <w:rsid w:val="00FD66D4"/>
    <w:rsid w:val="00FD6EE3"/>
    <w:rsid w:val="00FE035F"/>
    <w:rsid w:val="00FE0C2F"/>
    <w:rsid w:val="00FE21E0"/>
    <w:rsid w:val="00FE3243"/>
    <w:rsid w:val="00FE482A"/>
    <w:rsid w:val="00FE5138"/>
    <w:rsid w:val="00FF5EE6"/>
    <w:rsid w:val="00FF6737"/>
    <w:rsid w:val="00FF773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0146"/>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E27"/>
    <w:pPr>
      <w:spacing w:after="200"/>
    </w:pPr>
    <w:rPr>
      <w:rFonts w:ascii="Verdana" w:hAnsi="Verdana"/>
      <w:sz w:val="20"/>
      <w:lang w:eastAsia="en-US"/>
    </w:rPr>
  </w:style>
  <w:style w:type="paragraph" w:styleId="Heading1">
    <w:name w:val="heading 1"/>
    <w:basedOn w:val="Normal"/>
    <w:next w:val="Normal"/>
    <w:link w:val="Heading1Char"/>
    <w:uiPriority w:val="9"/>
    <w:qFormat/>
    <w:rsid w:val="00DF2153"/>
    <w:pPr>
      <w:pageBreakBefore/>
      <w:tabs>
        <w:tab w:val="center" w:pos="4513"/>
        <w:tab w:val="right" w:pos="9026"/>
      </w:tabs>
      <w:spacing w:after="480"/>
      <w:outlineLvl w:val="0"/>
    </w:pPr>
    <w:rPr>
      <w:b/>
      <w:color w:val="4C6968" w:themeColor="text1"/>
      <w:sz w:val="50"/>
      <w:szCs w:val="24"/>
    </w:rPr>
  </w:style>
  <w:style w:type="paragraph" w:styleId="Heading2">
    <w:name w:val="heading 2"/>
    <w:basedOn w:val="Normal"/>
    <w:next w:val="Normal"/>
    <w:link w:val="Heading2Char"/>
    <w:uiPriority w:val="9"/>
    <w:qFormat/>
    <w:rsid w:val="003268F7"/>
    <w:pPr>
      <w:keepNext/>
      <w:spacing w:before="360" w:after="240"/>
      <w:outlineLvl w:val="1"/>
    </w:pPr>
    <w:rPr>
      <w:b/>
      <w:color w:val="48555E" w:themeColor="text2"/>
      <w:sz w:val="32"/>
      <w:szCs w:val="20"/>
    </w:rPr>
  </w:style>
  <w:style w:type="paragraph" w:styleId="Heading3">
    <w:name w:val="heading 3"/>
    <w:basedOn w:val="Normal"/>
    <w:next w:val="Normal"/>
    <w:link w:val="Heading3Char"/>
    <w:uiPriority w:val="9"/>
    <w:qFormat/>
    <w:rsid w:val="003268F7"/>
    <w:pPr>
      <w:keepNext/>
      <w:spacing w:before="120" w:after="120"/>
      <w:outlineLvl w:val="2"/>
    </w:pPr>
    <w:rPr>
      <w:rFonts w:cs="Arial"/>
      <w:b/>
      <w:color w:val="48555E" w:themeColor="text2"/>
      <w:sz w:val="26"/>
    </w:rPr>
  </w:style>
  <w:style w:type="paragraph" w:styleId="Heading4">
    <w:name w:val="heading 4"/>
    <w:basedOn w:val="Normal"/>
    <w:next w:val="Normal"/>
    <w:link w:val="Heading4Char"/>
    <w:uiPriority w:val="9"/>
    <w:qFormat/>
    <w:rsid w:val="003268F7"/>
    <w:pPr>
      <w:keepNext/>
      <w:spacing w:before="120"/>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A62BF"/>
    <w:rPr>
      <w:b/>
      <w:color w:val="4C6968" w:themeColor="text1"/>
      <w:sz w:val="24"/>
    </w:rPr>
  </w:style>
  <w:style w:type="character" w:customStyle="1" w:styleId="DateChar">
    <w:name w:val="Date Char"/>
    <w:basedOn w:val="DefaultParagraphFont"/>
    <w:link w:val="Date"/>
    <w:uiPriority w:val="99"/>
    <w:rsid w:val="00CA62BF"/>
    <w:rPr>
      <w:rFonts w:ascii="Verdana" w:hAnsi="Verdana"/>
      <w:b/>
      <w:color w:val="4C6968" w:themeColor="text1"/>
      <w:sz w:val="24"/>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DF2153"/>
    <w:rPr>
      <w:rFonts w:ascii="Verdana" w:hAnsi="Verdana"/>
      <w:b/>
      <w:color w:val="4C6968" w:themeColor="text1"/>
      <w:sz w:val="50"/>
      <w:szCs w:val="24"/>
      <w:lang w:eastAsia="en-US"/>
    </w:rPr>
  </w:style>
  <w:style w:type="character" w:customStyle="1" w:styleId="Heading2Char">
    <w:name w:val="Heading 2 Char"/>
    <w:basedOn w:val="DefaultParagraphFont"/>
    <w:link w:val="Heading2"/>
    <w:uiPriority w:val="9"/>
    <w:rsid w:val="003268F7"/>
    <w:rPr>
      <w:rFonts w:ascii="Verdana" w:hAnsi="Verdana"/>
      <w:b/>
      <w:color w:val="48555E" w:themeColor="text2"/>
      <w:sz w:val="32"/>
      <w:szCs w:val="20"/>
      <w:lang w:eastAsia="en-US"/>
    </w:rPr>
  </w:style>
  <w:style w:type="character" w:customStyle="1" w:styleId="Heading3Char">
    <w:name w:val="Heading 3 Char"/>
    <w:basedOn w:val="DefaultParagraphFont"/>
    <w:link w:val="Heading3"/>
    <w:uiPriority w:val="9"/>
    <w:rsid w:val="003268F7"/>
    <w:rPr>
      <w:rFonts w:ascii="Verdana" w:hAnsi="Verdana" w:cs="Arial"/>
      <w:b/>
      <w:color w:val="48555E" w:themeColor="text2"/>
      <w:sz w:val="26"/>
      <w:lang w:eastAsia="en-US"/>
    </w:rPr>
  </w:style>
  <w:style w:type="character" w:customStyle="1" w:styleId="Heading4Char">
    <w:name w:val="Heading 4 Char"/>
    <w:basedOn w:val="DefaultParagraphFont"/>
    <w:link w:val="Heading4"/>
    <w:uiPriority w:val="9"/>
    <w:rsid w:val="003268F7"/>
    <w:rPr>
      <w:rFonts w:ascii="Verdana" w:hAnsi="Verdana" w:cs="Arial"/>
      <w:lang w:eastAsia="en-US"/>
    </w:rPr>
  </w:style>
  <w:style w:type="paragraph" w:styleId="ListBullet">
    <w:name w:val="List Bullet"/>
    <w:basedOn w:val="Normal"/>
    <w:uiPriority w:val="99"/>
    <w:unhideWhenUsed/>
    <w:qFormat/>
    <w:rsid w:val="007C3F00"/>
    <w:pPr>
      <w:numPr>
        <w:numId w:val="8"/>
      </w:numPr>
      <w:spacing w:after="120"/>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paragraph" w:styleId="Title">
    <w:name w:val="Title"/>
    <w:basedOn w:val="Normal"/>
    <w:next w:val="Normal"/>
    <w:link w:val="TitleChar"/>
    <w:uiPriority w:val="10"/>
    <w:qFormat/>
    <w:rsid w:val="00473F5B"/>
    <w:pPr>
      <w:spacing w:after="0"/>
      <w:contextualSpacing/>
    </w:pPr>
    <w:rPr>
      <w:rFonts w:eastAsiaTheme="majorEastAsia" w:cstheme="majorBidi"/>
      <w:b/>
      <w:color w:val="FFFFFF"/>
      <w:spacing w:val="-10"/>
      <w:kern w:val="28"/>
      <w:sz w:val="70"/>
      <w:szCs w:val="56"/>
    </w:rPr>
  </w:style>
  <w:style w:type="character" w:customStyle="1" w:styleId="TitleChar">
    <w:name w:val="Title Char"/>
    <w:basedOn w:val="DefaultParagraphFont"/>
    <w:link w:val="Title"/>
    <w:uiPriority w:val="10"/>
    <w:rsid w:val="00473F5B"/>
    <w:rPr>
      <w:rFonts w:ascii="Verdana" w:eastAsiaTheme="majorEastAsia" w:hAnsi="Verdana" w:cstheme="majorBidi"/>
      <w:b/>
      <w:color w:val="FFFFFF"/>
      <w:spacing w:val="-10"/>
      <w:kern w:val="28"/>
      <w:sz w:val="70"/>
      <w:szCs w:val="56"/>
      <w:lang w:eastAsia="en-US"/>
    </w:rPr>
  </w:style>
  <w:style w:type="character" w:styleId="CommentReference">
    <w:name w:val="annotation reference"/>
    <w:basedOn w:val="DefaultParagraphFont"/>
    <w:uiPriority w:val="99"/>
    <w:semiHidden/>
    <w:unhideWhenUsed/>
    <w:rPr>
      <w:sz w:val="16"/>
      <w:szCs w:val="16"/>
    </w:rPr>
  </w:style>
  <w:style w:type="table" w:styleId="PlainTable1">
    <w:name w:val="Plain Table 1"/>
    <w:basedOn w:val="TableNormal"/>
    <w:uiPriority w:val="41"/>
    <w:rsid w:val="007C3F00"/>
    <w:tblPr>
      <w:tblStyleRowBandSize w:val="1"/>
      <w:tblStyleColBandSize w:val="1"/>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tblStylePr w:type="firstRow">
      <w:rPr>
        <w:b/>
        <w:bCs/>
      </w:rPr>
    </w:tblStylePr>
    <w:tblStylePr w:type="lastRow">
      <w:rPr>
        <w:b/>
        <w:bCs/>
      </w:rPr>
      <w:tblPr/>
      <w:tcPr>
        <w:tcBorders>
          <w:top w:val="double" w:sz="4" w:space="0" w:color="72ADC4" w:themeColor="background1" w:themeShade="BF"/>
        </w:tcBorders>
      </w:tcPr>
    </w:tblStylePr>
    <w:tblStylePr w:type="firstCol">
      <w:rPr>
        <w:b/>
        <w:bCs/>
      </w:rPr>
    </w:tblStylePr>
    <w:tblStylePr w:type="lastCol">
      <w:rPr>
        <w:b/>
        <w:bCs/>
      </w:rPr>
    </w:tblStylePr>
    <w:tblStylePr w:type="band1Vert">
      <w:tblPr/>
      <w:tcPr>
        <w:shd w:val="clear" w:color="auto" w:fill="ACCFDC" w:themeFill="background1" w:themeFillShade="F2"/>
      </w:tcPr>
    </w:tblStylePr>
    <w:tblStylePr w:type="band1Horz">
      <w:tblPr/>
      <w:tcPr>
        <w:shd w:val="clear" w:color="auto" w:fill="ACCFDC" w:themeFill="background1" w:themeFillShade="F2"/>
      </w:tcPr>
    </w:tblStylePr>
  </w:style>
  <w:style w:type="paragraph" w:customStyle="1" w:styleId="TableHeader">
    <w:name w:val="Table Header"/>
    <w:basedOn w:val="Normal"/>
    <w:qFormat/>
    <w:rsid w:val="003268F7"/>
    <w:pPr>
      <w:spacing w:before="120" w:after="120"/>
    </w:pPr>
    <w:rPr>
      <w:b/>
      <w:color w:val="FFFFFF"/>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paragraph" w:customStyle="1" w:styleId="TableText">
    <w:name w:val="Table Text"/>
    <w:basedOn w:val="Normal"/>
    <w:qFormat/>
    <w:rsid w:val="003268F7"/>
    <w:pPr>
      <w:spacing w:before="120" w:after="120"/>
    </w:p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customStyle="1" w:styleId="UnresolvedMention1">
    <w:name w:val="Unresolved Mention1"/>
    <w:basedOn w:val="DefaultParagraphFont"/>
    <w:uiPriority w:val="99"/>
    <w:semiHidden/>
    <w:unhideWhenUsed/>
    <w:rsid w:val="00AA7CB2"/>
    <w:rPr>
      <w:color w:val="605E5C"/>
      <w:shd w:val="clear" w:color="auto" w:fill="E1DFDD"/>
    </w:rPr>
  </w:style>
  <w:style w:type="paragraph" w:customStyle="1" w:styleId="TableHeading">
    <w:name w:val="Table Heading"/>
    <w:basedOn w:val="Normal"/>
    <w:qFormat/>
    <w:rsid w:val="003268F7"/>
    <w:pPr>
      <w:spacing w:before="240" w:after="120"/>
    </w:pPr>
    <w:rPr>
      <w:color w:val="4C6968" w:themeColor="text1"/>
    </w:rPr>
  </w:style>
  <w:style w:type="table" w:styleId="TableGridLight">
    <w:name w:val="Grid Table Light"/>
    <w:basedOn w:val="TableNormal"/>
    <w:uiPriority w:val="40"/>
    <w:rsid w:val="003268F7"/>
    <w:rPr>
      <w:rFonts w:ascii="Verdana" w:hAnsi="Verdana"/>
      <w:sz w:val="20"/>
    </w:rPr>
    <w:tblPr>
      <w:tblBorders>
        <w:top w:val="single" w:sz="4" w:space="0" w:color="48555E" w:themeColor="text2"/>
        <w:bottom w:val="single" w:sz="4" w:space="0" w:color="48555E" w:themeColor="text2"/>
        <w:insideH w:val="single" w:sz="4" w:space="0" w:color="48555E" w:themeColor="text2"/>
      </w:tblBorders>
    </w:tblPr>
    <w:tblStylePr w:type="firstRow">
      <w:tblPr/>
      <w:tcPr>
        <w:shd w:val="clear" w:color="auto" w:fill="4C6968" w:themeFill="text1"/>
      </w:tcPr>
    </w:tblStylePr>
  </w:style>
  <w:style w:type="paragraph" w:styleId="Subtitle">
    <w:name w:val="Subtitle"/>
    <w:basedOn w:val="Normal"/>
    <w:next w:val="Normal"/>
    <w:link w:val="SubtitleChar"/>
    <w:uiPriority w:val="11"/>
    <w:unhideWhenUsed/>
    <w:qFormat/>
    <w:rsid w:val="00E56ACF"/>
    <w:pPr>
      <w:numPr>
        <w:ilvl w:val="1"/>
      </w:numPr>
      <w:spacing w:before="360" w:after="160"/>
    </w:pPr>
    <w:rPr>
      <w:rFonts w:eastAsiaTheme="minorEastAsia" w:cstheme="minorBidi"/>
      <w:color w:val="FFFFFF"/>
      <w:spacing w:val="15"/>
      <w:sz w:val="30"/>
    </w:rPr>
  </w:style>
  <w:style w:type="character" w:customStyle="1" w:styleId="SubtitleChar">
    <w:name w:val="Subtitle Char"/>
    <w:basedOn w:val="DefaultParagraphFont"/>
    <w:link w:val="Subtitle"/>
    <w:uiPriority w:val="11"/>
    <w:rsid w:val="00E56ACF"/>
    <w:rPr>
      <w:rFonts w:ascii="Verdana" w:eastAsiaTheme="minorEastAsia" w:hAnsi="Verdana" w:cstheme="minorBidi"/>
      <w:color w:val="FFFFFF"/>
      <w:spacing w:val="15"/>
      <w:sz w:val="30"/>
      <w:lang w:eastAsia="en-US"/>
    </w:rPr>
  </w:style>
  <w:style w:type="paragraph" w:customStyle="1" w:styleId="Author">
    <w:name w:val="Author"/>
    <w:basedOn w:val="Normal"/>
    <w:qFormat/>
    <w:rsid w:val="00E56ACF"/>
    <w:pPr>
      <w:spacing w:before="600" w:after="120"/>
    </w:pPr>
    <w:rPr>
      <w:color w:val="FFFFFF"/>
    </w:rPr>
  </w:style>
  <w:style w:type="paragraph" w:customStyle="1" w:styleId="IntroductionParagraph">
    <w:name w:val="Introduction Paragraph"/>
    <w:basedOn w:val="Normal"/>
    <w:qFormat/>
    <w:rsid w:val="002C07A5"/>
    <w:pPr>
      <w:spacing w:after="360"/>
    </w:pPr>
    <w:rPr>
      <w:b/>
      <w:color w:val="FFFFFF"/>
      <w:sz w:val="28"/>
    </w:rPr>
  </w:style>
  <w:style w:type="paragraph" w:customStyle="1" w:styleId="NormalWhite">
    <w:name w:val="Normal White"/>
    <w:basedOn w:val="Normal"/>
    <w:qFormat/>
    <w:rsid w:val="002C07A5"/>
    <w:rPr>
      <w:color w:val="FFFFFF"/>
    </w:rPr>
  </w:style>
  <w:style w:type="paragraph" w:customStyle="1" w:styleId="FigureHeading">
    <w:name w:val="Figure Heading"/>
    <w:basedOn w:val="TableHeading"/>
    <w:qFormat/>
    <w:rsid w:val="00142E0B"/>
  </w:style>
  <w:style w:type="paragraph" w:styleId="TOC2">
    <w:name w:val="toc 2"/>
    <w:basedOn w:val="Normal"/>
    <w:next w:val="Normal"/>
    <w:autoRedefine/>
    <w:uiPriority w:val="39"/>
    <w:unhideWhenUsed/>
    <w:rsid w:val="0066217F"/>
    <w:pPr>
      <w:tabs>
        <w:tab w:val="right" w:leader="dot" w:pos="9628"/>
      </w:tabs>
      <w:spacing w:after="100"/>
      <w:ind w:left="200"/>
    </w:pPr>
    <w:rPr>
      <w:noProof/>
    </w:rPr>
  </w:style>
  <w:style w:type="paragraph" w:styleId="TOC1">
    <w:name w:val="toc 1"/>
    <w:basedOn w:val="Normal"/>
    <w:next w:val="Normal"/>
    <w:autoRedefine/>
    <w:uiPriority w:val="39"/>
    <w:unhideWhenUsed/>
    <w:rsid w:val="001C0F11"/>
    <w:pPr>
      <w:tabs>
        <w:tab w:val="right" w:leader="dot" w:pos="9628"/>
      </w:tabs>
      <w:spacing w:before="240" w:after="100"/>
    </w:pPr>
    <w:rPr>
      <w:b/>
      <w:noProof/>
      <w:color w:val="48555E" w:themeColor="text2"/>
      <w:sz w:val="24"/>
    </w:rPr>
  </w:style>
  <w:style w:type="paragraph" w:styleId="TOC3">
    <w:name w:val="toc 3"/>
    <w:basedOn w:val="Normal"/>
    <w:next w:val="Normal"/>
    <w:autoRedefine/>
    <w:uiPriority w:val="39"/>
    <w:unhideWhenUsed/>
    <w:rsid w:val="0066217F"/>
    <w:pPr>
      <w:tabs>
        <w:tab w:val="right" w:leader="dot" w:pos="9628"/>
      </w:tabs>
      <w:spacing w:after="100"/>
      <w:ind w:left="400"/>
    </w:pPr>
    <w:rPr>
      <w:noProof/>
    </w:rPr>
  </w:style>
  <w:style w:type="paragraph" w:customStyle="1" w:styleId="AppendicesHeading1">
    <w:name w:val="Appendices Heading 1"/>
    <w:basedOn w:val="Heading1"/>
    <w:qFormat/>
    <w:rsid w:val="007935B6"/>
  </w:style>
  <w:style w:type="paragraph" w:customStyle="1" w:styleId="AppendicesHeading2">
    <w:name w:val="Appendices Heading 2"/>
    <w:basedOn w:val="Heading2"/>
    <w:qFormat/>
    <w:rsid w:val="007935B6"/>
  </w:style>
  <w:style w:type="paragraph" w:customStyle="1" w:styleId="AppendicesHeading3">
    <w:name w:val="Appendices Heading 3"/>
    <w:basedOn w:val="Heading3"/>
    <w:qFormat/>
    <w:rsid w:val="007935B6"/>
  </w:style>
  <w:style w:type="paragraph" w:customStyle="1" w:styleId="AppendicesHeading4">
    <w:name w:val="Appendices Heading 4"/>
    <w:basedOn w:val="Heading4"/>
    <w:qFormat/>
    <w:rsid w:val="007935B6"/>
  </w:style>
  <w:style w:type="paragraph" w:customStyle="1" w:styleId="AppendicesHeading5">
    <w:name w:val="Appendices Heading 5"/>
    <w:basedOn w:val="Heading5"/>
    <w:qFormat/>
    <w:rsid w:val="007935B6"/>
  </w:style>
  <w:style w:type="paragraph" w:customStyle="1" w:styleId="Instructions">
    <w:name w:val="Instructions"/>
    <w:basedOn w:val="Normal"/>
    <w:qFormat/>
    <w:rsid w:val="001C0F11"/>
    <w:pPr>
      <w:pBdr>
        <w:top w:val="single" w:sz="4" w:space="1" w:color="BCD8E3" w:themeColor="background1"/>
        <w:left w:val="single" w:sz="4" w:space="4" w:color="BCD8E3" w:themeColor="background1"/>
        <w:bottom w:val="single" w:sz="4" w:space="1" w:color="BCD8E3" w:themeColor="background1"/>
        <w:right w:val="single" w:sz="4" w:space="4" w:color="BCD8E3" w:themeColor="background1"/>
      </w:pBdr>
      <w:shd w:val="clear" w:color="auto" w:fill="BCD8E3" w:themeFill="background1"/>
      <w:ind w:left="113" w:right="113"/>
    </w:pPr>
  </w:style>
  <w:style w:type="character" w:styleId="Emphasis">
    <w:name w:val="Emphasis"/>
    <w:basedOn w:val="DefaultParagraphFont"/>
    <w:uiPriority w:val="20"/>
    <w:qFormat/>
    <w:rsid w:val="00C118DE"/>
    <w:rPr>
      <w:i/>
      <w:iCs/>
    </w:rPr>
  </w:style>
  <w:style w:type="paragraph" w:styleId="CommentText">
    <w:name w:val="annotation text"/>
    <w:basedOn w:val="Normal"/>
    <w:link w:val="CommentTextChar"/>
    <w:uiPriority w:val="99"/>
    <w:unhideWhenUsed/>
    <w:rsid w:val="00C118DE"/>
    <w:pPr>
      <w:suppressAutoHyphens/>
      <w:spacing w:before="60" w:after="60"/>
    </w:pPr>
    <w:rPr>
      <w:rFonts w:ascii="Arial" w:eastAsiaTheme="minorEastAsia" w:hAnsi="Arial" w:cstheme="minorBidi"/>
      <w:szCs w:val="20"/>
      <w:lang w:eastAsia="en-GB"/>
    </w:rPr>
  </w:style>
  <w:style w:type="character" w:customStyle="1" w:styleId="CommentTextChar">
    <w:name w:val="Comment Text Char"/>
    <w:basedOn w:val="DefaultParagraphFont"/>
    <w:link w:val="CommentText"/>
    <w:uiPriority w:val="99"/>
    <w:rsid w:val="00C118DE"/>
    <w:rPr>
      <w:rFonts w:eastAsiaTheme="minorEastAsia" w:cstheme="minorBidi"/>
      <w:sz w:val="20"/>
      <w:szCs w:val="20"/>
      <w:lang w:eastAsia="en-GB"/>
    </w:rPr>
  </w:style>
  <w:style w:type="paragraph" w:styleId="ListParagraph">
    <w:name w:val="List Paragraph"/>
    <w:basedOn w:val="Normal"/>
    <w:uiPriority w:val="34"/>
    <w:rsid w:val="008D7309"/>
    <w:pPr>
      <w:ind w:left="720"/>
      <w:contextualSpacing/>
    </w:pPr>
  </w:style>
  <w:style w:type="character" w:customStyle="1" w:styleId="normaltextrun">
    <w:name w:val="normaltextrun"/>
    <w:basedOn w:val="DefaultParagraphFont"/>
    <w:rsid w:val="008246B0"/>
  </w:style>
  <w:style w:type="character" w:customStyle="1" w:styleId="eop">
    <w:name w:val="eop"/>
    <w:basedOn w:val="DefaultParagraphFont"/>
    <w:rsid w:val="008246B0"/>
  </w:style>
  <w:style w:type="paragraph" w:customStyle="1" w:styleId="paragraph">
    <w:name w:val="paragraph"/>
    <w:basedOn w:val="Normal"/>
    <w:rsid w:val="005E7E43"/>
    <w:pPr>
      <w:spacing w:before="100" w:beforeAutospacing="1" w:after="100" w:afterAutospacing="1"/>
    </w:pPr>
    <w:rPr>
      <w:rFonts w:ascii="Times New Roman" w:eastAsia="Times New Roman" w:hAnsi="Times New Roman"/>
      <w:sz w:val="24"/>
      <w:szCs w:val="24"/>
      <w:lang w:eastAsia="en-AU"/>
    </w:rPr>
  </w:style>
  <w:style w:type="character" w:customStyle="1" w:styleId="superscript">
    <w:name w:val="superscript"/>
    <w:basedOn w:val="DefaultParagraphFont"/>
    <w:rsid w:val="005E7E43"/>
  </w:style>
  <w:style w:type="paragraph" w:styleId="Caption">
    <w:name w:val="caption"/>
    <w:basedOn w:val="Normal"/>
    <w:next w:val="Normal"/>
    <w:uiPriority w:val="35"/>
    <w:unhideWhenUsed/>
    <w:qFormat/>
    <w:rsid w:val="006442BC"/>
    <w:rPr>
      <w:i/>
      <w:iCs/>
      <w:color w:val="48555E" w:themeColor="text2"/>
      <w:sz w:val="18"/>
      <w:szCs w:val="18"/>
    </w:rPr>
  </w:style>
  <w:style w:type="paragraph" w:styleId="Revision">
    <w:name w:val="Revision"/>
    <w:hidden/>
    <w:uiPriority w:val="99"/>
    <w:semiHidden/>
    <w:rsid w:val="00B26F45"/>
    <w:rPr>
      <w:rFonts w:ascii="Verdana" w:hAnsi="Verdana"/>
      <w:sz w:val="20"/>
      <w:lang w:eastAsia="en-US"/>
    </w:rPr>
  </w:style>
  <w:style w:type="paragraph" w:styleId="FootnoteText">
    <w:name w:val="footnote text"/>
    <w:basedOn w:val="Normal"/>
    <w:link w:val="FootnoteTextChar"/>
    <w:uiPriority w:val="99"/>
    <w:unhideWhenUsed/>
    <w:qFormat/>
    <w:rsid w:val="009A7B08"/>
    <w:pPr>
      <w:spacing w:after="0"/>
    </w:pPr>
    <w:rPr>
      <w:rFonts w:ascii="Calibri Light" w:eastAsia="Times New Roman" w:hAnsi="Calibri Light" w:cs="Calibri Light"/>
      <w:color w:val="4C6968" w:themeColor="text1"/>
      <w:sz w:val="16"/>
      <w:szCs w:val="20"/>
    </w:rPr>
  </w:style>
  <w:style w:type="character" w:customStyle="1" w:styleId="FootnoteTextChar">
    <w:name w:val="Footnote Text Char"/>
    <w:basedOn w:val="DefaultParagraphFont"/>
    <w:link w:val="FootnoteText"/>
    <w:uiPriority w:val="99"/>
    <w:rsid w:val="009A7B08"/>
    <w:rPr>
      <w:rFonts w:ascii="Calibri Light" w:eastAsia="Times New Roman" w:hAnsi="Calibri Light" w:cs="Calibri Light"/>
      <w:color w:val="4C6968" w:themeColor="text1"/>
      <w:sz w:val="16"/>
      <w:szCs w:val="20"/>
      <w:lang w:eastAsia="en-US"/>
    </w:rPr>
  </w:style>
  <w:style w:type="character" w:styleId="FootnoteReference">
    <w:name w:val="footnote reference"/>
    <w:basedOn w:val="DefaultParagraphFont"/>
    <w:uiPriority w:val="99"/>
    <w:semiHidden/>
    <w:unhideWhenUsed/>
    <w:rsid w:val="009A7B08"/>
    <w:rPr>
      <w:vertAlign w:val="superscript"/>
    </w:rPr>
  </w:style>
  <w:style w:type="character" w:styleId="Mention">
    <w:name w:val="Mention"/>
    <w:basedOn w:val="DefaultParagraphFont"/>
    <w:uiPriority w:val="99"/>
    <w:rsid w:val="000C41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2466">
      <w:bodyDiv w:val="1"/>
      <w:marLeft w:val="0"/>
      <w:marRight w:val="0"/>
      <w:marTop w:val="0"/>
      <w:marBottom w:val="0"/>
      <w:divBdr>
        <w:top w:val="none" w:sz="0" w:space="0" w:color="auto"/>
        <w:left w:val="none" w:sz="0" w:space="0" w:color="auto"/>
        <w:bottom w:val="none" w:sz="0" w:space="0" w:color="auto"/>
        <w:right w:val="none" w:sz="0" w:space="0" w:color="auto"/>
      </w:divBdr>
      <w:divsChild>
        <w:div w:id="703792672">
          <w:marLeft w:val="547"/>
          <w:marRight w:val="0"/>
          <w:marTop w:val="154"/>
          <w:marBottom w:val="0"/>
          <w:divBdr>
            <w:top w:val="none" w:sz="0" w:space="0" w:color="auto"/>
            <w:left w:val="none" w:sz="0" w:space="0" w:color="auto"/>
            <w:bottom w:val="none" w:sz="0" w:space="0" w:color="auto"/>
            <w:right w:val="none" w:sz="0" w:space="0" w:color="auto"/>
          </w:divBdr>
        </w:div>
        <w:div w:id="1417627815">
          <w:marLeft w:val="547"/>
          <w:marRight w:val="0"/>
          <w:marTop w:val="154"/>
          <w:marBottom w:val="0"/>
          <w:divBdr>
            <w:top w:val="none" w:sz="0" w:space="0" w:color="auto"/>
            <w:left w:val="none" w:sz="0" w:space="0" w:color="auto"/>
            <w:bottom w:val="none" w:sz="0" w:space="0" w:color="auto"/>
            <w:right w:val="none" w:sz="0" w:space="0" w:color="auto"/>
          </w:divBdr>
        </w:div>
        <w:div w:id="1987857257">
          <w:marLeft w:val="547"/>
          <w:marRight w:val="0"/>
          <w:marTop w:val="154"/>
          <w:marBottom w:val="0"/>
          <w:divBdr>
            <w:top w:val="none" w:sz="0" w:space="0" w:color="auto"/>
            <w:left w:val="none" w:sz="0" w:space="0" w:color="auto"/>
            <w:bottom w:val="none" w:sz="0" w:space="0" w:color="auto"/>
            <w:right w:val="none" w:sz="0" w:space="0" w:color="auto"/>
          </w:divBdr>
        </w:div>
      </w:divsChild>
    </w:div>
    <w:div w:id="243760796">
      <w:bodyDiv w:val="1"/>
      <w:marLeft w:val="0"/>
      <w:marRight w:val="0"/>
      <w:marTop w:val="0"/>
      <w:marBottom w:val="0"/>
      <w:divBdr>
        <w:top w:val="none" w:sz="0" w:space="0" w:color="auto"/>
        <w:left w:val="none" w:sz="0" w:space="0" w:color="auto"/>
        <w:bottom w:val="none" w:sz="0" w:space="0" w:color="auto"/>
        <w:right w:val="none" w:sz="0" w:space="0" w:color="auto"/>
      </w:divBdr>
      <w:divsChild>
        <w:div w:id="1896888661">
          <w:marLeft w:val="0"/>
          <w:marRight w:val="0"/>
          <w:marTop w:val="0"/>
          <w:marBottom w:val="0"/>
          <w:divBdr>
            <w:top w:val="none" w:sz="0" w:space="0" w:color="auto"/>
            <w:left w:val="none" w:sz="0" w:space="0" w:color="auto"/>
            <w:bottom w:val="none" w:sz="0" w:space="0" w:color="auto"/>
            <w:right w:val="none" w:sz="0" w:space="0" w:color="auto"/>
          </w:divBdr>
        </w:div>
        <w:div w:id="2051032479">
          <w:marLeft w:val="0"/>
          <w:marRight w:val="0"/>
          <w:marTop w:val="0"/>
          <w:marBottom w:val="0"/>
          <w:divBdr>
            <w:top w:val="none" w:sz="0" w:space="0" w:color="auto"/>
            <w:left w:val="none" w:sz="0" w:space="0" w:color="auto"/>
            <w:bottom w:val="none" w:sz="0" w:space="0" w:color="auto"/>
            <w:right w:val="none" w:sz="0" w:space="0" w:color="auto"/>
          </w:divBdr>
        </w:div>
      </w:divsChild>
    </w:div>
    <w:div w:id="449710523">
      <w:bodyDiv w:val="1"/>
      <w:marLeft w:val="0"/>
      <w:marRight w:val="0"/>
      <w:marTop w:val="0"/>
      <w:marBottom w:val="0"/>
      <w:divBdr>
        <w:top w:val="none" w:sz="0" w:space="0" w:color="auto"/>
        <w:left w:val="none" w:sz="0" w:space="0" w:color="auto"/>
        <w:bottom w:val="none" w:sz="0" w:space="0" w:color="auto"/>
        <w:right w:val="none" w:sz="0" w:space="0" w:color="auto"/>
      </w:divBdr>
    </w:div>
    <w:div w:id="785855590">
      <w:bodyDiv w:val="1"/>
      <w:marLeft w:val="0"/>
      <w:marRight w:val="0"/>
      <w:marTop w:val="0"/>
      <w:marBottom w:val="0"/>
      <w:divBdr>
        <w:top w:val="none" w:sz="0" w:space="0" w:color="auto"/>
        <w:left w:val="none" w:sz="0" w:space="0" w:color="auto"/>
        <w:bottom w:val="none" w:sz="0" w:space="0" w:color="auto"/>
        <w:right w:val="none" w:sz="0" w:space="0" w:color="auto"/>
      </w:divBdr>
      <w:divsChild>
        <w:div w:id="1685521755">
          <w:marLeft w:val="547"/>
          <w:marRight w:val="0"/>
          <w:marTop w:val="115"/>
          <w:marBottom w:val="0"/>
          <w:divBdr>
            <w:top w:val="none" w:sz="0" w:space="0" w:color="auto"/>
            <w:left w:val="none" w:sz="0" w:space="0" w:color="auto"/>
            <w:bottom w:val="none" w:sz="0" w:space="0" w:color="auto"/>
            <w:right w:val="none" w:sz="0" w:space="0" w:color="auto"/>
          </w:divBdr>
        </w:div>
        <w:div w:id="188183168">
          <w:marLeft w:val="547"/>
          <w:marRight w:val="0"/>
          <w:marTop w:val="115"/>
          <w:marBottom w:val="0"/>
          <w:divBdr>
            <w:top w:val="none" w:sz="0" w:space="0" w:color="auto"/>
            <w:left w:val="none" w:sz="0" w:space="0" w:color="auto"/>
            <w:bottom w:val="none" w:sz="0" w:space="0" w:color="auto"/>
            <w:right w:val="none" w:sz="0" w:space="0" w:color="auto"/>
          </w:divBdr>
        </w:div>
        <w:div w:id="157354346">
          <w:marLeft w:val="547"/>
          <w:marRight w:val="0"/>
          <w:marTop w:val="115"/>
          <w:marBottom w:val="0"/>
          <w:divBdr>
            <w:top w:val="none" w:sz="0" w:space="0" w:color="auto"/>
            <w:left w:val="none" w:sz="0" w:space="0" w:color="auto"/>
            <w:bottom w:val="none" w:sz="0" w:space="0" w:color="auto"/>
            <w:right w:val="none" w:sz="0" w:space="0" w:color="auto"/>
          </w:divBdr>
        </w:div>
        <w:div w:id="294678026">
          <w:marLeft w:val="547"/>
          <w:marRight w:val="0"/>
          <w:marTop w:val="115"/>
          <w:marBottom w:val="240"/>
          <w:divBdr>
            <w:top w:val="none" w:sz="0" w:space="0" w:color="auto"/>
            <w:left w:val="none" w:sz="0" w:space="0" w:color="auto"/>
            <w:bottom w:val="none" w:sz="0" w:space="0" w:color="auto"/>
            <w:right w:val="none" w:sz="0" w:space="0" w:color="auto"/>
          </w:divBdr>
        </w:div>
      </w:divsChild>
    </w:div>
    <w:div w:id="866677488">
      <w:bodyDiv w:val="1"/>
      <w:marLeft w:val="0"/>
      <w:marRight w:val="0"/>
      <w:marTop w:val="0"/>
      <w:marBottom w:val="0"/>
      <w:divBdr>
        <w:top w:val="none" w:sz="0" w:space="0" w:color="auto"/>
        <w:left w:val="none" w:sz="0" w:space="0" w:color="auto"/>
        <w:bottom w:val="none" w:sz="0" w:space="0" w:color="auto"/>
        <w:right w:val="none" w:sz="0" w:space="0" w:color="auto"/>
      </w:divBdr>
      <w:divsChild>
        <w:div w:id="87122679">
          <w:marLeft w:val="547"/>
          <w:marRight w:val="0"/>
          <w:marTop w:val="115"/>
          <w:marBottom w:val="0"/>
          <w:divBdr>
            <w:top w:val="none" w:sz="0" w:space="0" w:color="auto"/>
            <w:left w:val="none" w:sz="0" w:space="0" w:color="auto"/>
            <w:bottom w:val="none" w:sz="0" w:space="0" w:color="auto"/>
            <w:right w:val="none" w:sz="0" w:space="0" w:color="auto"/>
          </w:divBdr>
        </w:div>
        <w:div w:id="1190603467">
          <w:marLeft w:val="547"/>
          <w:marRight w:val="0"/>
          <w:marTop w:val="115"/>
          <w:marBottom w:val="0"/>
          <w:divBdr>
            <w:top w:val="none" w:sz="0" w:space="0" w:color="auto"/>
            <w:left w:val="none" w:sz="0" w:space="0" w:color="auto"/>
            <w:bottom w:val="none" w:sz="0" w:space="0" w:color="auto"/>
            <w:right w:val="none" w:sz="0" w:space="0" w:color="auto"/>
          </w:divBdr>
        </w:div>
        <w:div w:id="1919710065">
          <w:marLeft w:val="547"/>
          <w:marRight w:val="0"/>
          <w:marTop w:val="115"/>
          <w:marBottom w:val="0"/>
          <w:divBdr>
            <w:top w:val="none" w:sz="0" w:space="0" w:color="auto"/>
            <w:left w:val="none" w:sz="0" w:space="0" w:color="auto"/>
            <w:bottom w:val="none" w:sz="0" w:space="0" w:color="auto"/>
            <w:right w:val="none" w:sz="0" w:space="0" w:color="auto"/>
          </w:divBdr>
        </w:div>
        <w:div w:id="959919299">
          <w:marLeft w:val="547"/>
          <w:marRight w:val="0"/>
          <w:marTop w:val="115"/>
          <w:marBottom w:val="240"/>
          <w:divBdr>
            <w:top w:val="none" w:sz="0" w:space="0" w:color="auto"/>
            <w:left w:val="none" w:sz="0" w:space="0" w:color="auto"/>
            <w:bottom w:val="none" w:sz="0" w:space="0" w:color="auto"/>
            <w:right w:val="none" w:sz="0" w:space="0" w:color="auto"/>
          </w:divBdr>
        </w:div>
      </w:divsChild>
    </w:div>
    <w:div w:id="1257638753">
      <w:bodyDiv w:val="1"/>
      <w:marLeft w:val="0"/>
      <w:marRight w:val="0"/>
      <w:marTop w:val="0"/>
      <w:marBottom w:val="0"/>
      <w:divBdr>
        <w:top w:val="none" w:sz="0" w:space="0" w:color="auto"/>
        <w:left w:val="none" w:sz="0" w:space="0" w:color="auto"/>
        <w:bottom w:val="none" w:sz="0" w:space="0" w:color="auto"/>
        <w:right w:val="none" w:sz="0" w:space="0" w:color="auto"/>
      </w:divBdr>
    </w:div>
    <w:div w:id="1345597058">
      <w:bodyDiv w:val="1"/>
      <w:marLeft w:val="0"/>
      <w:marRight w:val="0"/>
      <w:marTop w:val="0"/>
      <w:marBottom w:val="0"/>
      <w:divBdr>
        <w:top w:val="none" w:sz="0" w:space="0" w:color="auto"/>
        <w:left w:val="none" w:sz="0" w:space="0" w:color="auto"/>
        <w:bottom w:val="none" w:sz="0" w:space="0" w:color="auto"/>
        <w:right w:val="none" w:sz="0" w:space="0" w:color="auto"/>
      </w:divBdr>
    </w:div>
    <w:div w:id="1490831929">
      <w:bodyDiv w:val="1"/>
      <w:marLeft w:val="0"/>
      <w:marRight w:val="0"/>
      <w:marTop w:val="0"/>
      <w:marBottom w:val="0"/>
      <w:divBdr>
        <w:top w:val="none" w:sz="0" w:space="0" w:color="auto"/>
        <w:left w:val="none" w:sz="0" w:space="0" w:color="auto"/>
        <w:bottom w:val="none" w:sz="0" w:space="0" w:color="auto"/>
        <w:right w:val="none" w:sz="0" w:space="0" w:color="auto"/>
      </w:divBdr>
    </w:div>
    <w:div w:id="1768425501">
      <w:bodyDiv w:val="1"/>
      <w:marLeft w:val="0"/>
      <w:marRight w:val="0"/>
      <w:marTop w:val="0"/>
      <w:marBottom w:val="0"/>
      <w:divBdr>
        <w:top w:val="none" w:sz="0" w:space="0" w:color="auto"/>
        <w:left w:val="none" w:sz="0" w:space="0" w:color="auto"/>
        <w:bottom w:val="none" w:sz="0" w:space="0" w:color="auto"/>
        <w:right w:val="none" w:sz="0" w:space="0" w:color="auto"/>
      </w:divBdr>
    </w:div>
    <w:div w:id="18521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mdba.gov.au/water-use/water-limits/sustainable-diversion-limits" TargetMode="External"/><Relationship Id="rId2" Type="http://schemas.openxmlformats.org/officeDocument/2006/relationships/customXml" Target="../customXml/item2.xml"/><Relationship Id="rId16" Type="http://schemas.openxmlformats.org/officeDocument/2006/relationships/hyperlink" Target="https://www.mdba.gov.au/publications-and-data/publications/sustainable-diversion-limit-accounting-and-reporting-framework" TargetMode="External"/><Relationship Id="rId20" Type="http://schemas.openxmlformats.org/officeDocument/2006/relationships/hyperlink" Target="https://www.igwc.gov.au/publications/reviews-repor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b98728ac-f998-415c-abee-6b046fb1441e">
      <Terms xmlns="http://schemas.microsoft.com/office/infopath/2007/PartnerControls"/>
    </lcf76f155ced4ddcb4097134ff3c332f>
    <SharedWithUsers xmlns="d869c146-c82e-4435-92e4-da91542262fd">
      <UserInfo>
        <DisplayName>Rana, Tariq</DisplayName>
        <AccountId>72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4" ma:contentTypeDescription="Create a new document." ma:contentTypeScope="" ma:versionID="d2575a541de4f6f4146f87d786cddbb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4bfd732ecb4d90ac731c1f8eb5d3dcdc"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9875A3-596B-4F43-8D8E-F7A587E2D7CA}">
  <ds:schemaRefs>
    <ds:schemaRef ds:uri="http://schemas.microsoft.com/office/infopath/2007/PartnerControls"/>
    <ds:schemaRef ds:uri="d869c146-c82e-4435-92e4-da91542262fd"/>
    <ds:schemaRef ds:uri="http://www.w3.org/XML/1998/namespace"/>
    <ds:schemaRef ds:uri="http://purl.org/dc/terms/"/>
    <ds:schemaRef ds:uri="http://schemas.openxmlformats.org/package/2006/metadata/core-properties"/>
    <ds:schemaRef ds:uri="http://purl.org/dc/elements/1.1/"/>
    <ds:schemaRef ds:uri="81c01dc6-2c49-4730-b140-874c95cac377"/>
    <ds:schemaRef ds:uri="http://schemas.microsoft.com/office/2006/documentManagement/types"/>
    <ds:schemaRef ds:uri="b98728ac-f998-415c-abee-6b046fb1441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9DAAED3-25FC-49BD-AA63-BE5199563F9D}">
  <ds:schemaRefs>
    <ds:schemaRef ds:uri="http://schemas.openxmlformats.org/officeDocument/2006/bibliography"/>
  </ds:schemaRefs>
</ds:datastoreItem>
</file>

<file path=customXml/itemProps3.xml><?xml version="1.0" encoding="utf-8"?>
<ds:datastoreItem xmlns:ds="http://schemas.openxmlformats.org/officeDocument/2006/customXml" ds:itemID="{32EA0B50-55F1-4AF5-9383-CCBC41EE4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AC7D3-0B6B-44A7-AB8D-141B3CBD8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2362</Words>
  <Characters>13465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Sustainable Diversion Limite Compliance Framework - Frequently Asked Questions</vt:lpstr>
    </vt:vector>
  </TitlesOfParts>
  <Company/>
  <LinksUpToDate>false</LinksUpToDate>
  <CharactersWithSpaces>15796</CharactersWithSpaces>
  <SharedDoc>false</SharedDoc>
  <HLinks>
    <vt:vector size="12" baseType="variant">
      <vt:variant>
        <vt:i4>2556010</vt:i4>
      </vt:variant>
      <vt:variant>
        <vt:i4>0</vt:i4>
      </vt:variant>
      <vt:variant>
        <vt:i4>0</vt:i4>
      </vt:variant>
      <vt:variant>
        <vt:i4>5</vt:i4>
      </vt:variant>
      <vt:variant>
        <vt:lpwstr>https://www.mdba.gov.au/water-use/water-limits/sustainable-diversion-limits</vt:lpwstr>
      </vt:variant>
      <vt:variant>
        <vt:lpwstr/>
      </vt:variant>
      <vt:variant>
        <vt:i4>2555913</vt:i4>
      </vt:variant>
      <vt:variant>
        <vt:i4>0</vt:i4>
      </vt:variant>
      <vt:variant>
        <vt:i4>0</vt:i4>
      </vt:variant>
      <vt:variant>
        <vt:i4>5</vt:i4>
      </vt:variant>
      <vt:variant>
        <vt:lpwstr>mailto:Tara.Schalk@igwc.gov.au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Diversion Limite Compliance Framework - Frequently Asked Questions</dc:title>
  <dc:creator>Inspector-General of Water Compliance</dc:creator>
  <cp:lastModifiedBy>Nguyen, Lien</cp:lastModifiedBy>
  <cp:revision>5</cp:revision>
  <cp:lastPrinted>2023-10-20T02:48:00Z</cp:lastPrinted>
  <dcterms:created xsi:type="dcterms:W3CDTF">2023-10-20T02:47:00Z</dcterms:created>
  <dcterms:modified xsi:type="dcterms:W3CDTF">2023-10-27T01:28:00Z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0x0101000AB83DC74A1A224A94CC6277C36640F8</vt:lpwstr>
  </property>
  <property fmtid="{D5CDD505-2E9C-101B-9397-08002B2CF9AE}" pid="3" name="MediaServiceImageTags">
    <vt:lpwstr/>
  </property>
</Properties>
</file>