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FE6B" w14:textId="4EB50C81" w:rsidR="006C36CE" w:rsidRDefault="000913BB" w:rsidP="000913BB">
      <w:pPr>
        <w:pStyle w:val="Title"/>
        <w:ind w:right="-143"/>
      </w:pPr>
      <w:r>
        <w:t xml:space="preserve">Fact Sheet – </w:t>
      </w:r>
      <w:r w:rsidR="006C36CE">
        <w:t>Sustainable</w:t>
      </w:r>
      <w:r>
        <w:t xml:space="preserve"> </w:t>
      </w:r>
      <w:r w:rsidR="006C36CE">
        <w:t>Diversion Limit Compliance Framework</w:t>
      </w:r>
      <w:bookmarkStart w:id="0" w:name="_Toc105771030"/>
    </w:p>
    <w:p w14:paraId="2BB97E92" w14:textId="1D68C256" w:rsidR="006C36CE" w:rsidRDefault="006C36CE" w:rsidP="006C36CE">
      <w:pPr>
        <w:pStyle w:val="Title"/>
      </w:pPr>
    </w:p>
    <w:p w14:paraId="393E0157" w14:textId="0292EA6C" w:rsidR="00422D8D" w:rsidRDefault="00422D8D" w:rsidP="006C36CE">
      <w:pPr>
        <w:pStyle w:val="Title"/>
        <w:sectPr w:rsidR="00422D8D" w:rsidSect="00FB0DE5">
          <w:footerReference w:type="default" r:id="rId11"/>
          <w:headerReference w:type="first" r:id="rId12"/>
          <w:pgSz w:w="11906" w:h="16838"/>
          <w:pgMar w:top="1284" w:right="1134" w:bottom="816" w:left="1134" w:header="425" w:footer="733" w:gutter="0"/>
          <w:cols w:space="708"/>
          <w:titlePg/>
          <w:docGrid w:linePitch="360"/>
        </w:sectPr>
      </w:pPr>
      <w:bookmarkStart w:id="1" w:name="_Toc105771031"/>
      <w:bookmarkEnd w:id="0"/>
    </w:p>
    <w:bookmarkEnd w:id="1"/>
    <w:p w14:paraId="199B4CCC" w14:textId="2B13D8EC" w:rsidR="00B0783A" w:rsidRDefault="00A61A45" w:rsidP="00506818">
      <w:pPr>
        <w:pStyle w:val="Heading3"/>
      </w:pPr>
      <w:r>
        <w:t xml:space="preserve">What is </w:t>
      </w:r>
      <w:r w:rsidR="4629AD50">
        <w:t>Sustainable Diversion Limit (</w:t>
      </w:r>
      <w:r>
        <w:t>SDL</w:t>
      </w:r>
      <w:r w:rsidR="3953571B">
        <w:t>)</w:t>
      </w:r>
      <w:r>
        <w:t xml:space="preserve"> compliance</w:t>
      </w:r>
      <w:r w:rsidR="00E34135">
        <w:t>?</w:t>
      </w:r>
    </w:p>
    <w:p w14:paraId="744C523D" w14:textId="154A9F0D" w:rsidR="00255F77" w:rsidRDefault="009552B4" w:rsidP="00255F77">
      <w:r>
        <w:t xml:space="preserve">Sustainable diversion limits </w:t>
      </w:r>
      <w:r w:rsidR="688B507E">
        <w:t xml:space="preserve">(SDLs) </w:t>
      </w:r>
      <w:r>
        <w:t>are how much water, on average, can be used in the Murray</w:t>
      </w:r>
      <w:r w:rsidR="00C7460E">
        <w:t>-</w:t>
      </w:r>
      <w:r>
        <w:t xml:space="preserve">Darling Basin, while keeping the rivers and environment healthy. </w:t>
      </w:r>
      <w:r w:rsidR="00255F77">
        <w:t xml:space="preserve">It is the role of the Inspector-General to assess the compliance of </w:t>
      </w:r>
      <w:r w:rsidR="00A61A45">
        <w:t xml:space="preserve">each </w:t>
      </w:r>
      <w:r w:rsidR="003311D0">
        <w:t xml:space="preserve">Basin </w:t>
      </w:r>
      <w:r w:rsidR="00A61A45">
        <w:t xml:space="preserve">State </w:t>
      </w:r>
      <w:r w:rsidR="00142264">
        <w:t>with</w:t>
      </w:r>
      <w:r w:rsidR="00A61A45">
        <w:t xml:space="preserve"> the SDL.</w:t>
      </w:r>
    </w:p>
    <w:p w14:paraId="2EFBDFC1" w14:textId="211C6072" w:rsidR="00255F77" w:rsidRDefault="00255F77" w:rsidP="00255F77">
      <w:r>
        <w:t xml:space="preserve">The Inspector-General uses information provided by the Basin States and </w:t>
      </w:r>
      <w:r w:rsidR="0022451A">
        <w:t xml:space="preserve">the </w:t>
      </w:r>
      <w:r w:rsidR="005913E0">
        <w:t>Murray-Darling</w:t>
      </w:r>
      <w:r>
        <w:t xml:space="preserve"> Basin Authority to assess compliance. This includes information on:</w:t>
      </w:r>
    </w:p>
    <w:p w14:paraId="0FC3B0AE" w14:textId="35060608" w:rsidR="00255F77" w:rsidRDefault="00255F77" w:rsidP="00255F77">
      <w:pPr>
        <w:pStyle w:val="ListParagraph"/>
        <w:numPr>
          <w:ilvl w:val="0"/>
          <w:numId w:val="43"/>
        </w:numPr>
      </w:pPr>
      <w:r>
        <w:t>how much water was available to be taken (permitted take)</w:t>
      </w:r>
    </w:p>
    <w:p w14:paraId="615DB436" w14:textId="103090B5" w:rsidR="00255F77" w:rsidRDefault="00255F77" w:rsidP="00255F77">
      <w:pPr>
        <w:pStyle w:val="ListParagraph"/>
        <w:numPr>
          <w:ilvl w:val="0"/>
          <w:numId w:val="43"/>
        </w:numPr>
      </w:pPr>
      <w:r>
        <w:t>how much water was taken (actual take)</w:t>
      </w:r>
    </w:p>
    <w:p w14:paraId="14BB73B7" w14:textId="07529DB9" w:rsidR="00142264" w:rsidRDefault="00255F77" w:rsidP="00255F77">
      <w:pPr>
        <w:pStyle w:val="ListParagraph"/>
        <w:numPr>
          <w:ilvl w:val="0"/>
          <w:numId w:val="43"/>
        </w:numPr>
      </w:pPr>
      <w:r>
        <w:t xml:space="preserve">if the SDL compliance threshold has been exceeded, the reasons </w:t>
      </w:r>
      <w:proofErr w:type="gramStart"/>
      <w:r>
        <w:t>why</w:t>
      </w:r>
      <w:proofErr w:type="gramEnd"/>
      <w:r>
        <w:t xml:space="preserve"> </w:t>
      </w:r>
    </w:p>
    <w:p w14:paraId="7A37BB5D" w14:textId="757FEBF2" w:rsidR="00057CDA" w:rsidRDefault="00255F77" w:rsidP="00057CDA">
      <w:pPr>
        <w:pStyle w:val="ListParagraph"/>
        <w:rPr>
          <w:noProof/>
        </w:rPr>
      </w:pPr>
      <w:r>
        <w:t>more water was taken</w:t>
      </w:r>
      <w:r w:rsidR="00057CDA">
        <w:t xml:space="preserve"> </w:t>
      </w:r>
    </w:p>
    <w:p w14:paraId="74B40456" w14:textId="0B3498FB" w:rsidR="00142264" w:rsidRDefault="002A32E5" w:rsidP="00506818">
      <w:pPr>
        <w:pStyle w:val="Heading3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1CEC7DE" wp14:editId="00FDDCFB">
            <wp:simplePos x="0" y="0"/>
            <wp:positionH relativeFrom="margin">
              <wp:posOffset>334171</wp:posOffset>
            </wp:positionH>
            <wp:positionV relativeFrom="paragraph">
              <wp:posOffset>220487</wp:posOffset>
            </wp:positionV>
            <wp:extent cx="5574665" cy="2972435"/>
            <wp:effectExtent l="0" t="0" r="0" b="0"/>
            <wp:wrapTight wrapText="bothSides">
              <wp:wrapPolygon edited="0">
                <wp:start x="0" y="0"/>
                <wp:lineTo x="0" y="5814"/>
                <wp:lineTo x="4945" y="6645"/>
                <wp:lineTo x="0" y="7060"/>
                <wp:lineTo x="0" y="14120"/>
                <wp:lineTo x="8267" y="15504"/>
                <wp:lineTo x="0" y="15504"/>
                <wp:lineTo x="0" y="21457"/>
                <wp:lineTo x="4872" y="21457"/>
                <wp:lineTo x="20963" y="21457"/>
                <wp:lineTo x="21110" y="21457"/>
                <wp:lineTo x="21332" y="19934"/>
                <wp:lineTo x="21479" y="15781"/>
                <wp:lineTo x="20520" y="15504"/>
                <wp:lineTo x="16091" y="15504"/>
                <wp:lineTo x="21332" y="14120"/>
                <wp:lineTo x="21479" y="7337"/>
                <wp:lineTo x="20446" y="7060"/>
                <wp:lineTo x="18232" y="6645"/>
                <wp:lineTo x="21406" y="5814"/>
                <wp:lineTo x="21406" y="1800"/>
                <wp:lineTo x="21184" y="415"/>
                <wp:lineTo x="20963" y="0"/>
                <wp:lineTo x="0" y="0"/>
              </wp:wrapPolygon>
            </wp:wrapTight>
            <wp:docPr id="2091263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263145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8" r="11710"/>
                    <a:stretch/>
                  </pic:blipFill>
                  <pic:spPr bwMode="auto">
                    <a:xfrm>
                      <a:off x="0" y="0"/>
                      <a:ext cx="5574665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42264">
        <w:t>Roles &amp; responsibilities</w:t>
      </w:r>
    </w:p>
    <w:p w14:paraId="55EDE4F3" w14:textId="174C6E01" w:rsidR="00142264" w:rsidRDefault="00142264" w:rsidP="00142264"/>
    <w:p w14:paraId="5F4E8500" w14:textId="23592DC1" w:rsidR="00DA2E2B" w:rsidRDefault="00DA2E2B" w:rsidP="00E55C63">
      <w:pPr>
        <w:pStyle w:val="Heading3"/>
      </w:pPr>
      <w:r>
        <w:t>Why is there a Framework?</w:t>
      </w:r>
    </w:p>
    <w:p w14:paraId="75DDFB35" w14:textId="3DC766D5" w:rsidR="00B0783A" w:rsidRPr="00FF5EE6" w:rsidRDefault="00B0783A" w:rsidP="00B0783A">
      <w:r w:rsidRPr="00FF5EE6">
        <w:t xml:space="preserve">The </w:t>
      </w:r>
      <w:hyperlink r:id="rId14" w:history="1">
        <w:r w:rsidR="00CF4B08">
          <w:rPr>
            <w:color w:val="0000FF"/>
            <w:u w:val="single"/>
          </w:rPr>
          <w:t>SDL Compliance Framework</w:t>
        </w:r>
      </w:hyperlink>
      <w:r w:rsidRPr="00FF5EE6">
        <w:t xml:space="preserve"> sets out the Inspector-General’s role and objectives in relation to ensuring compliance with the SDLs. </w:t>
      </w:r>
      <w:r w:rsidR="004E4B63">
        <w:t xml:space="preserve">The </w:t>
      </w:r>
      <w:r w:rsidR="009D67F8">
        <w:t>Framework</w:t>
      </w:r>
      <w:r w:rsidR="004E4B63">
        <w:t>:</w:t>
      </w:r>
    </w:p>
    <w:p w14:paraId="3F91E041" w14:textId="11DC5665" w:rsidR="00B0783A" w:rsidRPr="00461882" w:rsidRDefault="00B0783A" w:rsidP="00B0783A">
      <w:pPr>
        <w:pStyle w:val="ListBullet"/>
        <w:numPr>
          <w:ilvl w:val="0"/>
          <w:numId w:val="42"/>
        </w:numPr>
        <w:spacing w:after="120"/>
      </w:pPr>
      <w:r w:rsidRPr="00461882">
        <w:t>articulate</w:t>
      </w:r>
      <w:r w:rsidR="0000687C">
        <w:t>s</w:t>
      </w:r>
      <w:r w:rsidRPr="00461882">
        <w:t xml:space="preserve"> the </w:t>
      </w:r>
      <w:r>
        <w:t>Inspector-General</w:t>
      </w:r>
      <w:r w:rsidRPr="00461882">
        <w:t>’s expectations, requirements and approach</w:t>
      </w:r>
    </w:p>
    <w:p w14:paraId="2B19B694" w14:textId="55134C45" w:rsidR="001833A7" w:rsidRDefault="00B0783A" w:rsidP="002B3F4B">
      <w:pPr>
        <w:pStyle w:val="ListBullet"/>
        <w:numPr>
          <w:ilvl w:val="0"/>
          <w:numId w:val="42"/>
        </w:numPr>
        <w:spacing w:after="120"/>
      </w:pPr>
      <w:r w:rsidRPr="00461882">
        <w:t>provide</w:t>
      </w:r>
      <w:r w:rsidR="0000687C">
        <w:t>s</w:t>
      </w:r>
      <w:r w:rsidRPr="00461882">
        <w:t xml:space="preserve"> transparency and confidence about this essential function to the community</w:t>
      </w:r>
      <w:r>
        <w:t>.</w:t>
      </w:r>
    </w:p>
    <w:p w14:paraId="380A812E" w14:textId="6D2C505A" w:rsidR="00077490" w:rsidRDefault="00077490" w:rsidP="00506818">
      <w:pPr>
        <w:pStyle w:val="Heading3"/>
      </w:pPr>
      <w:r>
        <w:t>Where can I learn more?</w:t>
      </w:r>
    </w:p>
    <w:p w14:paraId="39430FBD" w14:textId="357DB481" w:rsidR="00120736" w:rsidRDefault="00077490" w:rsidP="00120736">
      <w:r>
        <w:t xml:space="preserve">More information on the assessment of SDL compliance can be found in the </w:t>
      </w:r>
      <w:hyperlink r:id="rId15" w:history="1">
        <w:r w:rsidR="00EF6423">
          <w:rPr>
            <w:color w:val="0000FF"/>
            <w:u w:val="single"/>
          </w:rPr>
          <w:t>SDL Compliance Framework - Frequently Asked Questions</w:t>
        </w:r>
      </w:hyperlink>
      <w:r>
        <w:t>.</w:t>
      </w:r>
    </w:p>
    <w:p w14:paraId="2EEE4590" w14:textId="27F16631" w:rsidR="00482C26" w:rsidRPr="00740258" w:rsidRDefault="00482C26" w:rsidP="00740258">
      <w:pPr>
        <w:spacing w:after="0"/>
        <w:rPr>
          <w:color w:val="4C6968" w:themeColor="text1"/>
        </w:rPr>
      </w:pPr>
    </w:p>
    <w:sectPr w:rsidR="00482C26" w:rsidRPr="00740258" w:rsidSect="00422D8D">
      <w:type w:val="continuous"/>
      <w:pgSz w:w="11906" w:h="16838"/>
      <w:pgMar w:top="1284" w:right="1134" w:bottom="816" w:left="1134" w:header="425" w:footer="733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0BA0" w14:textId="77777777" w:rsidR="0016680D" w:rsidRDefault="0016680D">
      <w:r>
        <w:separator/>
      </w:r>
    </w:p>
  </w:endnote>
  <w:endnote w:type="continuationSeparator" w:id="0">
    <w:p w14:paraId="75087256" w14:textId="77777777" w:rsidR="0016680D" w:rsidRDefault="0016680D">
      <w:r>
        <w:continuationSeparator/>
      </w:r>
    </w:p>
  </w:endnote>
  <w:endnote w:type="continuationNotice" w:id="1">
    <w:p w14:paraId="79CEF70D" w14:textId="77777777" w:rsidR="0016680D" w:rsidRDefault="001668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AB49" w14:textId="77777777" w:rsidR="00A4261E" w:rsidRDefault="00A4261E" w:rsidP="00FB0DE5">
    <w:pPr>
      <w:pStyle w:val="Header"/>
      <w:rPr>
        <w:color w:val="FF0000"/>
      </w:rPr>
    </w:pPr>
  </w:p>
  <w:p w14:paraId="07237AE6" w14:textId="0A88B2F5" w:rsidR="0046450A" w:rsidRPr="00FB0DE5" w:rsidRDefault="00FB0DE5" w:rsidP="00FB0DE5">
    <w:pPr>
      <w:pStyle w:val="Footer"/>
      <w:tabs>
        <w:tab w:val="clear" w:pos="4513"/>
        <w:tab w:val="clear" w:pos="9026"/>
        <w:tab w:val="right" w:pos="9638"/>
      </w:tabs>
    </w:pPr>
    <w:r>
      <w:t>Inspector - General of Water Compliance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C1BDB" w14:textId="77777777" w:rsidR="0016680D" w:rsidRDefault="0016680D">
      <w:r>
        <w:separator/>
      </w:r>
    </w:p>
  </w:footnote>
  <w:footnote w:type="continuationSeparator" w:id="0">
    <w:p w14:paraId="75941ED8" w14:textId="77777777" w:rsidR="0016680D" w:rsidRDefault="0016680D">
      <w:r>
        <w:continuationSeparator/>
      </w:r>
    </w:p>
  </w:footnote>
  <w:footnote w:type="continuationNotice" w:id="1">
    <w:p w14:paraId="452F5EFC" w14:textId="77777777" w:rsidR="0016680D" w:rsidRDefault="001668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195C" w14:textId="3B8A90FA" w:rsidR="00617D03" w:rsidRPr="00482C26" w:rsidRDefault="009D62DE" w:rsidP="00482C26">
    <w:pPr>
      <w:pStyle w:val="Header"/>
      <w:rPr>
        <w:b w:val="0"/>
        <w:bCs/>
        <w:color w:val="C00000"/>
      </w:rPr>
    </w:pPr>
    <w:r w:rsidRPr="00221878">
      <w:rPr>
        <w:noProof/>
        <w:color w:val="C00000"/>
      </w:rPr>
      <w:drawing>
        <wp:anchor distT="0" distB="0" distL="114300" distR="114300" simplePos="0" relativeHeight="251658240" behindDoc="1" locked="0" layoutInCell="1" allowOverlap="1" wp14:anchorId="274FDF81" wp14:editId="4E496C09">
          <wp:simplePos x="0" y="0"/>
          <wp:positionH relativeFrom="column">
            <wp:posOffset>-722161</wp:posOffset>
          </wp:positionH>
          <wp:positionV relativeFrom="paragraph">
            <wp:posOffset>-262192</wp:posOffset>
          </wp:positionV>
          <wp:extent cx="7560000" cy="2872800"/>
          <wp:effectExtent l="0" t="0" r="0" b="0"/>
          <wp:wrapNone/>
          <wp:docPr id="970888613" name="Picture 9708886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8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C26" w:rsidRPr="00221878">
      <w:rPr>
        <w:noProof/>
        <w:color w:val="C00000"/>
      </w:rPr>
      <w:drawing>
        <wp:anchor distT="0" distB="0" distL="114300" distR="114300" simplePos="0" relativeHeight="251658241" behindDoc="1" locked="0" layoutInCell="1" allowOverlap="1" wp14:anchorId="6F8D6006" wp14:editId="55150327">
          <wp:simplePos x="0" y="0"/>
          <wp:positionH relativeFrom="page">
            <wp:posOffset>617220</wp:posOffset>
          </wp:positionH>
          <wp:positionV relativeFrom="page">
            <wp:posOffset>435914</wp:posOffset>
          </wp:positionV>
          <wp:extent cx="3600450" cy="1040130"/>
          <wp:effectExtent l="0" t="0" r="0" b="0"/>
          <wp:wrapNone/>
          <wp:docPr id="899786382" name="Picture 899786382" descr="Australian Government Crest and Inspector-General of Water Compliance Logo locku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3" descr="Australian Government Crest and Inspector-General of Water Compliance Logo lockup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6251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C5F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BA9C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528D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2A6A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0EC0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7" w15:restartNumberingAfterBreak="0">
    <w:nsid w:val="0F6F4874"/>
    <w:multiLevelType w:val="hybridMultilevel"/>
    <w:tmpl w:val="7FA08D24"/>
    <w:lvl w:ilvl="0" w:tplc="0C090019">
      <w:start w:val="1"/>
      <w:numFmt w:val="lowerLetter"/>
      <w:lvlText w:val="%1."/>
      <w:lvlJc w:val="lef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9" w15:restartNumberingAfterBreak="0">
    <w:nsid w:val="1F745BC2"/>
    <w:multiLevelType w:val="multilevel"/>
    <w:tmpl w:val="E5E89F92"/>
    <w:numStyleLink w:val="BulletList"/>
  </w:abstractNum>
  <w:abstractNum w:abstractNumId="10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F8614D"/>
    <w:multiLevelType w:val="hybridMultilevel"/>
    <w:tmpl w:val="26CE1DDA"/>
    <w:lvl w:ilvl="0" w:tplc="0C090017">
      <w:start w:val="1"/>
      <w:numFmt w:val="lowerLetter"/>
      <w:lvlText w:val="%1)"/>
      <w:lvlJc w:val="lef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3" w15:restartNumberingAfterBreak="0">
    <w:nsid w:val="4BBA5DEF"/>
    <w:multiLevelType w:val="singleLevel"/>
    <w:tmpl w:val="27625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</w:abstractNum>
  <w:abstractNum w:abstractNumId="14" w15:restartNumberingAfterBreak="0">
    <w:nsid w:val="4C64641D"/>
    <w:multiLevelType w:val="hybridMultilevel"/>
    <w:tmpl w:val="69EAC6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F4B6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874575"/>
    <w:multiLevelType w:val="multilevel"/>
    <w:tmpl w:val="CEBED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C95F71"/>
    <w:multiLevelType w:val="hybridMultilevel"/>
    <w:tmpl w:val="66E6DDBC"/>
    <w:lvl w:ilvl="0" w:tplc="0C09000F">
      <w:start w:val="1"/>
      <w:numFmt w:val="decimal"/>
      <w:lvlText w:val="%1."/>
      <w:lvlJc w:val="lef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7" w15:restartNumberingAfterBreak="0">
    <w:nsid w:val="5FFB6035"/>
    <w:multiLevelType w:val="hybridMultilevel"/>
    <w:tmpl w:val="1B9A4D9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5456429"/>
    <w:multiLevelType w:val="multilevel"/>
    <w:tmpl w:val="D5F21E5A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9" w15:restartNumberingAfterBreak="0">
    <w:nsid w:val="65DB3DD6"/>
    <w:multiLevelType w:val="hybridMultilevel"/>
    <w:tmpl w:val="076E4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E4B7B4D"/>
    <w:multiLevelType w:val="multilevel"/>
    <w:tmpl w:val="1000160E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2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E23A7"/>
    <w:multiLevelType w:val="singleLevel"/>
    <w:tmpl w:val="BE3C85A2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24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5" w15:restartNumberingAfterBreak="0">
    <w:nsid w:val="7E015010"/>
    <w:multiLevelType w:val="hybridMultilevel"/>
    <w:tmpl w:val="558AF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882569">
    <w:abstractNumId w:val="24"/>
  </w:num>
  <w:num w:numId="2" w16cid:durableId="708839943">
    <w:abstractNumId w:val="6"/>
  </w:num>
  <w:num w:numId="3" w16cid:durableId="785348423">
    <w:abstractNumId w:val="22"/>
  </w:num>
  <w:num w:numId="4" w16cid:durableId="173542859">
    <w:abstractNumId w:val="20"/>
  </w:num>
  <w:num w:numId="5" w16cid:durableId="1679846274">
    <w:abstractNumId w:val="11"/>
  </w:num>
  <w:num w:numId="6" w16cid:durableId="1145439856">
    <w:abstractNumId w:val="10"/>
  </w:num>
  <w:num w:numId="7" w16cid:durableId="1963421248">
    <w:abstractNumId w:val="18"/>
  </w:num>
  <w:num w:numId="8" w16cid:durableId="108820026">
    <w:abstractNumId w:val="9"/>
  </w:num>
  <w:num w:numId="9" w16cid:durableId="563369993">
    <w:abstractNumId w:val="8"/>
  </w:num>
  <w:num w:numId="10" w16cid:durableId="251821415">
    <w:abstractNumId w:val="23"/>
  </w:num>
  <w:num w:numId="11" w16cid:durableId="1896971166">
    <w:abstractNumId w:val="18"/>
  </w:num>
  <w:num w:numId="12" w16cid:durableId="5343153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5315154">
    <w:abstractNumId w:val="13"/>
  </w:num>
  <w:num w:numId="14" w16cid:durableId="701129840">
    <w:abstractNumId w:val="17"/>
  </w:num>
  <w:num w:numId="15" w16cid:durableId="751317047">
    <w:abstractNumId w:val="21"/>
  </w:num>
  <w:num w:numId="16" w16cid:durableId="1444421000">
    <w:abstractNumId w:val="18"/>
  </w:num>
  <w:num w:numId="17" w16cid:durableId="197047620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3460205">
    <w:abstractNumId w:val="18"/>
  </w:num>
  <w:num w:numId="19" w16cid:durableId="826441073">
    <w:abstractNumId w:val="14"/>
  </w:num>
  <w:num w:numId="20" w16cid:durableId="563641559">
    <w:abstractNumId w:val="18"/>
  </w:num>
  <w:num w:numId="21" w16cid:durableId="1877083964">
    <w:abstractNumId w:val="16"/>
  </w:num>
  <w:num w:numId="22" w16cid:durableId="712853052">
    <w:abstractNumId w:val="12"/>
  </w:num>
  <w:num w:numId="23" w16cid:durableId="725448677">
    <w:abstractNumId w:val="7"/>
  </w:num>
  <w:num w:numId="24" w16cid:durableId="1516382302">
    <w:abstractNumId w:val="18"/>
  </w:num>
  <w:num w:numId="25" w16cid:durableId="18552230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405530">
    <w:abstractNumId w:val="5"/>
  </w:num>
  <w:num w:numId="27" w16cid:durableId="1977249617">
    <w:abstractNumId w:val="15"/>
  </w:num>
  <w:num w:numId="28" w16cid:durableId="20187241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28051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8421385">
    <w:abstractNumId w:val="18"/>
  </w:num>
  <w:num w:numId="31" w16cid:durableId="20845214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43761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849053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04860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33898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19788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8374190">
    <w:abstractNumId w:val="0"/>
  </w:num>
  <w:num w:numId="38" w16cid:durableId="856583033">
    <w:abstractNumId w:val="1"/>
  </w:num>
  <w:num w:numId="39" w16cid:durableId="1806896289">
    <w:abstractNumId w:val="2"/>
  </w:num>
  <w:num w:numId="40" w16cid:durableId="853685470">
    <w:abstractNumId w:val="3"/>
  </w:num>
  <w:num w:numId="41" w16cid:durableId="613757274">
    <w:abstractNumId w:val="4"/>
  </w:num>
  <w:num w:numId="42" w16cid:durableId="1654677076">
    <w:abstractNumId w:val="25"/>
  </w:num>
  <w:num w:numId="43" w16cid:durableId="1223910268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GridLight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1E"/>
    <w:rsid w:val="000001A1"/>
    <w:rsid w:val="000032A0"/>
    <w:rsid w:val="000065C5"/>
    <w:rsid w:val="0000687C"/>
    <w:rsid w:val="00007DE1"/>
    <w:rsid w:val="00010E7F"/>
    <w:rsid w:val="000131EE"/>
    <w:rsid w:val="00037526"/>
    <w:rsid w:val="000514BD"/>
    <w:rsid w:val="00057CDA"/>
    <w:rsid w:val="000613B1"/>
    <w:rsid w:val="00071327"/>
    <w:rsid w:val="00077490"/>
    <w:rsid w:val="00082E59"/>
    <w:rsid w:val="000913BB"/>
    <w:rsid w:val="00091B06"/>
    <w:rsid w:val="000964AA"/>
    <w:rsid w:val="000A0669"/>
    <w:rsid w:val="000D06D9"/>
    <w:rsid w:val="000D0CC7"/>
    <w:rsid w:val="000D1751"/>
    <w:rsid w:val="000E5C12"/>
    <w:rsid w:val="000F55E7"/>
    <w:rsid w:val="00105A17"/>
    <w:rsid w:val="00114BA0"/>
    <w:rsid w:val="00115F67"/>
    <w:rsid w:val="00120736"/>
    <w:rsid w:val="00132708"/>
    <w:rsid w:val="00133D4C"/>
    <w:rsid w:val="001345C9"/>
    <w:rsid w:val="001405FF"/>
    <w:rsid w:val="0014182C"/>
    <w:rsid w:val="00142264"/>
    <w:rsid w:val="00142509"/>
    <w:rsid w:val="001506E9"/>
    <w:rsid w:val="00156132"/>
    <w:rsid w:val="0015695F"/>
    <w:rsid w:val="0016680D"/>
    <w:rsid w:val="00167B64"/>
    <w:rsid w:val="0017077A"/>
    <w:rsid w:val="00170D66"/>
    <w:rsid w:val="00170DC6"/>
    <w:rsid w:val="0017351A"/>
    <w:rsid w:val="0017617F"/>
    <w:rsid w:val="001827C2"/>
    <w:rsid w:val="001833A7"/>
    <w:rsid w:val="001851AB"/>
    <w:rsid w:val="00186E6F"/>
    <w:rsid w:val="001C0255"/>
    <w:rsid w:val="001F2A15"/>
    <w:rsid w:val="00204E35"/>
    <w:rsid w:val="0022451A"/>
    <w:rsid w:val="00231A97"/>
    <w:rsid w:val="00234177"/>
    <w:rsid w:val="00234917"/>
    <w:rsid w:val="002478FE"/>
    <w:rsid w:val="00255F77"/>
    <w:rsid w:val="002561B9"/>
    <w:rsid w:val="00272B0B"/>
    <w:rsid w:val="002820D6"/>
    <w:rsid w:val="002A32E5"/>
    <w:rsid w:val="002A7384"/>
    <w:rsid w:val="002B3F4B"/>
    <w:rsid w:val="002B4251"/>
    <w:rsid w:val="002C086E"/>
    <w:rsid w:val="002C3712"/>
    <w:rsid w:val="002C6C13"/>
    <w:rsid w:val="002D3EC0"/>
    <w:rsid w:val="002E351B"/>
    <w:rsid w:val="00302146"/>
    <w:rsid w:val="003105CF"/>
    <w:rsid w:val="00313A60"/>
    <w:rsid w:val="003311D0"/>
    <w:rsid w:val="0034207B"/>
    <w:rsid w:val="00342605"/>
    <w:rsid w:val="00351CDD"/>
    <w:rsid w:val="00352BB1"/>
    <w:rsid w:val="0035670A"/>
    <w:rsid w:val="00374588"/>
    <w:rsid w:val="00374903"/>
    <w:rsid w:val="00376108"/>
    <w:rsid w:val="00376A5A"/>
    <w:rsid w:val="00382069"/>
    <w:rsid w:val="00384EC2"/>
    <w:rsid w:val="0039416C"/>
    <w:rsid w:val="003A6733"/>
    <w:rsid w:val="003A7927"/>
    <w:rsid w:val="003B10AF"/>
    <w:rsid w:val="003B64C4"/>
    <w:rsid w:val="003B6DC9"/>
    <w:rsid w:val="003B7B80"/>
    <w:rsid w:val="003C464C"/>
    <w:rsid w:val="003D63BD"/>
    <w:rsid w:val="003F367E"/>
    <w:rsid w:val="003F7DA8"/>
    <w:rsid w:val="00406DCC"/>
    <w:rsid w:val="00407D3B"/>
    <w:rsid w:val="00412531"/>
    <w:rsid w:val="0041656D"/>
    <w:rsid w:val="00422D8D"/>
    <w:rsid w:val="00423B33"/>
    <w:rsid w:val="00463BE8"/>
    <w:rsid w:val="0046450A"/>
    <w:rsid w:val="00474D5B"/>
    <w:rsid w:val="00482C26"/>
    <w:rsid w:val="00487D53"/>
    <w:rsid w:val="00490047"/>
    <w:rsid w:val="004A3264"/>
    <w:rsid w:val="004B6AB8"/>
    <w:rsid w:val="004C561D"/>
    <w:rsid w:val="004E30CC"/>
    <w:rsid w:val="004E4B63"/>
    <w:rsid w:val="004F33A8"/>
    <w:rsid w:val="004F5BB5"/>
    <w:rsid w:val="00506818"/>
    <w:rsid w:val="005102AB"/>
    <w:rsid w:val="00510BCE"/>
    <w:rsid w:val="00513011"/>
    <w:rsid w:val="00516AC8"/>
    <w:rsid w:val="005241FC"/>
    <w:rsid w:val="005268BF"/>
    <w:rsid w:val="005359F0"/>
    <w:rsid w:val="00535D56"/>
    <w:rsid w:val="00564FB9"/>
    <w:rsid w:val="00573157"/>
    <w:rsid w:val="00576C8C"/>
    <w:rsid w:val="00585FD1"/>
    <w:rsid w:val="005913E0"/>
    <w:rsid w:val="005968A7"/>
    <w:rsid w:val="005B2F67"/>
    <w:rsid w:val="005C5D99"/>
    <w:rsid w:val="005E3F3F"/>
    <w:rsid w:val="005F4BCF"/>
    <w:rsid w:val="00606C45"/>
    <w:rsid w:val="00617D03"/>
    <w:rsid w:val="00622053"/>
    <w:rsid w:val="00651195"/>
    <w:rsid w:val="00652236"/>
    <w:rsid w:val="006652B8"/>
    <w:rsid w:val="00667120"/>
    <w:rsid w:val="00667C35"/>
    <w:rsid w:val="006701E1"/>
    <w:rsid w:val="006712A4"/>
    <w:rsid w:val="006A2A63"/>
    <w:rsid w:val="006A62D7"/>
    <w:rsid w:val="006B2B83"/>
    <w:rsid w:val="006C36CE"/>
    <w:rsid w:val="006C47AB"/>
    <w:rsid w:val="006C52D1"/>
    <w:rsid w:val="006D01B3"/>
    <w:rsid w:val="006E0EC3"/>
    <w:rsid w:val="006E2B5F"/>
    <w:rsid w:val="006F3470"/>
    <w:rsid w:val="006F718C"/>
    <w:rsid w:val="00704A15"/>
    <w:rsid w:val="007054B9"/>
    <w:rsid w:val="00710673"/>
    <w:rsid w:val="007136B6"/>
    <w:rsid w:val="00715BD3"/>
    <w:rsid w:val="007172F7"/>
    <w:rsid w:val="00723BDE"/>
    <w:rsid w:val="0072556D"/>
    <w:rsid w:val="00725B2A"/>
    <w:rsid w:val="00733CC8"/>
    <w:rsid w:val="00740258"/>
    <w:rsid w:val="00743ABB"/>
    <w:rsid w:val="007440F7"/>
    <w:rsid w:val="0074454B"/>
    <w:rsid w:val="00770DD9"/>
    <w:rsid w:val="00772F45"/>
    <w:rsid w:val="00774B4C"/>
    <w:rsid w:val="00783454"/>
    <w:rsid w:val="00792822"/>
    <w:rsid w:val="007A29DB"/>
    <w:rsid w:val="007A7F69"/>
    <w:rsid w:val="007B2D29"/>
    <w:rsid w:val="007B54A2"/>
    <w:rsid w:val="007E17AB"/>
    <w:rsid w:val="00843C1C"/>
    <w:rsid w:val="00854106"/>
    <w:rsid w:val="00861326"/>
    <w:rsid w:val="00861747"/>
    <w:rsid w:val="00871745"/>
    <w:rsid w:val="0087312F"/>
    <w:rsid w:val="008773E5"/>
    <w:rsid w:val="008A0665"/>
    <w:rsid w:val="008A2AB3"/>
    <w:rsid w:val="008A6BDC"/>
    <w:rsid w:val="008A7636"/>
    <w:rsid w:val="008B1B47"/>
    <w:rsid w:val="008B1BA2"/>
    <w:rsid w:val="008B7E56"/>
    <w:rsid w:val="008D3CF6"/>
    <w:rsid w:val="008D5EF9"/>
    <w:rsid w:val="008F1E81"/>
    <w:rsid w:val="008F202F"/>
    <w:rsid w:val="008F7A5B"/>
    <w:rsid w:val="009067DC"/>
    <w:rsid w:val="009125C0"/>
    <w:rsid w:val="009427AA"/>
    <w:rsid w:val="009552B4"/>
    <w:rsid w:val="009A412F"/>
    <w:rsid w:val="009A74DE"/>
    <w:rsid w:val="009B65C5"/>
    <w:rsid w:val="009C3510"/>
    <w:rsid w:val="009D62DE"/>
    <w:rsid w:val="009D67F8"/>
    <w:rsid w:val="009E078F"/>
    <w:rsid w:val="009E1925"/>
    <w:rsid w:val="009E6C3B"/>
    <w:rsid w:val="009E7B0F"/>
    <w:rsid w:val="009F0367"/>
    <w:rsid w:val="00A0041E"/>
    <w:rsid w:val="00A02414"/>
    <w:rsid w:val="00A02546"/>
    <w:rsid w:val="00A14F28"/>
    <w:rsid w:val="00A27E49"/>
    <w:rsid w:val="00A31761"/>
    <w:rsid w:val="00A4261E"/>
    <w:rsid w:val="00A61A45"/>
    <w:rsid w:val="00A645E5"/>
    <w:rsid w:val="00A70025"/>
    <w:rsid w:val="00A74736"/>
    <w:rsid w:val="00A74C3E"/>
    <w:rsid w:val="00A74C64"/>
    <w:rsid w:val="00A94BCC"/>
    <w:rsid w:val="00AA2167"/>
    <w:rsid w:val="00AA734D"/>
    <w:rsid w:val="00AA7CB2"/>
    <w:rsid w:val="00AC4678"/>
    <w:rsid w:val="00AF63BF"/>
    <w:rsid w:val="00B0783A"/>
    <w:rsid w:val="00B1156A"/>
    <w:rsid w:val="00B12041"/>
    <w:rsid w:val="00B51968"/>
    <w:rsid w:val="00B86445"/>
    <w:rsid w:val="00B924B6"/>
    <w:rsid w:val="00B92F34"/>
    <w:rsid w:val="00BA0F24"/>
    <w:rsid w:val="00BA7881"/>
    <w:rsid w:val="00BB0C70"/>
    <w:rsid w:val="00BE2F7F"/>
    <w:rsid w:val="00BE76F0"/>
    <w:rsid w:val="00BF7140"/>
    <w:rsid w:val="00C0103F"/>
    <w:rsid w:val="00C322D8"/>
    <w:rsid w:val="00C4688F"/>
    <w:rsid w:val="00C5495A"/>
    <w:rsid w:val="00C65F8C"/>
    <w:rsid w:val="00C721EA"/>
    <w:rsid w:val="00C7460E"/>
    <w:rsid w:val="00C827DA"/>
    <w:rsid w:val="00C82C04"/>
    <w:rsid w:val="00C83D74"/>
    <w:rsid w:val="00C90816"/>
    <w:rsid w:val="00CB1878"/>
    <w:rsid w:val="00CC76D5"/>
    <w:rsid w:val="00CC7983"/>
    <w:rsid w:val="00CD12E6"/>
    <w:rsid w:val="00CE4556"/>
    <w:rsid w:val="00CF105A"/>
    <w:rsid w:val="00CF4B08"/>
    <w:rsid w:val="00CF7A50"/>
    <w:rsid w:val="00D02834"/>
    <w:rsid w:val="00D04F0A"/>
    <w:rsid w:val="00D3516F"/>
    <w:rsid w:val="00D37335"/>
    <w:rsid w:val="00D446A8"/>
    <w:rsid w:val="00D54375"/>
    <w:rsid w:val="00D55F96"/>
    <w:rsid w:val="00D624A3"/>
    <w:rsid w:val="00D633F4"/>
    <w:rsid w:val="00D7475C"/>
    <w:rsid w:val="00D80621"/>
    <w:rsid w:val="00D82FF6"/>
    <w:rsid w:val="00D876B0"/>
    <w:rsid w:val="00D8779C"/>
    <w:rsid w:val="00DA2E2B"/>
    <w:rsid w:val="00DA644B"/>
    <w:rsid w:val="00DB4BB7"/>
    <w:rsid w:val="00DC6237"/>
    <w:rsid w:val="00DE06C0"/>
    <w:rsid w:val="00E1365C"/>
    <w:rsid w:val="00E200CC"/>
    <w:rsid w:val="00E26062"/>
    <w:rsid w:val="00E34135"/>
    <w:rsid w:val="00E37723"/>
    <w:rsid w:val="00E405D2"/>
    <w:rsid w:val="00E46545"/>
    <w:rsid w:val="00E51BFA"/>
    <w:rsid w:val="00E55C63"/>
    <w:rsid w:val="00E75161"/>
    <w:rsid w:val="00E77B8C"/>
    <w:rsid w:val="00E94E6D"/>
    <w:rsid w:val="00E97A4A"/>
    <w:rsid w:val="00EC565B"/>
    <w:rsid w:val="00ED1B2C"/>
    <w:rsid w:val="00ED30D0"/>
    <w:rsid w:val="00ED327E"/>
    <w:rsid w:val="00EE1E4E"/>
    <w:rsid w:val="00EE4BCB"/>
    <w:rsid w:val="00EF5440"/>
    <w:rsid w:val="00EF6423"/>
    <w:rsid w:val="00F0047C"/>
    <w:rsid w:val="00F0093B"/>
    <w:rsid w:val="00F137A1"/>
    <w:rsid w:val="00F16965"/>
    <w:rsid w:val="00F23F93"/>
    <w:rsid w:val="00F267AC"/>
    <w:rsid w:val="00F33200"/>
    <w:rsid w:val="00F33452"/>
    <w:rsid w:val="00F40402"/>
    <w:rsid w:val="00F556AB"/>
    <w:rsid w:val="00F64D0D"/>
    <w:rsid w:val="00F70602"/>
    <w:rsid w:val="00F71044"/>
    <w:rsid w:val="00F8107D"/>
    <w:rsid w:val="00F81F21"/>
    <w:rsid w:val="00F92297"/>
    <w:rsid w:val="00F93899"/>
    <w:rsid w:val="00FA0421"/>
    <w:rsid w:val="00FA22E4"/>
    <w:rsid w:val="00FA69DC"/>
    <w:rsid w:val="00FB0DE5"/>
    <w:rsid w:val="00FB30CE"/>
    <w:rsid w:val="00FC2697"/>
    <w:rsid w:val="00FD1C48"/>
    <w:rsid w:val="00FD7018"/>
    <w:rsid w:val="00FE21E0"/>
    <w:rsid w:val="00FF6D3E"/>
    <w:rsid w:val="3953571B"/>
    <w:rsid w:val="4629AD50"/>
    <w:rsid w:val="4DD7B227"/>
    <w:rsid w:val="688B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87BA"/>
  <w15:docId w15:val="{482308D9-A3C2-4A9A-BD60-DA3EC8B4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DD9"/>
    <w:pPr>
      <w:spacing w:after="200"/>
    </w:pPr>
    <w:rPr>
      <w:rFonts w:ascii="Verdana" w:hAnsi="Verdana"/>
      <w:sz w:val="20"/>
      <w:lang w:eastAsia="en-US"/>
    </w:rPr>
  </w:style>
  <w:style w:type="paragraph" w:styleId="Heading1">
    <w:name w:val="heading 1"/>
    <w:basedOn w:val="Header"/>
    <w:next w:val="Normal"/>
    <w:link w:val="Heading1Char"/>
    <w:uiPriority w:val="9"/>
    <w:qFormat/>
    <w:rsid w:val="00482C26"/>
    <w:pPr>
      <w:spacing w:before="480" w:after="480"/>
      <w:jc w:val="left"/>
      <w:outlineLvl w:val="0"/>
    </w:pPr>
    <w:rPr>
      <w:color w:val="4C6968" w:themeColor="text1"/>
      <w:sz w:val="40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40258"/>
    <w:pPr>
      <w:keepNext/>
      <w:spacing w:before="360" w:after="240"/>
      <w:outlineLvl w:val="1"/>
    </w:pPr>
    <w:rPr>
      <w:b/>
      <w:color w:val="48555E" w:themeColor="text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0258"/>
    <w:pPr>
      <w:keepNext/>
      <w:spacing w:after="120"/>
      <w:outlineLvl w:val="2"/>
    </w:pPr>
    <w:rPr>
      <w:rFonts w:cs="Arial"/>
      <w:b/>
      <w:color w:val="48555E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0258"/>
    <w:pPr>
      <w:keepNext/>
      <w:outlineLvl w:val="3"/>
    </w:pPr>
    <w:rPr>
      <w:rFonts w:cs="Arial"/>
      <w:i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40258"/>
    <w:pPr>
      <w:keepNext/>
      <w:keepLines/>
      <w:spacing w:before="40" w:after="240"/>
      <w:outlineLvl w:val="4"/>
    </w:pPr>
    <w:rPr>
      <w:rFonts w:eastAsiaTheme="majorEastAsia" w:cstheme="majorBidi"/>
      <w:i/>
      <w:color w:val="384E4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27"/>
    <w:unhideWhenUsed/>
    <w:rsid w:val="00DE06C0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7"/>
    <w:rsid w:val="00DE06C0"/>
    <w:rPr>
      <w:rFonts w:ascii="Verdana" w:hAnsi="Verdana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pPr>
      <w:numPr>
        <w:numId w:val="1"/>
      </w:numPr>
    </w:pPr>
  </w:style>
  <w:style w:type="paragraph" w:customStyle="1" w:styleId="1NumberedPointsStyle">
    <w:name w:val="1. Numbered Points Style"/>
    <w:basedOn w:val="Normal"/>
    <w:uiPriority w:val="99"/>
    <w:semiHidden/>
  </w:style>
  <w:style w:type="numbering" w:customStyle="1" w:styleId="BulletList">
    <w:name w:val="Bullet List"/>
    <w:uiPriority w:val="99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2C26"/>
    <w:rPr>
      <w:rFonts w:ascii="Verdana" w:hAnsi="Verdana"/>
      <w:b/>
      <w:color w:val="4C6968" w:themeColor="text1"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40258"/>
    <w:rPr>
      <w:rFonts w:ascii="Verdana" w:hAnsi="Verdana"/>
      <w:b/>
      <w:color w:val="48555E" w:themeColor="text2"/>
      <w:sz w:val="32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40258"/>
    <w:rPr>
      <w:rFonts w:ascii="Verdana" w:hAnsi="Verdana" w:cs="Arial"/>
      <w:b/>
      <w:color w:val="48555E" w:themeColor="text2"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40258"/>
    <w:rPr>
      <w:rFonts w:ascii="Verdana" w:hAnsi="Verdana" w:cs="Arial"/>
      <w:i/>
      <w:lang w:eastAsia="en-US"/>
    </w:rPr>
  </w:style>
  <w:style w:type="paragraph" w:styleId="ListBullet">
    <w:name w:val="List Bullet"/>
    <w:basedOn w:val="Normal"/>
    <w:uiPriority w:val="99"/>
    <w:unhideWhenUsed/>
    <w:qFormat/>
    <w:pPr>
      <w:numPr>
        <w:numId w:val="8"/>
      </w:numPr>
    </w:pPr>
  </w:style>
  <w:style w:type="paragraph" w:styleId="ListBullet2">
    <w:name w:val="List Bullet 2"/>
    <w:basedOn w:val="Normal"/>
    <w:uiPriority w:val="99"/>
    <w:unhideWhenUsed/>
    <w:pPr>
      <w:numPr>
        <w:ilvl w:val="1"/>
        <w:numId w:val="8"/>
      </w:numPr>
    </w:pPr>
  </w:style>
  <w:style w:type="numbering" w:customStyle="1" w:styleId="Attach">
    <w:name w:val="Attach"/>
    <w:basedOn w:val="NoList"/>
    <w:uiPriority w:val="99"/>
    <w:pPr>
      <w:numPr>
        <w:numId w:val="5"/>
      </w:numPr>
    </w:pPr>
  </w:style>
  <w:style w:type="paragraph" w:customStyle="1" w:styleId="Classification">
    <w:name w:val="Classification"/>
    <w:basedOn w:val="Normal"/>
    <w:autoRedefine/>
    <w:uiPriority w:val="10"/>
    <w:qFormat/>
    <w:rsid w:val="00DE06C0"/>
    <w:pPr>
      <w:tabs>
        <w:tab w:val="center" w:pos="4536"/>
        <w:tab w:val="center" w:pos="4819"/>
        <w:tab w:val="right" w:pos="9356"/>
      </w:tabs>
      <w:spacing w:after="0"/>
      <w:jc w:val="center"/>
    </w:pPr>
    <w:rPr>
      <w:rFonts w:eastAsia="Times New Roman" w:cs="Arial"/>
      <w:color w:val="4C6968" w:themeColor="text1"/>
      <w:sz w:val="28"/>
      <w:szCs w:val="28"/>
      <w:lang w:eastAsia="en-AU"/>
    </w:rPr>
  </w:style>
  <w:style w:type="paragraph" w:styleId="ListNumber">
    <w:name w:val="List Number"/>
    <w:basedOn w:val="Normal"/>
    <w:uiPriority w:val="99"/>
    <w:qFormat/>
    <w:pPr>
      <w:numPr>
        <w:numId w:val="11"/>
      </w:numPr>
      <w:spacing w:before="120" w:after="120"/>
    </w:pPr>
  </w:style>
  <w:style w:type="paragraph" w:styleId="ListNumber2">
    <w:name w:val="List Number 2"/>
    <w:basedOn w:val="Normal"/>
    <w:uiPriority w:val="99"/>
    <w:rsid w:val="00B92F34"/>
    <w:pPr>
      <w:numPr>
        <w:ilvl w:val="1"/>
        <w:numId w:val="11"/>
      </w:numPr>
      <w:spacing w:after="120"/>
    </w:pPr>
    <w:rPr>
      <w:rFonts w:cs="Segoe UI"/>
    </w:rPr>
  </w:style>
  <w:style w:type="paragraph" w:styleId="ListNumber3">
    <w:name w:val="List Number 3"/>
    <w:basedOn w:val="Normal"/>
    <w:uiPriority w:val="99"/>
    <w:rsid w:val="00B92F34"/>
    <w:pPr>
      <w:numPr>
        <w:ilvl w:val="2"/>
        <w:numId w:val="11"/>
      </w:numPr>
      <w:spacing w:after="120"/>
      <w:ind w:left="1106"/>
    </w:pPr>
    <w:rPr>
      <w:rFonts w:cs="Segoe UI"/>
    </w:rPr>
  </w:style>
  <w:style w:type="paragraph" w:customStyle="1" w:styleId="Footerclassification">
    <w:name w:val="Footer classification"/>
    <w:basedOn w:val="Header"/>
    <w:uiPriority w:val="10"/>
    <w:rsid w:val="00FB0DE5"/>
    <w:rPr>
      <w:b w:val="0"/>
      <w:color w:val="FF0000"/>
      <w:sz w:val="18"/>
      <w:szCs w:val="24"/>
    </w:rPr>
  </w:style>
  <w:style w:type="paragraph" w:customStyle="1" w:styleId="Refnumber">
    <w:name w:val="Ref number"/>
    <w:basedOn w:val="Normal"/>
    <w:next w:val="Normal"/>
    <w:uiPriority w:val="14"/>
    <w:rsid w:val="00FA69DC"/>
    <w:pPr>
      <w:spacing w:before="120" w:after="120"/>
      <w:jc w:val="right"/>
    </w:pPr>
  </w:style>
  <w:style w:type="table" w:styleId="TableGrid">
    <w:name w:val="Table Grid"/>
    <w:basedOn w:val="TableNormal"/>
    <w:uiPriority w:val="59"/>
    <w:tblPr>
      <w:tblBorders>
        <w:top w:val="single" w:sz="4" w:space="0" w:color="4C6968" w:themeColor="text1"/>
        <w:left w:val="single" w:sz="4" w:space="0" w:color="4C6968" w:themeColor="text1"/>
        <w:bottom w:val="single" w:sz="4" w:space="0" w:color="4C6968" w:themeColor="text1"/>
        <w:right w:val="single" w:sz="4" w:space="0" w:color="4C6968" w:themeColor="text1"/>
        <w:insideH w:val="single" w:sz="4" w:space="0" w:color="4C6968" w:themeColor="text1"/>
        <w:insideV w:val="single" w:sz="4" w:space="0" w:color="4C6968" w:themeColor="text1"/>
      </w:tblBorders>
    </w:tblPr>
  </w:style>
  <w:style w:type="paragraph" w:customStyle="1" w:styleId="Agreed">
    <w:name w:val="Agreed"/>
    <w:basedOn w:val="Normal"/>
    <w:pPr>
      <w:jc w:val="right"/>
    </w:pPr>
    <w:rPr>
      <w:b/>
    </w:rPr>
  </w:style>
  <w:style w:type="paragraph" w:customStyle="1" w:styleId="Tabletext">
    <w:name w:val="Table text"/>
    <w:basedOn w:val="Normal"/>
    <w:uiPriority w:val="9"/>
    <w:qFormat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hAnsi="Calibri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48545E" w:themeColor="hyperlink"/>
      <w:u w:val="single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A7CB2"/>
    <w:rPr>
      <w:color w:val="FFFF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CB2"/>
    <w:rPr>
      <w:color w:val="605E5C"/>
      <w:shd w:val="clear" w:color="auto" w:fill="E1DFDD"/>
    </w:rPr>
  </w:style>
  <w:style w:type="paragraph" w:customStyle="1" w:styleId="Instructions">
    <w:name w:val="Instructions"/>
    <w:basedOn w:val="Normal"/>
    <w:qFormat/>
    <w:rsid w:val="00770DD9"/>
    <w:pPr>
      <w:pBdr>
        <w:top w:val="single" w:sz="4" w:space="1" w:color="BCD8E3" w:themeColor="background1"/>
        <w:left w:val="single" w:sz="4" w:space="4" w:color="BCD8E3" w:themeColor="background1"/>
        <w:bottom w:val="single" w:sz="4" w:space="1" w:color="BCD8E3" w:themeColor="background1"/>
        <w:right w:val="single" w:sz="4" w:space="4" w:color="BCD8E3" w:themeColor="background1"/>
      </w:pBdr>
      <w:shd w:val="clear" w:color="auto" w:fill="BCD8E3" w:themeFill="background1"/>
      <w:ind w:left="113" w:right="113"/>
    </w:pPr>
  </w:style>
  <w:style w:type="table" w:styleId="TableGridLight">
    <w:name w:val="Grid Table Light"/>
    <w:aliases w:val="IGWC Table"/>
    <w:basedOn w:val="TableNormal"/>
    <w:uiPriority w:val="40"/>
    <w:rsid w:val="00740258"/>
    <w:tblPr>
      <w:tblBorders>
        <w:bottom w:val="single" w:sz="4" w:space="0" w:color="48555E" w:themeColor="text2"/>
        <w:insideH w:val="single" w:sz="4" w:space="0" w:color="48555E" w:themeColor="text2"/>
      </w:tblBorders>
    </w:tblPr>
    <w:tblStylePr w:type="firstRow">
      <w:tblPr/>
      <w:trPr>
        <w:tblHeader/>
      </w:trPr>
      <w:tcPr>
        <w:shd w:val="clear" w:color="auto" w:fill="4C6968" w:themeFill="text1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740258"/>
    <w:rPr>
      <w:rFonts w:ascii="Verdana" w:eastAsiaTheme="majorEastAsia" w:hAnsi="Verdana" w:cstheme="majorBidi"/>
      <w:i/>
      <w:color w:val="384E4D" w:themeColor="accent1" w:themeShade="BF"/>
      <w:sz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D62DE"/>
    <w:pPr>
      <w:spacing w:before="1600" w:after="1600"/>
      <w:contextualSpacing/>
    </w:pPr>
    <w:rPr>
      <w:rFonts w:eastAsiaTheme="majorEastAsia" w:cstheme="majorBidi"/>
      <w:b/>
      <w:color w:val="48555E" w:themeColor="text2"/>
      <w:spacing w:val="-10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2DE"/>
    <w:rPr>
      <w:rFonts w:ascii="Verdana" w:eastAsiaTheme="majorEastAsia" w:hAnsi="Verdana" w:cstheme="majorBidi"/>
      <w:b/>
      <w:color w:val="48555E" w:themeColor="text2"/>
      <w:spacing w:val="-10"/>
      <w:kern w:val="28"/>
      <w:sz w:val="50"/>
      <w:szCs w:val="56"/>
      <w:lang w:eastAsia="en-US"/>
    </w:rPr>
  </w:style>
  <w:style w:type="paragraph" w:customStyle="1" w:styleId="TableHeader">
    <w:name w:val="Table Header"/>
    <w:basedOn w:val="Normal"/>
    <w:qFormat/>
    <w:rsid w:val="00740258"/>
    <w:pPr>
      <w:spacing w:before="120" w:after="120"/>
    </w:pPr>
    <w:rPr>
      <w:b/>
      <w:color w:val="FFFFFF"/>
    </w:rPr>
  </w:style>
  <w:style w:type="paragraph" w:customStyle="1" w:styleId="TableText0">
    <w:name w:val="Table Text"/>
    <w:basedOn w:val="Normal"/>
    <w:qFormat/>
    <w:rsid w:val="00740258"/>
    <w:pPr>
      <w:spacing w:before="120" w:after="120"/>
    </w:pPr>
  </w:style>
  <w:style w:type="paragraph" w:customStyle="1" w:styleId="TableHeading">
    <w:name w:val="Table Heading"/>
    <w:basedOn w:val="Normal"/>
    <w:qFormat/>
    <w:rsid w:val="00740258"/>
    <w:pPr>
      <w:spacing w:before="240" w:after="120"/>
    </w:pPr>
    <w:rPr>
      <w:color w:val="4C6968" w:themeColor="text1"/>
    </w:rPr>
  </w:style>
  <w:style w:type="paragraph" w:customStyle="1" w:styleId="FigureHeading">
    <w:name w:val="Figure Heading"/>
    <w:basedOn w:val="TableHeading"/>
    <w:qFormat/>
    <w:rsid w:val="00740258"/>
  </w:style>
  <w:style w:type="table" w:customStyle="1" w:styleId="Style1">
    <w:name w:val="Style1"/>
    <w:basedOn w:val="TableNormal"/>
    <w:uiPriority w:val="99"/>
    <w:rsid w:val="00740258"/>
    <w:tblPr>
      <w:tblBorders>
        <w:bottom w:val="single" w:sz="4" w:space="0" w:color="48555E" w:themeColor="text2"/>
        <w:insideH w:val="single" w:sz="4" w:space="0" w:color="48555E" w:themeColor="text2"/>
      </w:tblBorders>
    </w:tblPr>
    <w:tblStylePr w:type="firstRow">
      <w:tblPr/>
      <w:trPr>
        <w:tblHeader/>
      </w:trPr>
    </w:tblStylePr>
  </w:style>
  <w:style w:type="paragraph" w:styleId="ListParagraph">
    <w:name w:val="List Paragraph"/>
    <w:basedOn w:val="Normal"/>
    <w:uiPriority w:val="34"/>
    <w:rsid w:val="007B54A2"/>
    <w:pPr>
      <w:ind w:left="720"/>
      <w:contextualSpacing/>
    </w:pPr>
  </w:style>
  <w:style w:type="paragraph" w:styleId="Revision">
    <w:name w:val="Revision"/>
    <w:hidden/>
    <w:uiPriority w:val="99"/>
    <w:semiHidden/>
    <w:rsid w:val="00313A60"/>
    <w:rPr>
      <w:rFonts w:ascii="Verdana" w:hAnsi="Verdan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4909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48" w:space="0" w:color="000000"/>
                <w:right w:val="single" w:sz="6" w:space="0" w:color="666666"/>
              </w:divBdr>
              <w:divsChild>
                <w:div w:id="5621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6871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2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5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0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81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4320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48" w:space="0" w:color="000000"/>
                <w:right w:val="single" w:sz="6" w:space="0" w:color="666666"/>
              </w:divBdr>
              <w:divsChild>
                <w:div w:id="18740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654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3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6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gwc.gov.au/abou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gwc.gov.au/abou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Internal%20briefing\Internal_general_briefing_template.dotx" TargetMode="External"/></Relationships>
</file>

<file path=word/theme/theme1.xml><?xml version="1.0" encoding="utf-8"?>
<a:theme xmlns:a="http://schemas.openxmlformats.org/drawingml/2006/main" name="Office Theme">
  <a:themeElements>
    <a:clrScheme name="IGWC">
      <a:dk1>
        <a:srgbClr val="4C6968"/>
      </a:dk1>
      <a:lt1>
        <a:srgbClr val="BCD8E3"/>
      </a:lt1>
      <a:dk2>
        <a:srgbClr val="48555E"/>
      </a:dk2>
      <a:lt2>
        <a:srgbClr val="E7E6E6"/>
      </a:lt2>
      <a:accent1>
        <a:srgbClr val="4C6968"/>
      </a:accent1>
      <a:accent2>
        <a:srgbClr val="48545E"/>
      </a:accent2>
      <a:accent3>
        <a:srgbClr val="BCD7E2"/>
      </a:accent3>
      <a:accent4>
        <a:srgbClr val="6E8C81"/>
      </a:accent4>
      <a:accent5>
        <a:srgbClr val="F0C88A"/>
      </a:accent5>
      <a:accent6>
        <a:srgbClr val="CE9282"/>
      </a:accent6>
      <a:hlink>
        <a:srgbClr val="48545E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b98728ac-f998-415c-abee-6b046fb144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4F77836BB3D4E8942C3BA8310D952" ma:contentTypeVersion="14" ma:contentTypeDescription="Create a new document." ma:contentTypeScope="" ma:versionID="d2575a541de4f6f4146f87d786cddbb4">
  <xsd:schema xmlns:xsd="http://www.w3.org/2001/XMLSchema" xmlns:xs="http://www.w3.org/2001/XMLSchema" xmlns:p="http://schemas.microsoft.com/office/2006/metadata/properties" xmlns:ns2="b98728ac-f998-415c-abee-6b046fb1441e" xmlns:ns3="81c01dc6-2c49-4730-b140-874c95cac377" xmlns:ns4="d869c146-c82e-4435-92e4-da91542262fd" targetNamespace="http://schemas.microsoft.com/office/2006/metadata/properties" ma:root="true" ma:fieldsID="4bfd732ecb4d90ac731c1f8eb5d3dcdc" ns2:_="" ns3:_="" ns4:_="">
    <xsd:import namespace="b98728ac-f998-415c-abee-6b046fb1441e"/>
    <xsd:import namespace="81c01dc6-2c49-4730-b140-874c95cac377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6b5be2-cf4e-43ec-8734-a0fb5251e776}" ma:internalName="TaxCatchAll" ma:showField="CatchAllData" ma:web="d869c146-c82e-4435-92e4-da915422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C352-E00B-46D4-BD1B-505BD6BAF325}">
  <ds:schemaRefs>
    <ds:schemaRef ds:uri="81c01dc6-2c49-4730-b140-874c95cac377"/>
    <ds:schemaRef ds:uri="http://schemas.microsoft.com/office/2006/documentManagement/types"/>
    <ds:schemaRef ds:uri="b98728ac-f998-415c-abee-6b046fb1441e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869c146-c82e-4435-92e4-da91542262fd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548649-1E22-4583-A7D5-F122D3D91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A649A-FB48-448F-A2C4-CE4967EF2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728ac-f998-415c-abee-6b046fb1441e"/>
    <ds:schemaRef ds:uri="81c01dc6-2c49-4730-b140-874c95cac377"/>
    <ds:schemaRef ds:uri="d869c146-c82e-4435-92e4-da9154226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4D50C4-414E-4BD0-88F0-D5153AEA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Internal_general_briefing_template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Sustainable Diversion Limite Compliance Framework - Fact sheet</vt:lpstr>
    </vt:vector>
  </TitlesOfParts>
  <Manager/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Diversion Limite Compliance Framework - Fact sheet</dc:title>
  <dc:subject/>
  <dc:creator>Inspector-General of Water Compliance</dc:creator>
  <cp:keywords/>
  <dc:description/>
  <cp:lastModifiedBy>Nguyen, Lien</cp:lastModifiedBy>
  <cp:revision>3</cp:revision>
  <cp:lastPrinted>2021-12-15T06:45:00Z</cp:lastPrinted>
  <dcterms:created xsi:type="dcterms:W3CDTF">2023-10-20T03:39:00Z</dcterms:created>
  <dcterms:modified xsi:type="dcterms:W3CDTF">2023-10-27T01:30:00Z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0x0101000AB83DC74A1A224A94CC6277C36640F8</vt:lpwstr>
  </property>
  <property fmtid="{D5CDD505-2E9C-101B-9397-08002B2CF9AE}" pid="3" name="MediaServiceImageTags">
    <vt:lpwstr/>
  </property>
</Properties>
</file>