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427BC" w14:textId="77777777" w:rsidR="00E269F7" w:rsidRDefault="00E269F7" w:rsidP="00E269F7">
      <w:pPr>
        <w:pStyle w:val="Title"/>
      </w:pPr>
      <w:bookmarkStart w:id="0" w:name="_Hlk141801407"/>
      <w:r>
        <w:t xml:space="preserve">Sustainable Diversion Limit Compliance Statement </w:t>
      </w:r>
      <w:bookmarkEnd w:id="0"/>
      <w:r>
        <w:t>for 2021-2022</w:t>
      </w:r>
    </w:p>
    <w:p w14:paraId="4480BF42" w14:textId="77777777" w:rsidR="00994A0D" w:rsidRDefault="00994A0D" w:rsidP="00994A0D">
      <w:pPr>
        <w:pStyle w:val="Subtitle"/>
      </w:pPr>
      <w:r>
        <w:t>Inspector-General of Water Compliance</w:t>
      </w:r>
    </w:p>
    <w:p w14:paraId="3F1C0A8D" w14:textId="77777777" w:rsidR="00E269F7" w:rsidRDefault="00E269F7" w:rsidP="004A30CF">
      <w:pPr>
        <w:rPr>
          <w:b/>
          <w:bCs/>
          <w:color w:val="4C6968" w:themeColor="accent1"/>
        </w:rPr>
      </w:pPr>
    </w:p>
    <w:p w14:paraId="42C1D123" w14:textId="58F63F80" w:rsidR="004A30CF" w:rsidRPr="00DC139B" w:rsidRDefault="008D3755" w:rsidP="004A30CF">
      <w:pPr>
        <w:rPr>
          <w:b/>
          <w:bCs/>
          <w:color w:val="E7E6E6" w:themeColor="background2"/>
        </w:rPr>
      </w:pPr>
      <w:r>
        <w:rPr>
          <w:b/>
          <w:bCs/>
          <w:color w:val="E7E6E6" w:themeColor="background2"/>
        </w:rPr>
        <w:t>September</w:t>
      </w:r>
      <w:r w:rsidR="00AD6FA7" w:rsidRPr="00DC139B">
        <w:rPr>
          <w:b/>
          <w:bCs/>
          <w:color w:val="E7E6E6" w:themeColor="background2"/>
        </w:rPr>
        <w:t xml:space="preserve"> 202</w:t>
      </w:r>
      <w:r w:rsidR="005515B0">
        <w:rPr>
          <w:b/>
          <w:bCs/>
          <w:color w:val="E7E6E6" w:themeColor="background2"/>
        </w:rPr>
        <w:t>3</w:t>
      </w:r>
    </w:p>
    <w:p w14:paraId="20810B53" w14:textId="77777777" w:rsidR="00BB6C31" w:rsidRDefault="00BB6C31" w:rsidP="004A30CF">
      <w:pPr>
        <w:rPr>
          <w:b/>
          <w:bCs/>
          <w:color w:val="E7E6E6" w:themeColor="background2"/>
        </w:rPr>
      </w:pPr>
    </w:p>
    <w:p w14:paraId="119C404E" w14:textId="53226460" w:rsidR="00BB6C31" w:rsidRPr="00F64615" w:rsidRDefault="00BB6C31" w:rsidP="004A30CF">
      <w:pPr>
        <w:rPr>
          <w:b/>
          <w:bCs/>
          <w:color w:val="FF0000"/>
          <w:sz w:val="44"/>
          <w:szCs w:val="48"/>
        </w:rPr>
      </w:pPr>
    </w:p>
    <w:p w14:paraId="7F0766FC" w14:textId="77777777" w:rsidR="00BB6C31" w:rsidRPr="00BB6C31" w:rsidRDefault="00AD6FA7">
      <w:pPr>
        <w:spacing w:after="0"/>
      </w:pPr>
      <w:r>
        <w:br w:type="page"/>
      </w:r>
    </w:p>
    <w:p w14:paraId="5A06C10A" w14:textId="77777777" w:rsidR="00C118DE" w:rsidRPr="00452256" w:rsidRDefault="00AD6FA7" w:rsidP="00C118DE">
      <w:pPr>
        <w:rPr>
          <w:szCs w:val="20"/>
        </w:rPr>
      </w:pPr>
      <w:r w:rsidRPr="00452256">
        <w:rPr>
          <w:szCs w:val="20"/>
        </w:rPr>
        <w:lastRenderedPageBreak/>
        <w:t>© Commonwealth of Australia 202</w:t>
      </w:r>
      <w:r w:rsidR="00F54AA6">
        <w:rPr>
          <w:szCs w:val="20"/>
        </w:rPr>
        <w:t>3</w:t>
      </w:r>
    </w:p>
    <w:p w14:paraId="50288143" w14:textId="77777777" w:rsidR="00C118DE" w:rsidRPr="00452256" w:rsidRDefault="00AD6FA7" w:rsidP="00C118DE">
      <w:pPr>
        <w:rPr>
          <w:rStyle w:val="Strong"/>
          <w:szCs w:val="20"/>
        </w:rPr>
      </w:pPr>
      <w:r w:rsidRPr="00452256">
        <w:rPr>
          <w:rStyle w:val="Strong"/>
          <w:szCs w:val="20"/>
        </w:rPr>
        <w:t>Ownership of intellectual property rights</w:t>
      </w:r>
    </w:p>
    <w:p w14:paraId="3CF3BF02" w14:textId="77777777" w:rsidR="00C118DE" w:rsidRPr="00452256" w:rsidRDefault="00AD6FA7" w:rsidP="00C118DE">
      <w:pPr>
        <w:rPr>
          <w:szCs w:val="20"/>
        </w:rPr>
      </w:pPr>
      <w:r w:rsidRPr="00452256">
        <w:rPr>
          <w:szCs w:val="20"/>
        </w:rPr>
        <w:t>Unless otherwise noted, copyright (and any other intellectual property rights) in this publication is owned by the Commonwealth of Australia (referred to as the Commonwealth).</w:t>
      </w:r>
    </w:p>
    <w:p w14:paraId="6DF37721" w14:textId="77777777" w:rsidR="00C118DE" w:rsidRPr="00452256" w:rsidRDefault="00AD6FA7" w:rsidP="00C118DE">
      <w:pPr>
        <w:rPr>
          <w:rStyle w:val="Strong"/>
          <w:szCs w:val="20"/>
        </w:rPr>
      </w:pPr>
      <w:r w:rsidRPr="00452256">
        <w:rPr>
          <w:rStyle w:val="Strong"/>
          <w:szCs w:val="20"/>
        </w:rPr>
        <w:t xml:space="preserve">Creative Commons licence </w:t>
      </w:r>
    </w:p>
    <w:p w14:paraId="302E312A" w14:textId="77777777" w:rsidR="00C118DE" w:rsidRPr="00452256" w:rsidRDefault="00AD6FA7" w:rsidP="00C118DE">
      <w:pPr>
        <w:rPr>
          <w:szCs w:val="20"/>
        </w:rPr>
      </w:pPr>
      <w:r w:rsidRPr="00452256">
        <w:rPr>
          <w:szCs w:val="20"/>
        </w:rPr>
        <w:t xml:space="preserve">All material in this publication is licensed under a Creative Commons Attribution 4.0 International Licence, except for content supplied by third parties, </w:t>
      </w:r>
      <w:r w:rsidR="005B3926" w:rsidRPr="00452256">
        <w:rPr>
          <w:szCs w:val="20"/>
        </w:rPr>
        <w:t>logos,</w:t>
      </w:r>
      <w:r w:rsidRPr="00452256">
        <w:rPr>
          <w:szCs w:val="20"/>
        </w:rPr>
        <w:t xml:space="preserve"> and the Commonwealth Coat of Arms. </w:t>
      </w:r>
    </w:p>
    <w:p w14:paraId="7720DB9E" w14:textId="77777777" w:rsidR="00C118DE" w:rsidRPr="00452256" w:rsidRDefault="00AD6FA7" w:rsidP="00C118DE">
      <w:pPr>
        <w:rPr>
          <w:szCs w:val="20"/>
        </w:rPr>
      </w:pPr>
      <w:r w:rsidRPr="00452256">
        <w:rPr>
          <w:szCs w:val="20"/>
        </w:rPr>
        <w:t>Inquiries about the licence and any use of this document should be emailed to copyright@dcceew.gov.au.</w:t>
      </w:r>
    </w:p>
    <w:p w14:paraId="4296218D" w14:textId="77777777" w:rsidR="00C118DE" w:rsidRPr="00452256" w:rsidRDefault="00AD6FA7" w:rsidP="00C118DE">
      <w:pPr>
        <w:rPr>
          <w:szCs w:val="20"/>
        </w:rPr>
      </w:pPr>
      <w:r w:rsidRPr="00452256">
        <w:rPr>
          <w:noProof/>
          <w:szCs w:val="20"/>
          <w:lang w:eastAsia="en-AU"/>
        </w:rPr>
        <w:drawing>
          <wp:inline distT="0" distB="0" distL="0" distR="0" wp14:anchorId="1C8F3F7D" wp14:editId="3E835E66">
            <wp:extent cx="724535" cy="2552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920075" w14:textId="77777777" w:rsidR="00C118DE" w:rsidRPr="00452256" w:rsidRDefault="00AD6FA7" w:rsidP="00C118DE">
      <w:pPr>
        <w:rPr>
          <w:rStyle w:val="Strong"/>
          <w:szCs w:val="20"/>
        </w:rPr>
      </w:pPr>
      <w:r w:rsidRPr="00452256">
        <w:rPr>
          <w:rStyle w:val="Strong"/>
          <w:szCs w:val="20"/>
        </w:rPr>
        <w:t>Cataloguing data</w:t>
      </w:r>
    </w:p>
    <w:p w14:paraId="40284100" w14:textId="77777777" w:rsidR="00C118DE" w:rsidRPr="00452256" w:rsidRDefault="00AD6FA7" w:rsidP="00C118DE">
      <w:pPr>
        <w:rPr>
          <w:szCs w:val="20"/>
        </w:rPr>
      </w:pPr>
      <w:r w:rsidRPr="00452256">
        <w:rPr>
          <w:szCs w:val="20"/>
        </w:rPr>
        <w:t>This publication (and any material sourced from it) should be attributed as: Inspector-General of Water Compliance 202</w:t>
      </w:r>
      <w:r w:rsidR="00F54AA6">
        <w:rPr>
          <w:szCs w:val="20"/>
        </w:rPr>
        <w:t>3</w:t>
      </w:r>
      <w:r w:rsidRPr="00452256">
        <w:rPr>
          <w:szCs w:val="20"/>
        </w:rPr>
        <w:t xml:space="preserve">, </w:t>
      </w:r>
      <w:r>
        <w:rPr>
          <w:rStyle w:val="Emphasis"/>
          <w:szCs w:val="20"/>
        </w:rPr>
        <w:t>Publication Name</w:t>
      </w:r>
      <w:r w:rsidRPr="00452256">
        <w:rPr>
          <w:szCs w:val="20"/>
        </w:rPr>
        <w:t>, the Australian Government, Canberra, August 202</w:t>
      </w:r>
      <w:r w:rsidR="00F54AA6">
        <w:rPr>
          <w:szCs w:val="20"/>
        </w:rPr>
        <w:t>3</w:t>
      </w:r>
      <w:r w:rsidRPr="00452256">
        <w:rPr>
          <w:szCs w:val="20"/>
        </w:rPr>
        <w:t>. CC BY 4.0.</w:t>
      </w:r>
    </w:p>
    <w:p w14:paraId="63527530" w14:textId="77777777" w:rsidR="00C118DE" w:rsidRPr="00452256" w:rsidRDefault="00AD6FA7" w:rsidP="00C118DE">
      <w:pPr>
        <w:rPr>
          <w:rStyle w:val="Hyperlink"/>
          <w:szCs w:val="20"/>
        </w:rPr>
      </w:pPr>
      <w:r w:rsidRPr="00452256">
        <w:rPr>
          <w:szCs w:val="20"/>
        </w:rPr>
        <w:t xml:space="preserve">This publication is available at </w:t>
      </w:r>
      <w:proofErr w:type="gramStart"/>
      <w:r w:rsidRPr="00893A6E">
        <w:rPr>
          <w:szCs w:val="20"/>
        </w:rPr>
        <w:t>https://www.igwc.gov.au/reviews-reports</w:t>
      </w:r>
      <w:proofErr w:type="gramEnd"/>
    </w:p>
    <w:p w14:paraId="6D66AA9F" w14:textId="77777777" w:rsidR="00C118DE" w:rsidRPr="00452256" w:rsidRDefault="00AD6FA7" w:rsidP="00C118DE">
      <w:pPr>
        <w:rPr>
          <w:szCs w:val="20"/>
        </w:rPr>
      </w:pPr>
      <w:r w:rsidRPr="00452256">
        <w:rPr>
          <w:szCs w:val="20"/>
        </w:rPr>
        <w:t>Inspector-General of Water Compliance</w:t>
      </w:r>
      <w:r w:rsidRPr="00452256">
        <w:rPr>
          <w:szCs w:val="20"/>
        </w:rPr>
        <w:br/>
        <w:t>GPO Box 3090 Canberra ACT 2601</w:t>
      </w:r>
    </w:p>
    <w:p w14:paraId="16AC7D17" w14:textId="77777777" w:rsidR="00C118DE" w:rsidRPr="00452256" w:rsidRDefault="00AD6FA7" w:rsidP="00C118DE">
      <w:pPr>
        <w:rPr>
          <w:rStyle w:val="Strong"/>
          <w:szCs w:val="20"/>
        </w:rPr>
      </w:pPr>
      <w:r w:rsidRPr="00452256">
        <w:rPr>
          <w:rStyle w:val="Strong"/>
          <w:szCs w:val="20"/>
        </w:rPr>
        <w:t>Disclaimer</w:t>
      </w:r>
    </w:p>
    <w:p w14:paraId="7247A169" w14:textId="77777777" w:rsidR="00C118DE" w:rsidRPr="00452256" w:rsidRDefault="00AD6FA7" w:rsidP="00C118DE">
      <w:pPr>
        <w:rPr>
          <w:szCs w:val="20"/>
        </w:rPr>
      </w:pPr>
      <w:r w:rsidRPr="00452256">
        <w:rPr>
          <w:szCs w:val="20"/>
        </w:rPr>
        <w:t xml:space="preserve">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w:t>
      </w:r>
      <w:r w:rsidR="000E73CC" w:rsidRPr="00452256">
        <w:rPr>
          <w:szCs w:val="20"/>
        </w:rPr>
        <w:t>expense,</w:t>
      </w:r>
      <w:r w:rsidRPr="00452256">
        <w:rPr>
          <w:szCs w:val="20"/>
        </w:rPr>
        <w:t xml:space="preserve"> or cost incurred by any person </w:t>
      </w:r>
      <w:proofErr w:type="gramStart"/>
      <w:r w:rsidRPr="00452256">
        <w:rPr>
          <w:szCs w:val="20"/>
        </w:rPr>
        <w:t>as a result of</w:t>
      </w:r>
      <w:proofErr w:type="gramEnd"/>
      <w:r w:rsidRPr="00452256">
        <w:rPr>
          <w:szCs w:val="20"/>
        </w:rPr>
        <w:t xml:space="preserve"> accessing, </w:t>
      </w:r>
      <w:r w:rsidR="00B6585A" w:rsidRPr="00452256">
        <w:rPr>
          <w:szCs w:val="20"/>
        </w:rPr>
        <w:t>using,</w:t>
      </w:r>
      <w:r w:rsidRPr="00452256">
        <w:rPr>
          <w:szCs w:val="20"/>
        </w:rPr>
        <w:t xml:space="preserve"> or relying on any of the information or data in this publication to the maximum extent permitted by law.</w:t>
      </w:r>
    </w:p>
    <w:p w14:paraId="410832FA" w14:textId="77777777" w:rsidR="00F54AA6" w:rsidRPr="00452256" w:rsidRDefault="00AD6FA7" w:rsidP="00F54AA6">
      <w:pPr>
        <w:rPr>
          <w:rStyle w:val="Strong"/>
          <w:szCs w:val="20"/>
        </w:rPr>
      </w:pPr>
      <w:r w:rsidRPr="00452256">
        <w:rPr>
          <w:rStyle w:val="Strong"/>
          <w:szCs w:val="20"/>
        </w:rPr>
        <w:t xml:space="preserve">Acknowledgement of </w:t>
      </w:r>
      <w:r>
        <w:rPr>
          <w:rStyle w:val="Strong"/>
          <w:szCs w:val="20"/>
        </w:rPr>
        <w:t>all Traditional Owners</w:t>
      </w:r>
    </w:p>
    <w:p w14:paraId="72988825" w14:textId="77777777" w:rsidR="00F54AA6" w:rsidRDefault="00AD6FA7" w:rsidP="00F54AA6">
      <w:pPr>
        <w:rPr>
          <w:szCs w:val="20"/>
        </w:rPr>
      </w:pPr>
      <w:r>
        <w:rPr>
          <w:szCs w:val="20"/>
        </w:rPr>
        <w:t xml:space="preserve">We pay our respect to the Traditional Owners and their Nations of the Murray-Darling Basin. We acknowledge their deep cultural, social, environmental, </w:t>
      </w:r>
      <w:r w:rsidR="000E73CC">
        <w:rPr>
          <w:szCs w:val="20"/>
        </w:rPr>
        <w:t>spiritual,</w:t>
      </w:r>
      <w:r>
        <w:rPr>
          <w:szCs w:val="20"/>
        </w:rPr>
        <w:t xml:space="preserve"> and economic connection to their lands and waters. </w:t>
      </w:r>
    </w:p>
    <w:p w14:paraId="60ABDFC9" w14:textId="77777777" w:rsidR="00F54AA6" w:rsidRPr="00452256" w:rsidRDefault="00AD6FA7" w:rsidP="00F54AA6">
      <w:pPr>
        <w:rPr>
          <w:szCs w:val="20"/>
        </w:rPr>
      </w:pPr>
      <w:r>
        <w:rPr>
          <w:szCs w:val="20"/>
        </w:rPr>
        <w:t xml:space="preserve">Aboriginal people should be aware that this publication may contain images, names, or quotations of deceased persons. </w:t>
      </w:r>
    </w:p>
    <w:p w14:paraId="3CB51509" w14:textId="77777777" w:rsidR="00C118DE" w:rsidRPr="00452256" w:rsidRDefault="00AD6FA7" w:rsidP="00C118DE">
      <w:pPr>
        <w:rPr>
          <w:rStyle w:val="Strong"/>
          <w:szCs w:val="20"/>
        </w:rPr>
      </w:pPr>
      <w:r w:rsidRPr="00452256">
        <w:rPr>
          <w:rStyle w:val="Strong"/>
          <w:szCs w:val="20"/>
        </w:rPr>
        <w:t>Accessibility</w:t>
      </w:r>
    </w:p>
    <w:p w14:paraId="09F4CD25" w14:textId="77777777" w:rsidR="00C118DE" w:rsidRDefault="00AD6FA7" w:rsidP="00C118DE">
      <w:pPr>
        <w:rPr>
          <w:szCs w:val="20"/>
        </w:rPr>
      </w:pPr>
      <w:r w:rsidRPr="00452256">
        <w:rPr>
          <w:szCs w:val="20"/>
        </w:rPr>
        <w:t xml:space="preserve">The document and information </w:t>
      </w:r>
      <w:r w:rsidR="006F294B" w:rsidRPr="00452256">
        <w:rPr>
          <w:szCs w:val="20"/>
        </w:rPr>
        <w:t>are</w:t>
      </w:r>
      <w:r w:rsidRPr="00452256">
        <w:rPr>
          <w:szCs w:val="20"/>
        </w:rPr>
        <w:t xml:space="preserve"> available in accessible formats. On some occasions the highly technical nature of the document means that we cannot make some sections fully accessible. If you encounter accessibility problems or the document is in a format that you cannot access, please contact us.</w:t>
      </w:r>
    </w:p>
    <w:p w14:paraId="297B237D" w14:textId="65E8AC5C" w:rsidR="00816553" w:rsidRDefault="00AD6FA7" w:rsidP="002C07A5">
      <w:r>
        <w:br w:type="page"/>
      </w:r>
    </w:p>
    <w:p w14:paraId="740D4D5F" w14:textId="77777777" w:rsidR="001C0F11" w:rsidRDefault="001C0F11" w:rsidP="002C07A5">
      <w:pPr>
        <w:sectPr w:rsidR="001C0F11" w:rsidSect="003A39E1">
          <w:headerReference w:type="even" r:id="rId12"/>
          <w:headerReference w:type="default" r:id="rId13"/>
          <w:footerReference w:type="default" r:id="rId14"/>
          <w:headerReference w:type="first" r:id="rId15"/>
          <w:footerReference w:type="first" r:id="rId16"/>
          <w:pgSz w:w="11906" w:h="16838"/>
          <w:pgMar w:top="1284" w:right="1134" w:bottom="816" w:left="1134" w:header="431" w:footer="999" w:gutter="0"/>
          <w:cols w:space="708"/>
          <w:titlePg/>
          <w:docGrid w:linePitch="360"/>
        </w:sectPr>
      </w:pPr>
    </w:p>
    <w:p w14:paraId="509C6475" w14:textId="09AB8C88" w:rsidR="00014BE1" w:rsidRDefault="002257E1" w:rsidP="006A1D71">
      <w:pPr>
        <w:pStyle w:val="Heading1"/>
        <w:spacing w:after="120"/>
        <w:rPr>
          <w:b w:val="0"/>
          <w:bCs/>
          <w:sz w:val="24"/>
        </w:rPr>
      </w:pPr>
      <w:bookmarkStart w:id="1" w:name="_Toc138234570"/>
      <w:bookmarkStart w:id="2" w:name="_Toc140834579"/>
      <w:bookmarkStart w:id="3" w:name="_Hlk143774662"/>
      <w:r w:rsidRPr="002257E1">
        <w:rPr>
          <w:rFonts w:cs="Arial"/>
          <w:color w:val="48555E" w:themeColor="text2"/>
          <w:sz w:val="22"/>
          <w:szCs w:val="22"/>
        </w:rPr>
        <w:lastRenderedPageBreak/>
        <w:t>The purpose of the Inspector-General of Water Compliance is to ensure various government bodies, water managers and users in the Murray-Darling Basin comply with their obligations under the Water Act 2007 and the Basin Plan 2012</w:t>
      </w:r>
      <w:r w:rsidR="002115D8">
        <w:rPr>
          <w:rFonts w:cs="Arial"/>
          <w:color w:val="48555E" w:themeColor="text2"/>
          <w:sz w:val="22"/>
          <w:szCs w:val="22"/>
        </w:rPr>
        <w:t xml:space="preserve"> and drive governments and water managers to uphold high </w:t>
      </w:r>
      <w:r w:rsidR="006B1C79">
        <w:rPr>
          <w:rFonts w:cs="Arial"/>
          <w:color w:val="48555E" w:themeColor="text2"/>
          <w:sz w:val="22"/>
          <w:szCs w:val="22"/>
        </w:rPr>
        <w:t>standards of integrity and performance</w:t>
      </w:r>
      <w:r w:rsidR="00613806" w:rsidRPr="00014BE1">
        <w:rPr>
          <w:rFonts w:cs="Arial"/>
          <w:color w:val="48555E" w:themeColor="text2"/>
          <w:sz w:val="22"/>
          <w:szCs w:val="22"/>
        </w:rPr>
        <w:t>.</w:t>
      </w:r>
      <w:r w:rsidR="009D2DE5" w:rsidRPr="006A1D71">
        <w:rPr>
          <w:b w:val="0"/>
          <w:bCs/>
          <w:sz w:val="24"/>
        </w:rPr>
        <w:t xml:space="preserve"> </w:t>
      </w:r>
    </w:p>
    <w:p w14:paraId="09CB3900" w14:textId="5773110E" w:rsidR="00BC4213" w:rsidRDefault="00BC4213" w:rsidP="00BC4213">
      <w:r>
        <w:t xml:space="preserve">Sustainable Diversion Limits (SDLs) commenced </w:t>
      </w:r>
      <w:r w:rsidR="0073532F">
        <w:t xml:space="preserve">from </w:t>
      </w:r>
      <w:r>
        <w:t>1 July 2019. With the legi</w:t>
      </w:r>
      <w:r w:rsidR="00440CF0">
        <w:t xml:space="preserve">slative amendments to the </w:t>
      </w:r>
      <w:r w:rsidR="004545FA">
        <w:t xml:space="preserve">Commonwealth </w:t>
      </w:r>
      <w:r w:rsidR="00440CF0" w:rsidRPr="00440CF0">
        <w:rPr>
          <w:i/>
          <w:iCs/>
        </w:rPr>
        <w:t>Water Act 2007</w:t>
      </w:r>
      <w:r w:rsidR="00FA738F">
        <w:t xml:space="preserve"> (the Act)</w:t>
      </w:r>
      <w:r w:rsidR="00440CF0">
        <w:t xml:space="preserve"> and the </w:t>
      </w:r>
      <w:r w:rsidR="00440CF0" w:rsidRPr="00000F82">
        <w:rPr>
          <w:i/>
          <w:iCs/>
        </w:rPr>
        <w:t>Basin Plan 20</w:t>
      </w:r>
      <w:r w:rsidR="0069290D">
        <w:rPr>
          <w:i/>
          <w:iCs/>
        </w:rPr>
        <w:t>12</w:t>
      </w:r>
      <w:r w:rsidR="00FA738F">
        <w:t xml:space="preserve"> (Basin Plan)</w:t>
      </w:r>
      <w:r w:rsidR="00440CF0">
        <w:t xml:space="preserve">, in August 2021, the Inspector-General of Water Compliance </w:t>
      </w:r>
      <w:r w:rsidR="00F71852">
        <w:t xml:space="preserve">(Inspector-General) </w:t>
      </w:r>
      <w:r w:rsidR="00440CF0">
        <w:t xml:space="preserve">was </w:t>
      </w:r>
      <w:r w:rsidR="00E52DA2">
        <w:t>established,</w:t>
      </w:r>
      <w:r w:rsidR="00440CF0">
        <w:t xml:space="preserve"> and </w:t>
      </w:r>
      <w:r w:rsidR="006530D2">
        <w:t xml:space="preserve">I </w:t>
      </w:r>
      <w:r w:rsidR="00440CF0">
        <w:t>became responsible for responding to</w:t>
      </w:r>
      <w:r w:rsidR="00000F82">
        <w:t xml:space="preserve"> </w:t>
      </w:r>
      <w:r w:rsidR="0069290D">
        <w:t>SDL</w:t>
      </w:r>
      <w:r w:rsidR="00000F82">
        <w:t xml:space="preserve"> compliance.</w:t>
      </w:r>
      <w:r w:rsidR="00102847">
        <w:t xml:space="preserve"> This is my second </w:t>
      </w:r>
      <w:r w:rsidR="00102847" w:rsidRPr="00102847">
        <w:t>S</w:t>
      </w:r>
      <w:r w:rsidR="00457727">
        <w:t>DL</w:t>
      </w:r>
      <w:r w:rsidR="00102847" w:rsidRPr="00102847">
        <w:t xml:space="preserve"> </w:t>
      </w:r>
      <w:r w:rsidR="00457727">
        <w:t>c</w:t>
      </w:r>
      <w:r w:rsidR="00102847" w:rsidRPr="00102847">
        <w:t xml:space="preserve">ompliance </w:t>
      </w:r>
      <w:r w:rsidR="00457727">
        <w:t>s</w:t>
      </w:r>
      <w:r w:rsidR="00102847" w:rsidRPr="00102847">
        <w:t>tatement</w:t>
      </w:r>
      <w:r w:rsidR="00102847">
        <w:t xml:space="preserve"> since</w:t>
      </w:r>
      <w:r w:rsidR="003609AA">
        <w:t xml:space="preserve"> establishment.</w:t>
      </w:r>
    </w:p>
    <w:p w14:paraId="62AD926E" w14:textId="647B0294" w:rsidR="00744F47" w:rsidRPr="00744F47" w:rsidRDefault="00640CD3" w:rsidP="00744F47">
      <w:r>
        <w:t>The SDLs</w:t>
      </w:r>
      <w:r w:rsidR="00BF3ED4">
        <w:t xml:space="preserve"> and compliance with the</w:t>
      </w:r>
      <w:r>
        <w:t>se limits</w:t>
      </w:r>
      <w:r w:rsidR="000D656C">
        <w:t xml:space="preserve"> </w:t>
      </w:r>
      <w:r w:rsidR="00BF3ED4">
        <w:t>are essential to the implementation and</w:t>
      </w:r>
      <w:r w:rsidR="00503B2D">
        <w:t xml:space="preserve"> operation of the Basin Plan. Under the </w:t>
      </w:r>
      <w:r w:rsidR="00FA738F">
        <w:t>Act</w:t>
      </w:r>
      <w:r w:rsidR="00503B2D">
        <w:t xml:space="preserve">, </w:t>
      </w:r>
      <w:r w:rsidR="00E73C23">
        <w:t>SDLs</w:t>
      </w:r>
      <w:r w:rsidR="00503B2D">
        <w:t xml:space="preserve"> provide for the establishment and enforcement of environmentally sustainable limits on the volume of surface water and groundwater that may be taken from Basin water </w:t>
      </w:r>
      <w:r w:rsidR="000D656C">
        <w:t>resources</w:t>
      </w:r>
      <w:r w:rsidR="00AF668A">
        <w:t xml:space="preserve">. In effect, SDLs </w:t>
      </w:r>
      <w:r w:rsidR="00C23798">
        <w:t xml:space="preserve">are </w:t>
      </w:r>
      <w:r w:rsidR="00AF668A">
        <w:t>the amount of water that can be taken from rivers and aquifers for towns, industry, and farmers.</w:t>
      </w:r>
    </w:p>
    <w:p w14:paraId="28C19878" w14:textId="1B5F4777" w:rsidR="00F57C55" w:rsidRDefault="00426549" w:rsidP="00B31AB3">
      <w:r>
        <w:t xml:space="preserve">I have reviewed the 2021-2022 </w:t>
      </w:r>
      <w:r w:rsidR="00165C95">
        <w:t>R</w:t>
      </w:r>
      <w:r>
        <w:t>egister</w:t>
      </w:r>
      <w:r w:rsidR="00165C95">
        <w:t>s</w:t>
      </w:r>
      <w:r>
        <w:t xml:space="preserve"> of </w:t>
      </w:r>
      <w:r w:rsidR="00165C95">
        <w:t>T</w:t>
      </w:r>
      <w:r>
        <w:t xml:space="preserve">ake as </w:t>
      </w:r>
      <w:r w:rsidR="00D6235C">
        <w:t>provided by the Murray-Darling Basin Authority (MDBA)</w:t>
      </w:r>
      <w:r w:rsidR="00E72E16">
        <w:rPr>
          <w:rStyle w:val="FootnoteReference"/>
        </w:rPr>
        <w:footnoteReference w:id="2"/>
      </w:r>
      <w:r w:rsidR="00D6235C">
        <w:t xml:space="preserve"> </w:t>
      </w:r>
      <w:r w:rsidR="00706CCB">
        <w:t xml:space="preserve">and indicated </w:t>
      </w:r>
      <w:r>
        <w:t xml:space="preserve">in </w:t>
      </w:r>
      <w:r w:rsidR="00E54DED">
        <w:fldChar w:fldCharType="begin"/>
      </w:r>
      <w:r w:rsidR="00E54DED">
        <w:instrText xml:space="preserve"> REF _Ref140834545 \h </w:instrText>
      </w:r>
      <w:r w:rsidR="00E54DED">
        <w:fldChar w:fldCharType="separate"/>
      </w:r>
      <w:r w:rsidR="0010165E" w:rsidRPr="00024765">
        <w:rPr>
          <w:color w:val="4C6968" w:themeColor="accent1"/>
          <w:szCs w:val="20"/>
        </w:rPr>
        <w:t xml:space="preserve">Table </w:t>
      </w:r>
      <w:r w:rsidR="0010165E">
        <w:rPr>
          <w:i/>
          <w:iCs/>
          <w:noProof/>
          <w:color w:val="4C6968" w:themeColor="accent1"/>
          <w:szCs w:val="20"/>
        </w:rPr>
        <w:t>1</w:t>
      </w:r>
      <w:r w:rsidR="00E54DED">
        <w:fldChar w:fldCharType="end"/>
      </w:r>
      <w:r>
        <w:t xml:space="preserve"> and </w:t>
      </w:r>
      <w:r w:rsidR="00BD65C8" w:rsidRPr="008463E2">
        <w:rPr>
          <w:color w:val="4C6968" w:themeColor="accent1"/>
          <w:szCs w:val="20"/>
        </w:rPr>
        <w:fldChar w:fldCharType="begin"/>
      </w:r>
      <w:r w:rsidR="00BD65C8" w:rsidRPr="008463E2">
        <w:rPr>
          <w:color w:val="4C6968" w:themeColor="accent1"/>
          <w:szCs w:val="20"/>
        </w:rPr>
        <w:instrText xml:space="preserve"> REF _Ref140834556 \h </w:instrText>
      </w:r>
      <w:r w:rsidR="008463E2">
        <w:rPr>
          <w:color w:val="4C6968" w:themeColor="accent1"/>
          <w:szCs w:val="20"/>
        </w:rPr>
        <w:instrText xml:space="preserve"> \* MERGEFORMAT </w:instrText>
      </w:r>
      <w:r w:rsidR="00BD65C8" w:rsidRPr="008463E2">
        <w:rPr>
          <w:color w:val="4C6968" w:themeColor="accent1"/>
          <w:szCs w:val="20"/>
        </w:rPr>
      </w:r>
      <w:r w:rsidR="00BD65C8" w:rsidRPr="008463E2">
        <w:rPr>
          <w:color w:val="4C6968" w:themeColor="accent1"/>
          <w:szCs w:val="20"/>
        </w:rPr>
        <w:fldChar w:fldCharType="separate"/>
      </w:r>
      <w:r w:rsidR="0010165E" w:rsidRPr="0010165E">
        <w:rPr>
          <w:color w:val="4C6968" w:themeColor="accent1"/>
          <w:szCs w:val="20"/>
        </w:rPr>
        <w:t>Table 2</w:t>
      </w:r>
      <w:r w:rsidR="00BD65C8" w:rsidRPr="008463E2">
        <w:rPr>
          <w:color w:val="4C6968" w:themeColor="accent1"/>
          <w:szCs w:val="20"/>
        </w:rPr>
        <w:fldChar w:fldCharType="end"/>
      </w:r>
      <w:r w:rsidR="00706CCB">
        <w:t xml:space="preserve">, </w:t>
      </w:r>
      <w:r w:rsidR="005C2556">
        <w:t xml:space="preserve">and </w:t>
      </w:r>
      <w:r w:rsidR="00A42658">
        <w:t>note</w:t>
      </w:r>
      <w:r w:rsidR="005C2556">
        <w:t xml:space="preserve"> all 55 SDL resource units in the register</w:t>
      </w:r>
      <w:r w:rsidR="004545FA">
        <w:t>s</w:t>
      </w:r>
      <w:r w:rsidR="005C2556">
        <w:t xml:space="preserve"> of take </w:t>
      </w:r>
      <w:r w:rsidR="00A42658">
        <w:t>are</w:t>
      </w:r>
      <w:r w:rsidR="005C2556">
        <w:t xml:space="preserve"> compliant</w:t>
      </w:r>
      <w:r w:rsidR="006C7C0B">
        <w:t xml:space="preserve"> (</w:t>
      </w:r>
      <w:r w:rsidR="004545FA">
        <w:t>refer to</w:t>
      </w:r>
      <w:r w:rsidR="006C7C0B">
        <w:t xml:space="preserve"> </w:t>
      </w:r>
      <w:r w:rsidR="003F2872" w:rsidRPr="003F2872">
        <w:rPr>
          <w:color w:val="4C6968" w:themeColor="accent1"/>
          <w:szCs w:val="20"/>
        </w:rPr>
        <w:fldChar w:fldCharType="begin"/>
      </w:r>
      <w:r w:rsidR="003F2872" w:rsidRPr="003F2872">
        <w:rPr>
          <w:color w:val="4C6968" w:themeColor="accent1"/>
          <w:szCs w:val="20"/>
        </w:rPr>
        <w:instrText xml:space="preserve"> REF _Ref142050902 \h </w:instrText>
      </w:r>
      <w:r w:rsidR="003F2872">
        <w:rPr>
          <w:color w:val="4C6968" w:themeColor="accent1"/>
          <w:szCs w:val="20"/>
        </w:rPr>
        <w:instrText xml:space="preserve"> \* MERGEFORMAT </w:instrText>
      </w:r>
      <w:r w:rsidR="003F2872" w:rsidRPr="003F2872">
        <w:rPr>
          <w:color w:val="4C6968" w:themeColor="accent1"/>
          <w:szCs w:val="20"/>
        </w:rPr>
      </w:r>
      <w:r w:rsidR="003F2872" w:rsidRPr="003F2872">
        <w:rPr>
          <w:color w:val="4C6968" w:themeColor="accent1"/>
          <w:szCs w:val="20"/>
        </w:rPr>
        <w:fldChar w:fldCharType="separate"/>
      </w:r>
      <w:r w:rsidR="0010165E" w:rsidRPr="0010165E">
        <w:rPr>
          <w:color w:val="4C6968" w:themeColor="accent1"/>
          <w:szCs w:val="20"/>
        </w:rPr>
        <w:t>Figure 1</w:t>
      </w:r>
      <w:r w:rsidR="003F2872" w:rsidRPr="003F2872">
        <w:rPr>
          <w:color w:val="4C6968" w:themeColor="accent1"/>
          <w:szCs w:val="20"/>
        </w:rPr>
        <w:fldChar w:fldCharType="end"/>
      </w:r>
      <w:r w:rsidR="006C7C0B">
        <w:t xml:space="preserve"> and </w:t>
      </w:r>
      <w:r w:rsidR="003F2872" w:rsidRPr="003F2872">
        <w:rPr>
          <w:color w:val="4C6968" w:themeColor="accent1"/>
          <w:szCs w:val="20"/>
        </w:rPr>
        <w:fldChar w:fldCharType="begin"/>
      </w:r>
      <w:r w:rsidR="003F2872" w:rsidRPr="003F2872">
        <w:rPr>
          <w:color w:val="4C6968" w:themeColor="accent1"/>
          <w:szCs w:val="20"/>
        </w:rPr>
        <w:instrText xml:space="preserve"> REF _Ref142050920 \h </w:instrText>
      </w:r>
      <w:r w:rsidR="003F2872">
        <w:rPr>
          <w:color w:val="4C6968" w:themeColor="accent1"/>
          <w:szCs w:val="20"/>
        </w:rPr>
        <w:instrText xml:space="preserve"> \* MERGEFORMAT </w:instrText>
      </w:r>
      <w:r w:rsidR="003F2872" w:rsidRPr="003F2872">
        <w:rPr>
          <w:color w:val="4C6968" w:themeColor="accent1"/>
          <w:szCs w:val="20"/>
        </w:rPr>
      </w:r>
      <w:r w:rsidR="003F2872" w:rsidRPr="003F2872">
        <w:rPr>
          <w:color w:val="4C6968" w:themeColor="accent1"/>
          <w:szCs w:val="20"/>
        </w:rPr>
        <w:fldChar w:fldCharType="separate"/>
      </w:r>
      <w:r w:rsidR="0010165E" w:rsidRPr="0010165E">
        <w:rPr>
          <w:color w:val="4C6968" w:themeColor="accent1"/>
          <w:szCs w:val="20"/>
        </w:rPr>
        <w:t>Figure 2</w:t>
      </w:r>
      <w:r w:rsidR="003F2872" w:rsidRPr="003F2872">
        <w:rPr>
          <w:color w:val="4C6968" w:themeColor="accent1"/>
          <w:szCs w:val="20"/>
        </w:rPr>
        <w:fldChar w:fldCharType="end"/>
      </w:r>
      <w:r w:rsidR="006C7C0B">
        <w:t>).</w:t>
      </w:r>
      <w:r w:rsidR="005C3EE8">
        <w:t xml:space="preserve"> </w:t>
      </w:r>
      <w:r w:rsidR="004545FA">
        <w:t>This is a</w:t>
      </w:r>
      <w:r w:rsidR="005C3EE8">
        <w:t xml:space="preserve"> positive result for Basin Plan SDL compliance</w:t>
      </w:r>
      <w:r w:rsidR="00C736F6">
        <w:t xml:space="preserve"> for the second year in a row</w:t>
      </w:r>
      <w:r w:rsidR="005C3EE8">
        <w:t>.</w:t>
      </w:r>
    </w:p>
    <w:p w14:paraId="34BAD1AB" w14:textId="31B3C5C5" w:rsidR="00B31AB3" w:rsidRDefault="00F57C55" w:rsidP="00B31AB3">
      <w:r>
        <w:t>The 55 compliant SDL resource unit</w:t>
      </w:r>
      <w:r w:rsidR="0076708E">
        <w:t xml:space="preserve">s </w:t>
      </w:r>
      <w:r w:rsidR="00B31AB3">
        <w:t>(19 surface water and 36 groundwater) are managed through the 13 water resource plans across Queensland, South Australia, Victoria, and the Australian Capital Territory.</w:t>
      </w:r>
    </w:p>
    <w:p w14:paraId="6CE0E248" w14:textId="1D986A63" w:rsidR="00B31AB3" w:rsidRDefault="00B31AB3" w:rsidP="00B31AB3">
      <w:r>
        <w:t xml:space="preserve">As there were no SDL resource units </w:t>
      </w:r>
      <w:proofErr w:type="gramStart"/>
      <w:r>
        <w:t>in excess of</w:t>
      </w:r>
      <w:proofErr w:type="gramEnd"/>
      <w:r>
        <w:t xml:space="preserve"> the SDL compliance threshold, there were no reports of a reasonable excuse or action plans provided by </w:t>
      </w:r>
      <w:r w:rsidR="000B7EFF" w:rsidRPr="000B7EFF">
        <w:t xml:space="preserve">Queensland, South Australia, Victoria, </w:t>
      </w:r>
      <w:r w:rsidR="000B7EFF">
        <w:t>or</w:t>
      </w:r>
      <w:r w:rsidR="000B7EFF" w:rsidRPr="000B7EFF">
        <w:t xml:space="preserve"> the Australian Capital Territory</w:t>
      </w:r>
      <w:r>
        <w:t>.</w:t>
      </w:r>
    </w:p>
    <w:p w14:paraId="1D6A1FAD" w14:textId="405261F7" w:rsidR="0004764B" w:rsidRPr="00C77007" w:rsidRDefault="0004764B" w:rsidP="0004764B">
      <w:pPr>
        <w:pStyle w:val="pf0"/>
        <w:rPr>
          <w:sz w:val="20"/>
          <w:szCs w:val="20"/>
        </w:rPr>
      </w:pPr>
      <w:r w:rsidRPr="00E46124">
        <w:rPr>
          <w:rFonts w:ascii="Verdana" w:eastAsia="Calibri" w:hAnsi="Verdana" w:cs="Times New Roman"/>
          <w:sz w:val="20"/>
          <w:lang w:eastAsia="en-US"/>
        </w:rPr>
        <w:t xml:space="preserve">The </w:t>
      </w:r>
      <w:r>
        <w:rPr>
          <w:rFonts w:ascii="Verdana" w:eastAsia="Calibri" w:hAnsi="Verdana" w:cs="Times New Roman"/>
          <w:sz w:val="20"/>
          <w:lang w:eastAsia="en-US"/>
        </w:rPr>
        <w:t>Basin Plan</w:t>
      </w:r>
      <w:r w:rsidRPr="00E46124">
        <w:rPr>
          <w:rFonts w:ascii="Verdana" w:eastAsia="Calibri" w:hAnsi="Verdana" w:cs="Times New Roman"/>
          <w:sz w:val="20"/>
          <w:lang w:eastAsia="en-US"/>
        </w:rPr>
        <w:t xml:space="preserve"> recognises that </w:t>
      </w:r>
      <w:r w:rsidR="0073532F">
        <w:rPr>
          <w:rFonts w:ascii="Verdana" w:eastAsia="Calibri" w:hAnsi="Verdana" w:cs="Times New Roman"/>
          <w:sz w:val="20"/>
          <w:lang w:eastAsia="en-US"/>
        </w:rPr>
        <w:t xml:space="preserve">where </w:t>
      </w:r>
      <w:r w:rsidR="00EE1BF6">
        <w:rPr>
          <w:rFonts w:ascii="Verdana" w:eastAsia="Calibri" w:hAnsi="Verdana" w:cs="Times New Roman"/>
          <w:sz w:val="20"/>
          <w:lang w:eastAsia="en-US"/>
        </w:rPr>
        <w:t>i</w:t>
      </w:r>
      <w:r w:rsidR="00682BAF" w:rsidRPr="00682BAF">
        <w:rPr>
          <w:rFonts w:ascii="Verdana" w:eastAsia="Calibri" w:hAnsi="Verdana" w:cs="Times New Roman"/>
          <w:sz w:val="20"/>
          <w:lang w:eastAsia="en-US"/>
        </w:rPr>
        <w:t xml:space="preserve">ncomplete water </w:t>
      </w:r>
      <w:r w:rsidRPr="00D21168">
        <w:rPr>
          <w:rFonts w:ascii="Verdana" w:eastAsia="Calibri" w:hAnsi="Verdana" w:cs="Times New Roman"/>
          <w:sz w:val="20"/>
          <w:lang w:eastAsia="en-US"/>
        </w:rPr>
        <w:t>recovery</w:t>
      </w:r>
      <w:r>
        <w:rPr>
          <w:rFonts w:ascii="Verdana" w:eastAsia="Calibri" w:hAnsi="Verdana" w:cs="Times New Roman"/>
          <w:sz w:val="20"/>
          <w:lang w:eastAsia="en-US"/>
        </w:rPr>
        <w:t xml:space="preserve"> by the </w:t>
      </w:r>
      <w:r w:rsidRPr="00E46124">
        <w:rPr>
          <w:rFonts w:ascii="Verdana" w:eastAsia="Calibri" w:hAnsi="Verdana" w:cs="Times New Roman"/>
          <w:sz w:val="20"/>
          <w:lang w:eastAsia="en-US"/>
        </w:rPr>
        <w:t xml:space="preserve">Commonwealth </w:t>
      </w:r>
      <w:r>
        <w:rPr>
          <w:rFonts w:ascii="Verdana" w:eastAsia="Calibri" w:hAnsi="Verdana" w:cs="Times New Roman"/>
          <w:sz w:val="20"/>
          <w:lang w:eastAsia="en-US"/>
        </w:rPr>
        <w:t xml:space="preserve">is </w:t>
      </w:r>
      <w:r w:rsidRPr="00E46124">
        <w:rPr>
          <w:rFonts w:ascii="Verdana" w:eastAsia="Calibri" w:hAnsi="Verdana" w:cs="Times New Roman"/>
          <w:sz w:val="20"/>
          <w:lang w:eastAsia="en-US"/>
        </w:rPr>
        <w:t xml:space="preserve">for reasons beyond the Basin State’s </w:t>
      </w:r>
      <w:r w:rsidR="0068414C" w:rsidRPr="00E46124">
        <w:rPr>
          <w:rFonts w:ascii="Verdana" w:eastAsia="Calibri" w:hAnsi="Verdana" w:cs="Times New Roman"/>
          <w:sz w:val="20"/>
          <w:lang w:eastAsia="en-US"/>
        </w:rPr>
        <w:t>control</w:t>
      </w:r>
      <w:r w:rsidR="0073532F">
        <w:rPr>
          <w:rFonts w:ascii="Verdana" w:eastAsia="Calibri" w:hAnsi="Verdana" w:cs="Times New Roman"/>
          <w:sz w:val="20"/>
          <w:lang w:eastAsia="en-US"/>
        </w:rPr>
        <w:t>, it</w:t>
      </w:r>
      <w:r>
        <w:rPr>
          <w:rFonts w:ascii="Verdana" w:eastAsia="Calibri" w:hAnsi="Verdana" w:cs="Times New Roman"/>
          <w:sz w:val="20"/>
          <w:lang w:eastAsia="en-US"/>
        </w:rPr>
        <w:t xml:space="preserve"> is</w:t>
      </w:r>
      <w:r w:rsidRPr="00E46124">
        <w:rPr>
          <w:rFonts w:ascii="Verdana" w:eastAsia="Calibri" w:hAnsi="Verdana" w:cs="Times New Roman"/>
          <w:sz w:val="20"/>
          <w:lang w:eastAsia="en-US"/>
        </w:rPr>
        <w:t xml:space="preserve"> adjusted in the Registers of Take</w:t>
      </w:r>
      <w:r w:rsidR="00814C91">
        <w:rPr>
          <w:rStyle w:val="FootnoteReference"/>
          <w:rFonts w:ascii="Verdana" w:eastAsia="Calibri" w:hAnsi="Verdana" w:cs="Times New Roman"/>
          <w:sz w:val="20"/>
          <w:lang w:eastAsia="en-US"/>
        </w:rPr>
        <w:footnoteReference w:id="3"/>
      </w:r>
      <w:r w:rsidRPr="00E46124">
        <w:rPr>
          <w:rFonts w:ascii="Verdana" w:eastAsia="Calibri" w:hAnsi="Verdana" w:cs="Times New Roman"/>
          <w:sz w:val="20"/>
          <w:lang w:eastAsia="en-US"/>
        </w:rPr>
        <w:t>.</w:t>
      </w:r>
      <w:r w:rsidR="002F4F56">
        <w:rPr>
          <w:rFonts w:ascii="Verdana" w:eastAsia="Calibri" w:hAnsi="Verdana" w:cs="Times New Roman"/>
          <w:sz w:val="20"/>
          <w:lang w:eastAsia="en-US"/>
        </w:rPr>
        <w:t xml:space="preserve"> </w:t>
      </w:r>
      <w:r w:rsidR="00D14304">
        <w:rPr>
          <w:rFonts w:ascii="Verdana" w:eastAsia="Calibri" w:hAnsi="Verdana" w:cs="Times New Roman"/>
          <w:sz w:val="20"/>
          <w:lang w:eastAsia="en-US"/>
        </w:rPr>
        <w:t>A</w:t>
      </w:r>
      <w:r w:rsidRPr="000E5D6E">
        <w:rPr>
          <w:rFonts w:ascii="Verdana" w:hAnsi="Verdana"/>
          <w:sz w:val="20"/>
          <w:szCs w:val="20"/>
        </w:rPr>
        <w:t xml:space="preserve">djustments to the Registers of Take were made </w:t>
      </w:r>
      <w:r w:rsidR="00B252FF">
        <w:rPr>
          <w:rFonts w:ascii="Verdana" w:hAnsi="Verdana"/>
          <w:sz w:val="20"/>
          <w:szCs w:val="20"/>
        </w:rPr>
        <w:t>by the M</w:t>
      </w:r>
      <w:r w:rsidR="0031701F">
        <w:rPr>
          <w:rFonts w:ascii="Verdana" w:hAnsi="Verdana"/>
          <w:sz w:val="20"/>
          <w:szCs w:val="20"/>
        </w:rPr>
        <w:t>DBA</w:t>
      </w:r>
      <w:r w:rsidR="00B252FF">
        <w:rPr>
          <w:rFonts w:ascii="Verdana" w:hAnsi="Verdana"/>
          <w:sz w:val="20"/>
          <w:szCs w:val="20"/>
        </w:rPr>
        <w:t xml:space="preserve"> </w:t>
      </w:r>
      <w:r w:rsidRPr="000E5D6E">
        <w:rPr>
          <w:rFonts w:ascii="Verdana" w:hAnsi="Verdana"/>
          <w:sz w:val="20"/>
          <w:szCs w:val="20"/>
        </w:rPr>
        <w:t xml:space="preserve">for </w:t>
      </w:r>
      <w:r w:rsidR="00265B34">
        <w:rPr>
          <w:rFonts w:ascii="Verdana" w:hAnsi="Verdana"/>
          <w:sz w:val="20"/>
          <w:szCs w:val="20"/>
        </w:rPr>
        <w:t>eleven</w:t>
      </w:r>
      <w:r w:rsidR="00265B34" w:rsidRPr="000E5D6E">
        <w:rPr>
          <w:rFonts w:ascii="Verdana" w:hAnsi="Verdana"/>
          <w:sz w:val="20"/>
          <w:szCs w:val="20"/>
        </w:rPr>
        <w:t xml:space="preserve"> </w:t>
      </w:r>
      <w:r w:rsidRPr="000E5D6E">
        <w:rPr>
          <w:rFonts w:ascii="Verdana" w:hAnsi="Verdana"/>
          <w:sz w:val="20"/>
          <w:szCs w:val="20"/>
        </w:rPr>
        <w:t>surface water SDL resource units, and two groundwater SDL resource units for</w:t>
      </w:r>
      <w:r w:rsidRPr="000E5D6E">
        <w:rPr>
          <w:sz w:val="20"/>
          <w:szCs w:val="20"/>
        </w:rPr>
        <w:t xml:space="preserve"> </w:t>
      </w:r>
      <w:r w:rsidR="00904527">
        <w:rPr>
          <w:rFonts w:ascii="Verdana" w:eastAsia="Calibri" w:hAnsi="Verdana" w:cs="Times New Roman"/>
          <w:sz w:val="20"/>
          <w:lang w:eastAsia="en-US"/>
        </w:rPr>
        <w:t>i</w:t>
      </w:r>
      <w:r w:rsidR="00682BAF" w:rsidRPr="00682BAF">
        <w:rPr>
          <w:rFonts w:ascii="Verdana" w:eastAsia="Calibri" w:hAnsi="Verdana" w:cs="Times New Roman"/>
          <w:sz w:val="20"/>
          <w:lang w:eastAsia="en-US"/>
        </w:rPr>
        <w:t xml:space="preserve">ncomplete water </w:t>
      </w:r>
      <w:r w:rsidRPr="00C26371">
        <w:rPr>
          <w:rFonts w:ascii="Verdana" w:hAnsi="Verdana"/>
          <w:sz w:val="20"/>
          <w:szCs w:val="20"/>
        </w:rPr>
        <w:t>recovery</w:t>
      </w:r>
      <w:r w:rsidRPr="002D6A75">
        <w:t xml:space="preserve">. </w:t>
      </w:r>
    </w:p>
    <w:p w14:paraId="1BF3E013" w14:textId="49E7C9D7" w:rsidR="00E07780" w:rsidRDefault="00E07780" w:rsidP="00E07780">
      <w:pPr>
        <w:rPr>
          <w:bCs/>
          <w:szCs w:val="20"/>
        </w:rPr>
      </w:pPr>
      <w:r>
        <w:rPr>
          <w:bCs/>
          <w:szCs w:val="20"/>
        </w:rPr>
        <w:t xml:space="preserve">I welcome the continued </w:t>
      </w:r>
      <w:r w:rsidR="00F47477">
        <w:rPr>
          <w:bCs/>
          <w:szCs w:val="20"/>
        </w:rPr>
        <w:t xml:space="preserve">achievement of </w:t>
      </w:r>
      <w:r>
        <w:rPr>
          <w:bCs/>
          <w:szCs w:val="20"/>
        </w:rPr>
        <w:t xml:space="preserve">SDL compliance in </w:t>
      </w:r>
      <w:r w:rsidRPr="008767C9">
        <w:rPr>
          <w:bCs/>
          <w:szCs w:val="20"/>
        </w:rPr>
        <w:t>Queensland, South Australia, Victoria, and the Australian Capital Territory.</w:t>
      </w:r>
    </w:p>
    <w:p w14:paraId="279AD98B" w14:textId="70FB3607" w:rsidR="00F62B6E" w:rsidRDefault="009F5629" w:rsidP="007B0362">
      <w:r>
        <w:t xml:space="preserve">On </w:t>
      </w:r>
      <w:hyperlink r:id="rId17" w:history="1">
        <w:r w:rsidR="00AF4E01">
          <w:rPr>
            <w:rStyle w:val="Hyperlink"/>
          </w:rPr>
          <w:t>2 June 2022</w:t>
        </w:r>
        <w:r w:rsidR="00865D56">
          <w:rPr>
            <w:rStyle w:val="Hyperlink"/>
          </w:rPr>
          <w:t>,</w:t>
        </w:r>
        <w:r w:rsidR="00AF4E01">
          <w:rPr>
            <w:rStyle w:val="Hyperlink"/>
          </w:rPr>
          <w:t xml:space="preserve"> I gave a public speech</w:t>
        </w:r>
      </w:hyperlink>
      <w:r w:rsidR="00856785">
        <w:t xml:space="preserve"> which called out the failure of the </w:t>
      </w:r>
      <w:r w:rsidR="00880044" w:rsidRPr="00880044">
        <w:t xml:space="preserve">New South Wales </w:t>
      </w:r>
      <w:r w:rsidR="00856785">
        <w:t>Government</w:t>
      </w:r>
      <w:r w:rsidR="00880044">
        <w:t xml:space="preserve"> </w:t>
      </w:r>
      <w:r w:rsidR="00FD3548">
        <w:t>to deliver</w:t>
      </w:r>
      <w:r w:rsidR="00856785">
        <w:t xml:space="preserve"> water resource plans. </w:t>
      </w:r>
      <w:r w:rsidR="00495DBC">
        <w:t>The evidence is now in that during 2021-</w:t>
      </w:r>
      <w:r w:rsidR="009853C2">
        <w:t>20</w:t>
      </w:r>
      <w:r w:rsidR="00495DBC">
        <w:t>22</w:t>
      </w:r>
      <w:r w:rsidR="000B42C1">
        <w:t>, N</w:t>
      </w:r>
      <w:r w:rsidR="0007454C">
        <w:t xml:space="preserve">ew </w:t>
      </w:r>
      <w:r w:rsidR="000B42C1">
        <w:t>S</w:t>
      </w:r>
      <w:r w:rsidR="0007454C">
        <w:t xml:space="preserve">outh </w:t>
      </w:r>
      <w:r w:rsidR="000B42C1">
        <w:t>W</w:t>
      </w:r>
      <w:r w:rsidR="0007454C">
        <w:t>ales</w:t>
      </w:r>
      <w:r w:rsidR="000B42C1">
        <w:t xml:space="preserve"> </w:t>
      </w:r>
      <w:r w:rsidR="00496DC6">
        <w:t>fail</w:t>
      </w:r>
      <w:r w:rsidR="004D6A8C">
        <w:t>ed</w:t>
      </w:r>
      <w:r w:rsidR="00496DC6">
        <w:t xml:space="preserve"> to </w:t>
      </w:r>
      <w:r w:rsidR="00D501A9">
        <w:t>deliver</w:t>
      </w:r>
      <w:r w:rsidR="00496DC6">
        <w:t xml:space="preserve"> </w:t>
      </w:r>
      <w:r w:rsidR="004D6A8C">
        <w:t>the outstanding</w:t>
      </w:r>
      <w:r w:rsidR="00496DC6">
        <w:t xml:space="preserve"> obligations</w:t>
      </w:r>
      <w:r w:rsidR="00D501A9">
        <w:t xml:space="preserve"> and commitments to</w:t>
      </w:r>
      <w:r w:rsidR="000B42C1">
        <w:t xml:space="preserve"> the Basin Plan.</w:t>
      </w:r>
      <w:r w:rsidR="00247428" w:rsidRPr="00247428">
        <w:t xml:space="preserve"> </w:t>
      </w:r>
      <w:r w:rsidR="00EB6EAB">
        <w:t>Therefore</w:t>
      </w:r>
      <w:r w:rsidR="00D02346">
        <w:t>, t</w:t>
      </w:r>
      <w:r w:rsidR="00D02346" w:rsidRPr="000E668B">
        <w:t xml:space="preserve">he </w:t>
      </w:r>
      <w:r w:rsidR="007B0362" w:rsidRPr="000E668B">
        <w:t xml:space="preserve">2021-2022 SDL </w:t>
      </w:r>
      <w:r w:rsidR="00532D70">
        <w:t>c</w:t>
      </w:r>
      <w:r w:rsidR="007B0362" w:rsidRPr="000E668B">
        <w:t xml:space="preserve">ompliance </w:t>
      </w:r>
      <w:r w:rsidR="001A1494">
        <w:t>a</w:t>
      </w:r>
      <w:r w:rsidR="007B0362" w:rsidRPr="000E668B">
        <w:t>sse</w:t>
      </w:r>
      <w:r w:rsidR="0009756A">
        <w:t>ssment does</w:t>
      </w:r>
      <w:r w:rsidR="007B0362" w:rsidRPr="000E668B">
        <w:t xml:space="preserve"> not</w:t>
      </w:r>
      <w:r w:rsidR="007B0362" w:rsidRPr="000E668B">
        <w:rPr>
          <w:rFonts w:ascii="Segoe UI" w:eastAsia="Times New Roman" w:hAnsi="Segoe UI" w:cs="Segoe UI"/>
          <w:sz w:val="18"/>
          <w:szCs w:val="18"/>
          <w:lang w:eastAsia="en-AU"/>
        </w:rPr>
        <w:t xml:space="preserve"> </w:t>
      </w:r>
      <w:r w:rsidR="007B0362">
        <w:t xml:space="preserve">include New South </w:t>
      </w:r>
      <w:r w:rsidR="0084641C">
        <w:t>Wales’s</w:t>
      </w:r>
      <w:r w:rsidR="00F51AD1">
        <w:t xml:space="preserve"> </w:t>
      </w:r>
      <w:r w:rsidR="007B0362">
        <w:t xml:space="preserve">54 SDL resource units (10 surface water and 44 groundwater). The 20 water resource plans in </w:t>
      </w:r>
      <w:r w:rsidR="00B5662D">
        <w:t>N</w:t>
      </w:r>
      <w:r w:rsidR="00ED196A">
        <w:t xml:space="preserve">ew </w:t>
      </w:r>
      <w:r w:rsidR="00B5662D">
        <w:t>S</w:t>
      </w:r>
      <w:r w:rsidR="00ED196A">
        <w:t xml:space="preserve">outh </w:t>
      </w:r>
      <w:r w:rsidR="00B5662D">
        <w:t>W</w:t>
      </w:r>
      <w:r w:rsidR="00ED196A">
        <w:t>ales</w:t>
      </w:r>
      <w:r w:rsidR="007B0362">
        <w:t xml:space="preserve"> </w:t>
      </w:r>
      <w:r w:rsidR="00CB4365">
        <w:t xml:space="preserve">were </w:t>
      </w:r>
      <w:r w:rsidR="007B0362">
        <w:t>not accredited or operating in the 2021-2022 water accounting year</w:t>
      </w:r>
      <w:r w:rsidR="00306556">
        <w:t xml:space="preserve">, </w:t>
      </w:r>
      <w:r w:rsidR="0009756A">
        <w:t xml:space="preserve">an </w:t>
      </w:r>
      <w:r w:rsidR="00040388">
        <w:t>absen</w:t>
      </w:r>
      <w:r w:rsidR="0009756A">
        <w:t>ce</w:t>
      </w:r>
      <w:r w:rsidR="00040388">
        <w:t xml:space="preserve"> for </w:t>
      </w:r>
      <w:r w:rsidR="00CF56C8">
        <w:t xml:space="preserve">the third year in a row </w:t>
      </w:r>
      <w:r w:rsidR="00040388">
        <w:t xml:space="preserve">since the </w:t>
      </w:r>
      <w:r w:rsidR="00D76AF8">
        <w:t>commencement of</w:t>
      </w:r>
      <w:r w:rsidR="00CF56C8">
        <w:t xml:space="preserve"> SDL compliance</w:t>
      </w:r>
      <w:r w:rsidR="000A78C3" w:rsidRPr="000A78C3">
        <w:t>.</w:t>
      </w:r>
      <w:r w:rsidR="000A0A4E">
        <w:t xml:space="preserve"> </w:t>
      </w:r>
    </w:p>
    <w:p w14:paraId="7361CE1B" w14:textId="77777777" w:rsidR="00AC4EA9" w:rsidRDefault="00AC4EA9">
      <w:pPr>
        <w:spacing w:after="0"/>
      </w:pPr>
      <w:r>
        <w:br w:type="page"/>
      </w:r>
    </w:p>
    <w:p w14:paraId="7867A7DE" w14:textId="29B3D7E7" w:rsidR="00663252" w:rsidRDefault="00596D15" w:rsidP="00663252">
      <w:r>
        <w:lastRenderedPageBreak/>
        <w:t>A</w:t>
      </w:r>
      <w:r w:rsidR="00663252" w:rsidRPr="00DD7165">
        <w:t>cross the Basin, N</w:t>
      </w:r>
      <w:r w:rsidR="00663252">
        <w:t xml:space="preserve">ew </w:t>
      </w:r>
      <w:r w:rsidR="00663252" w:rsidRPr="00DD7165">
        <w:t>S</w:t>
      </w:r>
      <w:r w:rsidR="00663252">
        <w:t xml:space="preserve">outh </w:t>
      </w:r>
      <w:r w:rsidR="00663252" w:rsidRPr="00DD7165">
        <w:t>W</w:t>
      </w:r>
      <w:r w:rsidR="00663252">
        <w:t>ales</w:t>
      </w:r>
      <w:r w:rsidR="00663252" w:rsidRPr="00DD7165">
        <w:t xml:space="preserve"> </w:t>
      </w:r>
      <w:r w:rsidR="00663252">
        <w:t>wa</w:t>
      </w:r>
      <w:r w:rsidR="00663252" w:rsidRPr="00DD7165">
        <w:t>s responsible for 5</w:t>
      </w:r>
      <w:r w:rsidR="003501EA">
        <w:t>6</w:t>
      </w:r>
      <w:r w:rsidR="00663252">
        <w:t>.</w:t>
      </w:r>
      <w:r w:rsidR="003501EA">
        <w:t>8</w:t>
      </w:r>
      <w:r w:rsidR="00663252" w:rsidRPr="00DD7165">
        <w:t xml:space="preserve"> per cent of the water take</w:t>
      </w:r>
      <w:r w:rsidR="00663252">
        <w:t xml:space="preserve"> in 2021-2022; </w:t>
      </w:r>
      <w:r w:rsidR="00663252" w:rsidRPr="00DD7165">
        <w:t xml:space="preserve">that’s the lion’s share of water </w:t>
      </w:r>
      <w:r w:rsidR="00663252">
        <w:t>consumed</w:t>
      </w:r>
      <w:r w:rsidR="00663252" w:rsidRPr="00DD7165">
        <w:t xml:space="preserve"> from the </w:t>
      </w:r>
      <w:r w:rsidR="00663252">
        <w:t>Murray-Darling Basin</w:t>
      </w:r>
      <w:r w:rsidR="00663252" w:rsidRPr="00DD7165">
        <w:t>.</w:t>
      </w:r>
    </w:p>
    <w:p w14:paraId="77041441" w14:textId="6A19D1AC" w:rsidR="007B0362" w:rsidRDefault="00F62B6E" w:rsidP="007B0362">
      <w:r w:rsidRPr="00247428">
        <w:t xml:space="preserve">Despite having no accredited water resource plans </w:t>
      </w:r>
      <w:r>
        <w:t>in 2021-2022</w:t>
      </w:r>
      <w:r w:rsidRPr="00247428">
        <w:t>, N</w:t>
      </w:r>
      <w:r>
        <w:t xml:space="preserve">ew </w:t>
      </w:r>
      <w:r w:rsidRPr="00247428">
        <w:t>S</w:t>
      </w:r>
      <w:r>
        <w:t xml:space="preserve">outh </w:t>
      </w:r>
      <w:r w:rsidRPr="00247428">
        <w:t>W</w:t>
      </w:r>
      <w:r>
        <w:t>ales</w:t>
      </w:r>
      <w:r w:rsidRPr="00247428">
        <w:t xml:space="preserve"> have self-assessed non-compliance in two SDL resource unit</w:t>
      </w:r>
      <w:r>
        <w:t>s</w:t>
      </w:r>
      <w:r w:rsidRPr="00247428">
        <w:t xml:space="preserve">, the Barwon-Darling watercourse, and Gwydir </w:t>
      </w:r>
      <w:r>
        <w:t xml:space="preserve">surface water </w:t>
      </w:r>
      <w:r w:rsidRPr="00247428">
        <w:t>(refer to Appendix 1</w:t>
      </w:r>
      <w:r>
        <w:t xml:space="preserve"> for more detail</w:t>
      </w:r>
      <w:r w:rsidRPr="00247428">
        <w:t>).</w:t>
      </w:r>
    </w:p>
    <w:p w14:paraId="16551E94" w14:textId="75DC4F05" w:rsidR="002C0B44" w:rsidRDefault="007B0362" w:rsidP="002C0B44">
      <w:r>
        <w:t xml:space="preserve">SDL </w:t>
      </w:r>
      <w:r w:rsidR="00BB5CE4">
        <w:t>c</w:t>
      </w:r>
      <w:r>
        <w:t xml:space="preserve">ompliance requires the </w:t>
      </w:r>
      <w:r w:rsidR="0009756A">
        <w:t xml:space="preserve">rules and </w:t>
      </w:r>
      <w:r>
        <w:t>methods identified and accredited in a water resource plan to manage water take for the SDL resource units</w:t>
      </w:r>
      <w:r w:rsidR="00F327C7">
        <w:t>.</w:t>
      </w:r>
      <w:r w:rsidR="00D63291">
        <w:t xml:space="preserve"> </w:t>
      </w:r>
      <w:r w:rsidR="00A903F5">
        <w:t>Without water resource plans</w:t>
      </w:r>
      <w:r w:rsidR="00D63291">
        <w:t>, N</w:t>
      </w:r>
      <w:r w:rsidR="00071780">
        <w:t xml:space="preserve">ew </w:t>
      </w:r>
      <w:r w:rsidR="00D63291">
        <w:t>S</w:t>
      </w:r>
      <w:r w:rsidR="00071780">
        <w:t xml:space="preserve">outh </w:t>
      </w:r>
      <w:r w:rsidR="00D63291">
        <w:t>W</w:t>
      </w:r>
      <w:r w:rsidR="00071780">
        <w:t>ales</w:t>
      </w:r>
      <w:r w:rsidR="00D63291">
        <w:t xml:space="preserve"> is subject to a lower level of accountability under the Basin </w:t>
      </w:r>
      <w:r w:rsidR="00A903F5">
        <w:t>P</w:t>
      </w:r>
      <w:r w:rsidR="00D63291">
        <w:t xml:space="preserve">lan than the other four Basin </w:t>
      </w:r>
      <w:r w:rsidR="00CA1D1B">
        <w:t>States</w:t>
      </w:r>
      <w:r>
        <w:t>.</w:t>
      </w:r>
    </w:p>
    <w:bookmarkEnd w:id="1"/>
    <w:bookmarkEnd w:id="2"/>
    <w:p w14:paraId="2DA41E43" w14:textId="16C631AD" w:rsidR="0084330F" w:rsidRDefault="0070774C" w:rsidP="008A44E4">
      <w:r>
        <w:t>This statement should be read in conjunction with</w:t>
      </w:r>
      <w:r w:rsidR="00E36B53">
        <w:t xml:space="preserve"> the </w:t>
      </w:r>
      <w:r w:rsidR="00105455">
        <w:t xml:space="preserve">MDBA </w:t>
      </w:r>
      <w:r w:rsidR="00E36B53" w:rsidRPr="00E03FC5">
        <w:t>Sustainable Diversion Limit Registers of Take 2021-2022</w:t>
      </w:r>
      <w:r w:rsidR="00E36B53">
        <w:t xml:space="preserve"> report published on the MDBA website</w:t>
      </w:r>
      <w:r w:rsidR="0049523F">
        <w:t>.</w:t>
      </w:r>
    </w:p>
    <w:p w14:paraId="662AF7CB" w14:textId="63FBDD34" w:rsidR="00324C44" w:rsidRDefault="00324C44" w:rsidP="008A44E4">
      <w:r>
        <w:t xml:space="preserve">I am currently </w:t>
      </w:r>
      <w:r w:rsidR="006F5E9F">
        <w:t xml:space="preserve">finalising a Sustainable Diversion Limit </w:t>
      </w:r>
      <w:r w:rsidR="005E53DB">
        <w:t xml:space="preserve">Compliance </w:t>
      </w:r>
      <w:r w:rsidR="006F5E9F">
        <w:t xml:space="preserve">Framework which will detail </w:t>
      </w:r>
      <w:r w:rsidR="00CB3602">
        <w:t xml:space="preserve">to the public </w:t>
      </w:r>
      <w:r w:rsidR="006F5E9F">
        <w:t xml:space="preserve">my </w:t>
      </w:r>
      <w:r w:rsidR="00503DEF">
        <w:t xml:space="preserve">enhanced </w:t>
      </w:r>
      <w:r w:rsidR="006F5E9F">
        <w:t xml:space="preserve">approach </w:t>
      </w:r>
      <w:r w:rsidR="00E2081B">
        <w:t xml:space="preserve">moving forward </w:t>
      </w:r>
      <w:r w:rsidR="006F5E9F">
        <w:t xml:space="preserve">to </w:t>
      </w:r>
      <w:r w:rsidR="005F0162">
        <w:t xml:space="preserve">this </w:t>
      </w:r>
      <w:r w:rsidR="002F6504">
        <w:t xml:space="preserve">critically </w:t>
      </w:r>
      <w:r w:rsidR="005F0162">
        <w:t xml:space="preserve">important annual task. I plan to publish this Framework in </w:t>
      </w:r>
      <w:r w:rsidR="00653DE2">
        <w:t>October</w:t>
      </w:r>
      <w:r w:rsidR="005F0162">
        <w:t xml:space="preserve"> 2023.</w:t>
      </w:r>
    </w:p>
    <w:p w14:paraId="0156D41E" w14:textId="1FD07246" w:rsidR="00270205" w:rsidRPr="00B713EE" w:rsidRDefault="00270205" w:rsidP="00270205">
      <w:r w:rsidRPr="006A1D71">
        <w:rPr>
          <w:bCs/>
          <w:szCs w:val="20"/>
        </w:rPr>
        <w:t xml:space="preserve">I encourage all Basin </w:t>
      </w:r>
      <w:r w:rsidR="00276D46">
        <w:rPr>
          <w:bCs/>
          <w:szCs w:val="20"/>
        </w:rPr>
        <w:t>State</w:t>
      </w:r>
      <w:r w:rsidRPr="006A1D71">
        <w:rPr>
          <w:bCs/>
          <w:szCs w:val="20"/>
        </w:rPr>
        <w:t xml:space="preserve"> Governments to continue to closely monitor and manage water</w:t>
      </w:r>
      <w:r w:rsidR="0049523F">
        <w:rPr>
          <w:bCs/>
          <w:szCs w:val="20"/>
        </w:rPr>
        <w:t xml:space="preserve"> </w:t>
      </w:r>
      <w:r w:rsidRPr="006A1D71">
        <w:rPr>
          <w:bCs/>
          <w:szCs w:val="20"/>
        </w:rPr>
        <w:t>usage within the Sustainable Diversion Limits</w:t>
      </w:r>
      <w:r w:rsidR="00BB352D">
        <w:rPr>
          <w:bCs/>
          <w:szCs w:val="20"/>
        </w:rPr>
        <w:t xml:space="preserve"> a</w:t>
      </w:r>
      <w:r w:rsidR="006003F5">
        <w:rPr>
          <w:bCs/>
          <w:szCs w:val="20"/>
        </w:rPr>
        <w:t xml:space="preserve">s </w:t>
      </w:r>
      <w:r w:rsidR="00DD643E">
        <w:rPr>
          <w:bCs/>
          <w:szCs w:val="20"/>
        </w:rPr>
        <w:t>this is a</w:t>
      </w:r>
      <w:r w:rsidR="00491ACF">
        <w:rPr>
          <w:bCs/>
          <w:szCs w:val="20"/>
        </w:rPr>
        <w:t xml:space="preserve"> key</w:t>
      </w:r>
      <w:r w:rsidR="00DD643E">
        <w:rPr>
          <w:bCs/>
          <w:szCs w:val="20"/>
        </w:rPr>
        <w:t xml:space="preserve"> obligation of the Basin Plan</w:t>
      </w:r>
      <w:r w:rsidRPr="006A1D71">
        <w:rPr>
          <w:bCs/>
          <w:szCs w:val="20"/>
        </w:rPr>
        <w:t>.</w:t>
      </w:r>
    </w:p>
    <w:bookmarkEnd w:id="3"/>
    <w:p w14:paraId="0ADC352E" w14:textId="77777777" w:rsidR="00E3532C" w:rsidRDefault="00E3532C" w:rsidP="008A44E4"/>
    <w:p w14:paraId="1EE3E3EF" w14:textId="0F6C6143" w:rsidR="00B12E90" w:rsidRDefault="00B12E90" w:rsidP="008A44E4">
      <w:r>
        <w:rPr>
          <w:noProof/>
        </w:rPr>
        <w:drawing>
          <wp:inline distT="0" distB="0" distL="0" distR="0" wp14:anchorId="4BDC1258" wp14:editId="3F49C95A">
            <wp:extent cx="1188777" cy="590232"/>
            <wp:effectExtent l="0" t="0" r="0" b="635"/>
            <wp:docPr id="1" name="Picture 1" descr="A handwritten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written piece of pap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88777" cy="590232"/>
                    </a:xfrm>
                    <a:prstGeom prst="rect">
                      <a:avLst/>
                    </a:prstGeom>
                  </pic:spPr>
                </pic:pic>
              </a:graphicData>
            </a:graphic>
          </wp:inline>
        </w:drawing>
      </w:r>
    </w:p>
    <w:p w14:paraId="50303FED" w14:textId="50CE0680" w:rsidR="0073180D" w:rsidRDefault="00492451" w:rsidP="00D73696">
      <w:pPr>
        <w:spacing w:after="0"/>
      </w:pPr>
      <w:r>
        <w:t>The Hon. Troy Grant</w:t>
      </w:r>
    </w:p>
    <w:p w14:paraId="2A927C21" w14:textId="062DFB45" w:rsidR="00492451" w:rsidRDefault="00492451" w:rsidP="008A44E4">
      <w:r>
        <w:t xml:space="preserve">Inspector-General </w:t>
      </w:r>
      <w:r w:rsidR="009D1442">
        <w:t xml:space="preserve">of </w:t>
      </w:r>
      <w:r>
        <w:t>Water Compliance</w:t>
      </w:r>
    </w:p>
    <w:p w14:paraId="7E61BC88" w14:textId="6078D034" w:rsidR="00D239D6" w:rsidRDefault="00575D09" w:rsidP="008A44E4">
      <w:r>
        <w:t>4</w:t>
      </w:r>
      <w:r w:rsidR="00182766">
        <w:t xml:space="preserve"> September</w:t>
      </w:r>
      <w:r w:rsidR="00492451">
        <w:t xml:space="preserve"> 202</w:t>
      </w:r>
      <w:r w:rsidR="007C0678">
        <w:t>3</w:t>
      </w:r>
    </w:p>
    <w:p w14:paraId="193DA3A8" w14:textId="77777777" w:rsidR="00C2580B" w:rsidRDefault="00D239D6">
      <w:pPr>
        <w:spacing w:after="0"/>
        <w:sectPr w:rsidR="00C2580B" w:rsidSect="00EA188D">
          <w:headerReference w:type="even" r:id="rId19"/>
          <w:headerReference w:type="default" r:id="rId20"/>
          <w:headerReference w:type="first" r:id="rId21"/>
          <w:footerReference w:type="first" r:id="rId22"/>
          <w:pgSz w:w="11906" w:h="16838" w:code="9"/>
          <w:pgMar w:top="1284" w:right="1134" w:bottom="816" w:left="1134" w:header="425" w:footer="999" w:gutter="0"/>
          <w:cols w:space="708"/>
          <w:titlePg/>
          <w:docGrid w:linePitch="360"/>
        </w:sectPr>
      </w:pPr>
      <w:r>
        <w:br w:type="page"/>
      </w:r>
    </w:p>
    <w:p w14:paraId="26B0EA69" w14:textId="1F2BD33F" w:rsidR="00D239D6" w:rsidRPr="00DB0A7A" w:rsidRDefault="00D239D6" w:rsidP="00D239D6">
      <w:pPr>
        <w:pStyle w:val="Caption"/>
        <w:rPr>
          <w:color w:val="4C6968" w:themeColor="text1"/>
        </w:rPr>
      </w:pPr>
      <w:bookmarkStart w:id="4" w:name="_Ref142050902"/>
      <w:r>
        <w:lastRenderedPageBreak/>
        <w:t xml:space="preserve">Figure </w:t>
      </w:r>
      <w:r w:rsidR="00511815">
        <w:fldChar w:fldCharType="begin"/>
      </w:r>
      <w:r w:rsidR="00511815">
        <w:instrText xml:space="preserve"> SEQ Figure \* ARABIC </w:instrText>
      </w:r>
      <w:r w:rsidR="00511815">
        <w:fldChar w:fldCharType="separate"/>
      </w:r>
      <w:r w:rsidR="0010165E">
        <w:rPr>
          <w:noProof/>
        </w:rPr>
        <w:t>1</w:t>
      </w:r>
      <w:r w:rsidR="00511815">
        <w:rPr>
          <w:noProof/>
        </w:rPr>
        <w:fldChar w:fldCharType="end"/>
      </w:r>
      <w:bookmarkEnd w:id="4"/>
      <w:r w:rsidRPr="00DB0A7A">
        <w:rPr>
          <w:color w:val="4C6968" w:themeColor="text1"/>
        </w:rPr>
        <w:t xml:space="preserve"> </w:t>
      </w:r>
      <w:r w:rsidR="00142D4B">
        <w:rPr>
          <w:color w:val="4C6968" w:themeColor="text1"/>
        </w:rPr>
        <w:t xml:space="preserve">Map of </w:t>
      </w:r>
      <w:r w:rsidRPr="00DB0A7A">
        <w:rPr>
          <w:color w:val="4C6968" w:themeColor="text1"/>
        </w:rPr>
        <w:t>Surface water SDL compliance</w:t>
      </w:r>
    </w:p>
    <w:p w14:paraId="43CE869F" w14:textId="14FF8415" w:rsidR="00C2580B" w:rsidRDefault="00D239D6" w:rsidP="00603416">
      <w:r w:rsidRPr="00176CFE">
        <w:rPr>
          <w:noProof/>
        </w:rPr>
        <w:drawing>
          <wp:inline distT="0" distB="0" distL="0" distR="0" wp14:anchorId="5CA32575" wp14:editId="3711AE78">
            <wp:extent cx="9191708" cy="12998856"/>
            <wp:effectExtent l="0" t="0" r="0" b="0"/>
            <wp:docPr id="2" name="Picture 2" descr="A map of the Murray- Darling Basin in Australia, showing location of water regions within Basin States (Victoria, New South Wales, Queensland, South Australia, Australian Capital Territory) and their SDL compliance status for water year 2021- 2022.  Areas which are compliant are shaded in green and areas which have not been assessed are shaded in grey. In the Australian Capital Territory there is only one region, which was determined compliant, 'SS1 Australian Capital Territory' . In New South Wales there are 10 regions, which were all not assessed. This includes 'SS14 New South Wales Murray', 'SS15 Murrumbidgee', 'SS16 Lachlan', 'SS17 Intersecting Streams', 'SS18 Lower Darling', 'SS19 Barwon- Darling Watercourse', 'SS20 Macquarie- Castlereagh', 'SS21 Namoi', 'SS22 Gwydir' and 'SS23 NSW Border Rivers'. In Queensland there are 6 regions, which were all assessed and compliant. This includes 'SS24 Queensland Border Rivers', 'SS25 Moonie', 'SS26 Condamine- Balonne', 'SS27 Nebine', 'SS28 Warrego', and 'SS29 Warrego'. In South Australia there are four regions which were all determined compliant. This includes 'SS10 South Australian Non- Prescribed Areas', 'SS11 South Australian Murray', 'SS12 Marne Saunders', and 'SS13 Eastern Mount Lofty Ranges'. SDL Compliance was also assessed in Victoria, where 8 out of 8 regions were compliant. This includes 'SS2 Victorian Murray', 'SS3 Kiewa', 'SS4 Ovens', 'SS5 Broken', 'SS6 Goulburn', 'SS7 Campaspe', 'SS8 Loddon' and 'SS9 Wimmera- Mall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5712" name="Picture 1" descr="A map of the Murray- Darling Basin in Australia, showing location of water regions within Basin States (Victoria, New South Wales, Queensland, South Australia, Australian Capital Territory) and their SDL compliance status for water year 2021- 2022.  Areas which are compliant are shaded in green and areas which have not been assessed are shaded in grey. In the Australian Capital Territory there is only one region, which was determined compliant, 'SS1 Australian Capital Territory' . In New South Wales there are 10 regions, which were all not assessed. This includes 'SS14 New South Wales Murray', 'SS15 Murrumbidgee', 'SS16 Lachlan', 'SS17 Intersecting Streams', 'SS18 Lower Darling', 'SS19 Barwon- Darling Watercourse', 'SS20 Macquarie- Castlereagh', 'SS21 Namoi', 'SS22 Gwydir' and 'SS23 NSW Border Rivers'. In Queensland there are 6 regions, which were all assessed and compliant. This includes 'SS24 Queensland Border Rivers', 'SS25 Moonie', 'SS26 Condamine- Balonne', 'SS27 Nebine', 'SS28 Warrego', and 'SS29 Warrego'. In South Australia there are four regions which were all determined compliant. This includes 'SS10 South Australian Non- Prescribed Areas', 'SS11 South Australian Murray', 'SS12 Marne Saunders', and 'SS13 Eastern Mount Lofty Ranges'. SDL Compliance was also assessed in Victoria, where 8 out of 8 regions were compliant. This includes 'SS2 Victorian Murray', 'SS3 Kiewa', 'SS4 Ovens', 'SS5 Broken', 'SS6 Goulburn', 'SS7 Campaspe', 'SS8 Loddon' and 'SS9 Wimmera- Malle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1250" cy="13026492"/>
                    </a:xfrm>
                    <a:prstGeom prst="rect">
                      <a:avLst/>
                    </a:prstGeom>
                  </pic:spPr>
                </pic:pic>
              </a:graphicData>
            </a:graphic>
          </wp:inline>
        </w:drawing>
      </w:r>
      <w:r w:rsidR="00C2580B">
        <w:br w:type="page"/>
      </w:r>
    </w:p>
    <w:p w14:paraId="462E724A" w14:textId="60534AA1" w:rsidR="00D239D6" w:rsidRDefault="00D239D6" w:rsidP="00D239D6">
      <w:pPr>
        <w:pStyle w:val="Caption"/>
      </w:pPr>
      <w:bookmarkStart w:id="5" w:name="_Ref142050920"/>
      <w:r>
        <w:lastRenderedPageBreak/>
        <w:t xml:space="preserve">Figure </w:t>
      </w:r>
      <w:r w:rsidR="00511815">
        <w:fldChar w:fldCharType="begin"/>
      </w:r>
      <w:r w:rsidR="00511815">
        <w:instrText xml:space="preserve"> SEQ Figure \* ARABIC </w:instrText>
      </w:r>
      <w:r w:rsidR="00511815">
        <w:fldChar w:fldCharType="separate"/>
      </w:r>
      <w:r w:rsidR="0010165E">
        <w:rPr>
          <w:noProof/>
        </w:rPr>
        <w:t>2</w:t>
      </w:r>
      <w:r w:rsidR="00511815">
        <w:rPr>
          <w:noProof/>
        </w:rPr>
        <w:fldChar w:fldCharType="end"/>
      </w:r>
      <w:bookmarkEnd w:id="5"/>
      <w:r w:rsidR="00142D4B">
        <w:rPr>
          <w:noProof/>
        </w:rPr>
        <w:t xml:space="preserve"> Map of</w:t>
      </w:r>
      <w:r>
        <w:t xml:space="preserve"> Groundwater SDL compliance</w:t>
      </w:r>
    </w:p>
    <w:p w14:paraId="7172D004" w14:textId="1546A60D" w:rsidR="00D239D6" w:rsidRDefault="00D239D6" w:rsidP="000E0D73">
      <w:pPr>
        <w:pStyle w:val="FigureHeading"/>
        <w:keepNext/>
      </w:pPr>
      <w:r>
        <w:rPr>
          <w:noProof/>
        </w:rPr>
        <w:drawing>
          <wp:inline distT="0" distB="0" distL="0" distR="0" wp14:anchorId="44A4FFC6" wp14:editId="77CD8640">
            <wp:extent cx="9186840" cy="12992432"/>
            <wp:effectExtent l="0" t="0" r="0" b="0"/>
            <wp:docPr id="4" name="Picture 4" descr="A map of the Murray- Darling Basin , in Australia showing the groundwater SDL Compliance status of regions within Basin States (New South Wales, Queensland, Australian Capital Territory, Victoria and South Australia) for water year 2021- 2022. Regions which are compliant are shaded in green and regions which have not been assessed are shaded in grey. In the Australian Capital Territory, there is one region in total, which is compliant, which is called 'GS52 Australian Capital Territory (Groundwater)'. In New South Wales there are 44 regions which have all not been assessed. This includes 'GS10 Adelaide Fold Belt MDB', 'GS11 Bell Valley Alluvium', 'GS12 Belubula Alluivium', 'GS13 Billabong Creek Alluvium', 'GS14 Castlereagh Alluvium', 'GS15 Coolaburragundy- Talvragar Alluvium', 'GS16 Cudgegong Alluvium', 'GS17 Gunnedah- Oxley Basin MDB', 'GS18 Inverell Basalt', 'GS19 Kanmantoo Fold Belt MDB', 'GS20 Lachlan Fold Belt MDB', 'GS21 Lake George Alluvium', 'GS22 Liverpool Ranges Basalt MDB', 'GS23 Lower Darling Alluvium', 'GS24 Lower Gwydir Alluvium', 'GS25 Lower Lachlan Alluvium', 'GS26 Lower Macquarie Alluvium', 'GS27a Lower Murray Shallow Alluvium', 'GS27b Lower Murray deep Alluvium', GS28a Lower Murrumbidgee Shallow Alluvium', 'GS28b Lower Murrumbidgee Deep Alluvium', 'GS29 Lower Namoi Alluvium', 'GS30 Manilla Alluviu', 'GS31 Mid-Murrumbidgee Alluvium', 'GS32 NSW Border Rivers Alluvium', 'GS33 NSW Border Rivers Tributary Alluvium', 'GS34 NSW GAB Surat Shallow', 'GS35 NSW GAB Warrego Shallow, 'GS36 NSW GAB Central Shallow', 'GS37 New England Fold Belt MDB', 'GS38 Oaklands Basin', 'GS39 Orange Basalt', 'GS40 Peel Valley Alluvium', 'GS41 Sydney Basin MDB', 'GS42 Upper Darling Alluvium', 'GS43 Upper Gwydir Alluvium', 'GS44 Upper Lachlan Alluvium', ' GS45 Upper Macquarie Alluvium', 'GS47 Upper Namoi Alluvium', 'GS48 Upper Namoi Tributary Alluvium', 'GS49 Warrumbungle Basalt', 'GS50 Western Porous Rock', 'GS51 Young Granite'. There were 15 regions in Queensland, which were all compliant. This includes 'GS53 Condamine Fracture Rock', 'GS54 Queensland Border Rivers Alluvium', 'GS56 Queensland MDB: deep', 'GS57 Sediments above the Great Artesian Basin: Border Rivers- Moonie', 'GS58 Sediments above the Great Artesian Basin: Condamine- Balonne', 'GS60 Sediments above the Great Artesian Basin: Warrego-Paroo-Nebine', 'GS61a St George Alluvium: Condamine-Balonne (shallow)', 'GS61b St George Alluvium: Condamine-Balonne (deep)', 'GS62 St George Alluvium: Moonie', 'GS63 St George Alluvium: Warrego-Paroo-Nebine', 'GS64a Upper Condamine Alluvium (central Condamine Alluvium)', 'GS64b Upper Condamine Alluvium (Tributaries)', 'GS65 Upper Condamine Basalts', 'GS66 Warrego Alluvium'. In South Australia all 13 regions are compliant. This includes 'GS1a Angas Berner (Quaternary Sediments)', 'GS1b Angas Bremer (Murray Group Limestone)', 'GS2 Eastern Mount Lofty Ranges', 'GS3a Mallee (Pilocene Sands)', 'GS3b Mallee (Murray Group Limestone)', 'GS3c Mallee (Renmark Group)', 'GS4a Mame Saunders (Fractured Rock)', 'GS4b Mame Saunders (Murray Group Limestone)', 'GS4c Marne Saunders (Renamark Group)', 'GS5a Peake-Roby-Sherlock (unconfined)', 'GS5b Peake-Roby-Sherlock (confined)', 'GS6 SA Murray' and 'GS7 SA Murray Salt Interception Schemes'. In Victoria there are 7 different regions, which are all compliant. This includes regions 'GS8a Goulburn-Murray: Shepparton Irrigation Region', 'GS8b Goulburn-Murray: Highlands', 'GS8c Goulburn-Murray: Sedimentary Plain', 'GS8d Goulburn-Murray: deep', 'GS9a Wimmera-Mallee: Highlands', 'GS9b Wimmera-Mallee: Sedimentary Plain', 'GS9c Wimmera-Mallee: de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70663" name="Picture 2" descr="A map of the Murray- Darling Basin , in Australia showing the groundwater SDL Compliance status of regions within Basin States (New South Wales, Queensland, Australian Capital Territory, Victoria and South Australia) for water year 2021- 2022. Regions which are compliant are shaded in green and regions which have not been assessed are shaded in grey. In the Australian Capital Territory, there is one region in total, which is compliant, which is called 'GS52 Australian Capital Territory (Groundwater)'. In New South Wales there are 44 regions which have all not been assessed. This includes 'GS10 Adelaide Fold Belt MDB', 'GS11 Bell Valley Alluvium', 'GS12 Belubula Alluivium', 'GS13 Billabong Creek Alluvium', 'GS14 Castlereagh Alluvium', 'GS15 Coolaburragundy- Talvragar Alluvium', 'GS16 Cudgegong Alluvium', 'GS17 Gunnedah- Oxley Basin MDB', 'GS18 Inverell Basalt', 'GS19 Kanmantoo Fold Belt MDB', 'GS20 Lachlan Fold Belt MDB', 'GS21 Lake George Alluvium', 'GS22 Liverpool Ranges Basalt MDB', 'GS23 Lower Darling Alluvium', 'GS24 Lower Gwydir Alluvium', 'GS25 Lower Lachlan Alluvium', 'GS26 Lower Macquarie Alluvium', 'GS27a Lower Murray Shallow Alluvium', 'GS27b Lower Murray deep Alluvium', GS28a Lower Murrumbidgee Shallow Alluvium', 'GS28b Lower Murrumbidgee Deep Alluvium', 'GS29 Lower Namoi Alluvium', 'GS30 Manilla Alluviu', 'GS31 Mid-Murrumbidgee Alluvium', 'GS32 NSW Border Rivers Alluvium', 'GS33 NSW Border Rivers Tributary Alluvium', 'GS34 NSW GAB Surat Shallow', 'GS35 NSW GAB Warrego Shallow, 'GS36 NSW GAB Central Shallow', 'GS37 New England Fold Belt MDB', 'GS38 Oaklands Basin', 'GS39 Orange Basalt', 'GS40 Peel Valley Alluvium', 'GS41 Sydney Basin MDB', 'GS42 Upper Darling Alluvium', 'GS43 Upper Gwydir Alluvium', 'GS44 Upper Lachlan Alluvium', ' GS45 Upper Macquarie Alluvium', 'GS47 Upper Namoi Alluvium', 'GS48 Upper Namoi Tributary Alluvium', 'GS49 Warrumbungle Basalt', 'GS50 Western Porous Rock', 'GS51 Young Granite'. There were 15 regions in Queensland, which were all compliant. This includes 'GS53 Condamine Fracture Rock', 'GS54 Queensland Border Rivers Alluvium', 'GS56 Queensland MDB: deep', 'GS57 Sediments above the Great Artesian Basin: Border Rivers- Moonie', 'GS58 Sediments above the Great Artesian Basin: Condamine- Balonne', 'GS60 Sediments above the Great Artesian Basin: Warrego-Paroo-Nebine', 'GS61a St George Alluvium: Condamine-Balonne (shallow)', 'GS61b St George Alluvium: Condamine-Balonne (deep)', 'GS62 St George Alluvium: Moonie', 'GS63 St George Alluvium: Warrego-Paroo-Nebine', 'GS64a Upper Condamine Alluvium (central Condamine Alluvium)', 'GS64b Upper Condamine Alluvium (Tributaries)', 'GS65 Upper Condamine Basalts', 'GS66 Warrego Alluvium'. In South Australia all 13 regions are compliant. This includes 'GS1a Angas Berner (Quaternary Sediments)', 'GS1b Angas Bremer (Murray Group Limestone)', 'GS2 Eastern Mount Lofty Ranges', 'GS3a Mallee (Pilocene Sands)', 'GS3b Mallee (Murray Group Limestone)', 'GS3c Mallee (Renmark Group)', 'GS4a Mame Saunders (Fractured Rock)', 'GS4b Mame Saunders (Murray Group Limestone)', 'GS4c Marne Saunders (Renamark Group)', 'GS5a Peake-Roby-Sherlock (unconfined)', 'GS5b Peake-Roby-Sherlock (confined)', 'GS6 SA Murray' and 'GS7 SA Murray Salt Interception Schemes'. In Victoria there are 7 different regions, which are all compliant. This includes regions 'GS8a Goulburn-Murray: Shepparton Irrigation Region', 'GS8b Goulburn-Murray: Highlands', 'GS8c Goulburn-Murray: Sedimentary Plain', 'GS8d Goulburn-Murray: deep', 'GS9a Wimmera-Mallee: Highlands', 'GS9b Wimmera-Mallee: Sedimentary Plain', 'GS9c Wimmera-Mallee: deep'.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05213" cy="13018415"/>
                    </a:xfrm>
                    <a:prstGeom prst="rect">
                      <a:avLst/>
                    </a:prstGeom>
                  </pic:spPr>
                </pic:pic>
              </a:graphicData>
            </a:graphic>
          </wp:inline>
        </w:drawing>
      </w:r>
    </w:p>
    <w:p w14:paraId="55444651" w14:textId="5AC60F4B" w:rsidR="00D239D6" w:rsidRDefault="00D239D6">
      <w:pPr>
        <w:spacing w:after="0"/>
      </w:pPr>
      <w:r>
        <w:br w:type="page"/>
      </w:r>
    </w:p>
    <w:p w14:paraId="7B45A043" w14:textId="77777777" w:rsidR="00D239D6" w:rsidRPr="00D550B7" w:rsidRDefault="00D239D6" w:rsidP="008A44E4">
      <w:pPr>
        <w:sectPr w:rsidR="00D239D6" w:rsidRPr="00D550B7" w:rsidSect="00C2580B">
          <w:pgSz w:w="16838" w:h="23811" w:code="8"/>
          <w:pgMar w:top="1284" w:right="1134" w:bottom="816" w:left="1134" w:header="425" w:footer="999" w:gutter="0"/>
          <w:cols w:space="708"/>
          <w:titlePg/>
          <w:docGrid w:linePitch="360"/>
        </w:sectPr>
      </w:pPr>
    </w:p>
    <w:p w14:paraId="374A7E4C" w14:textId="43951515" w:rsidR="00405DAB" w:rsidRPr="00024765" w:rsidRDefault="00AD6FA7" w:rsidP="00400A35">
      <w:pPr>
        <w:pStyle w:val="Caption"/>
        <w:keepNext/>
        <w:ind w:left="851"/>
        <w:rPr>
          <w:i w:val="0"/>
          <w:iCs w:val="0"/>
          <w:color w:val="4C6968" w:themeColor="accent1"/>
          <w:sz w:val="20"/>
          <w:szCs w:val="20"/>
        </w:rPr>
      </w:pPr>
      <w:bookmarkStart w:id="6" w:name="_Ref140834545"/>
      <w:bookmarkStart w:id="7" w:name="_Toc140834639"/>
      <w:r w:rsidRPr="00024765">
        <w:rPr>
          <w:i w:val="0"/>
          <w:iCs w:val="0"/>
          <w:color w:val="4C6968" w:themeColor="accent1"/>
          <w:sz w:val="20"/>
          <w:szCs w:val="20"/>
        </w:rPr>
        <w:lastRenderedPageBreak/>
        <w:t xml:space="preserve">Table </w:t>
      </w:r>
      <w:r w:rsidRPr="00024765">
        <w:rPr>
          <w:i w:val="0"/>
          <w:iCs w:val="0"/>
          <w:color w:val="4C6968" w:themeColor="accent1"/>
          <w:sz w:val="20"/>
          <w:szCs w:val="20"/>
        </w:rPr>
        <w:fldChar w:fldCharType="begin"/>
      </w:r>
      <w:r w:rsidRPr="00024765">
        <w:rPr>
          <w:i w:val="0"/>
          <w:iCs w:val="0"/>
          <w:color w:val="4C6968" w:themeColor="accent1"/>
          <w:sz w:val="20"/>
          <w:szCs w:val="20"/>
        </w:rPr>
        <w:instrText xml:space="preserve"> SEQ Table \* ARABIC </w:instrText>
      </w:r>
      <w:r w:rsidRPr="00024765">
        <w:rPr>
          <w:i w:val="0"/>
          <w:iCs w:val="0"/>
          <w:color w:val="4C6968" w:themeColor="accent1"/>
          <w:sz w:val="20"/>
          <w:szCs w:val="20"/>
        </w:rPr>
        <w:fldChar w:fldCharType="separate"/>
      </w:r>
      <w:r w:rsidR="0010165E">
        <w:rPr>
          <w:i w:val="0"/>
          <w:iCs w:val="0"/>
          <w:noProof/>
          <w:color w:val="4C6968" w:themeColor="accent1"/>
          <w:sz w:val="20"/>
          <w:szCs w:val="20"/>
        </w:rPr>
        <w:t>1</w:t>
      </w:r>
      <w:r w:rsidRPr="00024765">
        <w:rPr>
          <w:i w:val="0"/>
          <w:iCs w:val="0"/>
          <w:color w:val="4C6968" w:themeColor="accent1"/>
          <w:sz w:val="20"/>
          <w:szCs w:val="20"/>
        </w:rPr>
        <w:fldChar w:fldCharType="end"/>
      </w:r>
      <w:bookmarkEnd w:id="6"/>
      <w:r w:rsidRPr="00024765">
        <w:rPr>
          <w:i w:val="0"/>
          <w:iCs w:val="0"/>
          <w:color w:val="4C6968" w:themeColor="accent1"/>
          <w:sz w:val="20"/>
          <w:szCs w:val="20"/>
        </w:rPr>
        <w:t xml:space="preserve">: 2021-2022 Surface water accounts from </w:t>
      </w:r>
      <w:r w:rsidR="004E0F99" w:rsidRPr="00024765">
        <w:rPr>
          <w:i w:val="0"/>
          <w:iCs w:val="0"/>
          <w:color w:val="4C6968" w:themeColor="accent1"/>
          <w:sz w:val="20"/>
          <w:szCs w:val="20"/>
        </w:rPr>
        <w:t>R</w:t>
      </w:r>
      <w:r w:rsidRPr="00024765">
        <w:rPr>
          <w:i w:val="0"/>
          <w:iCs w:val="0"/>
          <w:color w:val="4C6968" w:themeColor="accent1"/>
          <w:sz w:val="20"/>
          <w:szCs w:val="20"/>
        </w:rPr>
        <w:t xml:space="preserve">egisters of </w:t>
      </w:r>
      <w:r w:rsidR="004E0F99" w:rsidRPr="00024765">
        <w:rPr>
          <w:i w:val="0"/>
          <w:iCs w:val="0"/>
          <w:color w:val="4C6968" w:themeColor="accent1"/>
          <w:sz w:val="20"/>
          <w:szCs w:val="20"/>
        </w:rPr>
        <w:t>T</w:t>
      </w:r>
      <w:r w:rsidRPr="00024765">
        <w:rPr>
          <w:i w:val="0"/>
          <w:iCs w:val="0"/>
          <w:color w:val="4C6968" w:themeColor="accent1"/>
          <w:sz w:val="20"/>
          <w:szCs w:val="20"/>
        </w:rPr>
        <w:t>ake</w:t>
      </w:r>
      <w:bookmarkEnd w:id="7"/>
    </w:p>
    <w:tbl>
      <w:tblPr>
        <w:tblStyle w:val="MDBAsimpletable1"/>
        <w:tblpPr w:leftFromText="181" w:rightFromText="181" w:vertAnchor="text" w:horzAnchor="margin" w:tblpXSpec="right" w:tblpY="133"/>
        <w:tblW w:w="20292" w:type="dxa"/>
        <w:tblLayout w:type="fixed"/>
        <w:tblLook w:val="04A0" w:firstRow="1" w:lastRow="0" w:firstColumn="1" w:lastColumn="0" w:noHBand="0" w:noVBand="1"/>
      </w:tblPr>
      <w:tblGrid>
        <w:gridCol w:w="988"/>
        <w:gridCol w:w="2268"/>
        <w:gridCol w:w="1426"/>
        <w:gridCol w:w="983"/>
        <w:gridCol w:w="1560"/>
        <w:gridCol w:w="1701"/>
        <w:gridCol w:w="1275"/>
        <w:gridCol w:w="1701"/>
        <w:gridCol w:w="1701"/>
        <w:gridCol w:w="1701"/>
        <w:gridCol w:w="1701"/>
        <w:gridCol w:w="1726"/>
        <w:gridCol w:w="1561"/>
      </w:tblGrid>
      <w:tr w:rsidR="00CA6A33" w14:paraId="48FAA78E" w14:textId="77777777" w:rsidTr="008C0446">
        <w:trPr>
          <w:cnfStyle w:val="100000000000" w:firstRow="1" w:lastRow="0" w:firstColumn="0" w:lastColumn="0" w:oddVBand="0" w:evenVBand="0" w:oddHBand="0" w:evenHBand="0" w:firstRowFirstColumn="0" w:firstRowLastColumn="0" w:lastRowFirstColumn="0" w:lastRowLastColumn="0"/>
          <w:cantSplit/>
          <w:trHeight w:val="1116"/>
          <w:tblHeader/>
        </w:trPr>
        <w:tc>
          <w:tcPr>
            <w:cnfStyle w:val="001000000000" w:firstRow="0" w:lastRow="0" w:firstColumn="1" w:lastColumn="0" w:oddVBand="0" w:evenVBand="0" w:oddHBand="0" w:evenHBand="0" w:firstRowFirstColumn="0" w:firstRowLastColumn="0" w:lastRowFirstColumn="0" w:lastRowLastColumn="0"/>
            <w:tcW w:w="988" w:type="dxa"/>
            <w:hideMark/>
          </w:tcPr>
          <w:p w14:paraId="3FDC0087" w14:textId="77777777" w:rsidR="00405DAB" w:rsidRPr="00197E7D" w:rsidRDefault="00AD6FA7" w:rsidP="00614C9A">
            <w:pPr>
              <w:ind w:left="113" w:right="113"/>
              <w:jc w:val="both"/>
              <w:rPr>
                <w:rFonts w:eastAsia="Times New Roman" w:cs="Arial"/>
                <w:b w:val="0"/>
                <w:color w:val="FFFFFF"/>
                <w:sz w:val="18"/>
                <w:szCs w:val="18"/>
                <w:lang w:eastAsia="en-AU"/>
              </w:rPr>
            </w:pPr>
            <w:r w:rsidRPr="00197E7D">
              <w:rPr>
                <w:rFonts w:eastAsia="Times New Roman" w:cs="Arial"/>
                <w:color w:val="FFFFFF"/>
                <w:sz w:val="18"/>
                <w:szCs w:val="18"/>
                <w:lang w:eastAsia="en-AU"/>
              </w:rPr>
              <w:t>State</w:t>
            </w:r>
          </w:p>
        </w:tc>
        <w:tc>
          <w:tcPr>
            <w:tcW w:w="2268" w:type="dxa"/>
            <w:hideMark/>
          </w:tcPr>
          <w:p w14:paraId="760D097D"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SDL resource unit</w:t>
            </w:r>
          </w:p>
        </w:tc>
        <w:tc>
          <w:tcPr>
            <w:tcW w:w="1426" w:type="dxa"/>
            <w:hideMark/>
          </w:tcPr>
          <w:p w14:paraId="6D32076E"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SDL resource unit code</w:t>
            </w:r>
          </w:p>
        </w:tc>
        <w:tc>
          <w:tcPr>
            <w:tcW w:w="983" w:type="dxa"/>
            <w:hideMark/>
          </w:tcPr>
          <w:p w14:paraId="3353ED17"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SDL</w:t>
            </w:r>
          </w:p>
        </w:tc>
        <w:tc>
          <w:tcPr>
            <w:tcW w:w="1560" w:type="dxa"/>
            <w:hideMark/>
          </w:tcPr>
          <w:p w14:paraId="35BB5503"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Annual Permitted Take</w:t>
            </w:r>
          </w:p>
        </w:tc>
        <w:tc>
          <w:tcPr>
            <w:tcW w:w="1701" w:type="dxa"/>
            <w:hideMark/>
          </w:tcPr>
          <w:p w14:paraId="6EB91CC5"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Annual Actual Take</w:t>
            </w:r>
          </w:p>
        </w:tc>
        <w:tc>
          <w:tcPr>
            <w:tcW w:w="1275" w:type="dxa"/>
            <w:hideMark/>
          </w:tcPr>
          <w:p w14:paraId="4E9192BF"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Annual Balance</w:t>
            </w:r>
          </w:p>
        </w:tc>
        <w:tc>
          <w:tcPr>
            <w:tcW w:w="1701" w:type="dxa"/>
            <w:hideMark/>
          </w:tcPr>
          <w:p w14:paraId="41B799DB"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Cumulative Balance Start of 2021</w:t>
            </w:r>
            <w:r w:rsidRPr="00197E7D">
              <w:rPr>
                <w:rFonts w:eastAsia="Times New Roman" w:cs="Arial"/>
                <w:color w:val="FFFFFF"/>
                <w:sz w:val="18"/>
                <w:szCs w:val="18"/>
                <w:lang w:eastAsia="en-AU"/>
              </w:rPr>
              <w:noBreakHyphen/>
              <w:t>22</w:t>
            </w:r>
          </w:p>
        </w:tc>
        <w:tc>
          <w:tcPr>
            <w:tcW w:w="1701" w:type="dxa"/>
            <w:hideMark/>
          </w:tcPr>
          <w:p w14:paraId="3B9632B0"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Cumulative Balance End of 2021-22</w:t>
            </w:r>
          </w:p>
        </w:tc>
        <w:tc>
          <w:tcPr>
            <w:tcW w:w="1701" w:type="dxa"/>
            <w:hideMark/>
          </w:tcPr>
          <w:p w14:paraId="0C235266"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HEW Adjustment</w:t>
            </w:r>
          </w:p>
        </w:tc>
        <w:tc>
          <w:tcPr>
            <w:tcW w:w="1701" w:type="dxa"/>
            <w:hideMark/>
          </w:tcPr>
          <w:p w14:paraId="421CB8F8"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Adjusted Cumulative Balance End of 2021</w:t>
            </w:r>
            <w:r w:rsidRPr="00197E7D">
              <w:rPr>
                <w:rFonts w:eastAsia="Times New Roman" w:cs="Arial"/>
                <w:color w:val="FFFFFF"/>
                <w:sz w:val="18"/>
                <w:szCs w:val="18"/>
                <w:lang w:eastAsia="en-AU"/>
              </w:rPr>
              <w:noBreakHyphen/>
              <w:t>22</w:t>
            </w:r>
          </w:p>
        </w:tc>
        <w:tc>
          <w:tcPr>
            <w:tcW w:w="1726" w:type="dxa"/>
            <w:hideMark/>
          </w:tcPr>
          <w:p w14:paraId="62F0D87C"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197E7D">
              <w:rPr>
                <w:rFonts w:eastAsia="Times New Roman" w:cs="Arial"/>
                <w:color w:val="FFFFFF"/>
                <w:sz w:val="18"/>
                <w:szCs w:val="18"/>
                <w:lang w:eastAsia="en-AU"/>
              </w:rPr>
              <w:t>SDL Compliance threshold</w:t>
            </w:r>
            <w:r w:rsidRPr="00197E7D">
              <w:rPr>
                <w:rFonts w:eastAsia="Times New Roman" w:cs="Arial"/>
                <w:color w:val="FFFFFF"/>
                <w:sz w:val="18"/>
                <w:szCs w:val="18"/>
                <w:lang w:eastAsia="en-AU"/>
              </w:rPr>
              <w:br/>
              <w:t>(-20% of SDL)</w:t>
            </w:r>
          </w:p>
        </w:tc>
        <w:tc>
          <w:tcPr>
            <w:tcW w:w="1561" w:type="dxa"/>
            <w:hideMark/>
          </w:tcPr>
          <w:p w14:paraId="4CADF772" w14:textId="77777777" w:rsidR="00405DAB" w:rsidRPr="00197E7D" w:rsidRDefault="00AD6FA7" w:rsidP="0015784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8"/>
                <w:szCs w:val="18"/>
                <w:lang w:eastAsia="en-AU"/>
              </w:rPr>
            </w:pPr>
            <w:r w:rsidRPr="00197E7D">
              <w:rPr>
                <w:rFonts w:eastAsia="Times New Roman" w:cs="Arial"/>
                <w:color w:val="FFFFFF"/>
                <w:sz w:val="18"/>
                <w:szCs w:val="18"/>
                <w:lang w:eastAsia="en-AU"/>
              </w:rPr>
              <w:t>SDL Excess (Yes/ No)</w:t>
            </w:r>
          </w:p>
        </w:tc>
      </w:tr>
      <w:tr w:rsidR="00CA6A33" w14:paraId="110BF8D1"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52FAD5F1"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QLD</w:t>
            </w:r>
          </w:p>
        </w:tc>
        <w:tc>
          <w:tcPr>
            <w:tcW w:w="2268" w:type="dxa"/>
            <w:noWrap/>
            <w:hideMark/>
          </w:tcPr>
          <w:p w14:paraId="7BEE52D7"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Queensland Border Rivers</w:t>
            </w:r>
          </w:p>
        </w:tc>
        <w:tc>
          <w:tcPr>
            <w:tcW w:w="1426" w:type="dxa"/>
            <w:noWrap/>
            <w:hideMark/>
          </w:tcPr>
          <w:p w14:paraId="00ED0F9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SS24</w:t>
            </w:r>
          </w:p>
        </w:tc>
        <w:tc>
          <w:tcPr>
            <w:tcW w:w="983" w:type="dxa"/>
            <w:noWrap/>
            <w:vAlign w:val="center"/>
          </w:tcPr>
          <w:p w14:paraId="217B2B7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363.6</w:t>
            </w:r>
          </w:p>
        </w:tc>
        <w:tc>
          <w:tcPr>
            <w:tcW w:w="1560" w:type="dxa"/>
            <w:noWrap/>
            <w:vAlign w:val="center"/>
          </w:tcPr>
          <w:p w14:paraId="0D3FE68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559.1</w:t>
            </w:r>
          </w:p>
        </w:tc>
        <w:tc>
          <w:tcPr>
            <w:tcW w:w="1701" w:type="dxa"/>
            <w:noWrap/>
            <w:vAlign w:val="center"/>
          </w:tcPr>
          <w:p w14:paraId="677C7E8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279.7</w:t>
            </w:r>
          </w:p>
        </w:tc>
        <w:tc>
          <w:tcPr>
            <w:tcW w:w="1275" w:type="dxa"/>
            <w:noWrap/>
            <w:vAlign w:val="center"/>
          </w:tcPr>
          <w:p w14:paraId="2E0F1EA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279.4</w:t>
            </w:r>
          </w:p>
        </w:tc>
        <w:tc>
          <w:tcPr>
            <w:tcW w:w="1701" w:type="dxa"/>
            <w:noWrap/>
            <w:vAlign w:val="center"/>
          </w:tcPr>
          <w:p w14:paraId="1517DCC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55.8</w:t>
            </w:r>
          </w:p>
        </w:tc>
        <w:tc>
          <w:tcPr>
            <w:tcW w:w="1701" w:type="dxa"/>
            <w:noWrap/>
            <w:vAlign w:val="center"/>
          </w:tcPr>
          <w:p w14:paraId="4F7CF47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335.2</w:t>
            </w:r>
          </w:p>
        </w:tc>
        <w:tc>
          <w:tcPr>
            <w:tcW w:w="1701" w:type="dxa"/>
            <w:noWrap/>
            <w:vAlign w:val="center"/>
          </w:tcPr>
          <w:p w14:paraId="07BC3C7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5B68B85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335.2</w:t>
            </w:r>
          </w:p>
        </w:tc>
        <w:tc>
          <w:tcPr>
            <w:tcW w:w="1726" w:type="dxa"/>
            <w:noWrap/>
            <w:vAlign w:val="center"/>
          </w:tcPr>
          <w:p w14:paraId="5B75896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-72.7</w:t>
            </w:r>
          </w:p>
        </w:tc>
        <w:tc>
          <w:tcPr>
            <w:tcW w:w="1561" w:type="dxa"/>
            <w:vAlign w:val="center"/>
          </w:tcPr>
          <w:p w14:paraId="4725D29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1CA7E42F"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1355323C"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QLD</w:t>
            </w:r>
          </w:p>
        </w:tc>
        <w:tc>
          <w:tcPr>
            <w:tcW w:w="2268" w:type="dxa"/>
            <w:noWrap/>
            <w:vAlign w:val="center"/>
            <w:hideMark/>
          </w:tcPr>
          <w:p w14:paraId="4674E623"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Moonie</w:t>
            </w:r>
          </w:p>
        </w:tc>
        <w:tc>
          <w:tcPr>
            <w:tcW w:w="1426" w:type="dxa"/>
            <w:noWrap/>
            <w:hideMark/>
          </w:tcPr>
          <w:p w14:paraId="0DADAB5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SS25</w:t>
            </w:r>
          </w:p>
        </w:tc>
        <w:tc>
          <w:tcPr>
            <w:tcW w:w="983" w:type="dxa"/>
            <w:noWrap/>
            <w:vAlign w:val="center"/>
          </w:tcPr>
          <w:p w14:paraId="5A935EF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89.9</w:t>
            </w:r>
          </w:p>
        </w:tc>
        <w:tc>
          <w:tcPr>
            <w:tcW w:w="1560" w:type="dxa"/>
            <w:noWrap/>
            <w:vAlign w:val="center"/>
          </w:tcPr>
          <w:p w14:paraId="62AFA15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128.1</w:t>
            </w:r>
          </w:p>
        </w:tc>
        <w:tc>
          <w:tcPr>
            <w:tcW w:w="1701" w:type="dxa"/>
            <w:noWrap/>
            <w:vAlign w:val="center"/>
          </w:tcPr>
          <w:p w14:paraId="06CE795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58.0</w:t>
            </w:r>
          </w:p>
        </w:tc>
        <w:tc>
          <w:tcPr>
            <w:tcW w:w="1275" w:type="dxa"/>
            <w:noWrap/>
            <w:vAlign w:val="center"/>
          </w:tcPr>
          <w:p w14:paraId="3A12423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70.1</w:t>
            </w:r>
          </w:p>
        </w:tc>
        <w:tc>
          <w:tcPr>
            <w:tcW w:w="1701" w:type="dxa"/>
            <w:noWrap/>
            <w:vAlign w:val="center"/>
          </w:tcPr>
          <w:p w14:paraId="6984287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55.5</w:t>
            </w:r>
          </w:p>
        </w:tc>
        <w:tc>
          <w:tcPr>
            <w:tcW w:w="1701" w:type="dxa"/>
            <w:noWrap/>
            <w:vAlign w:val="center"/>
          </w:tcPr>
          <w:p w14:paraId="0E11B60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125.6</w:t>
            </w:r>
          </w:p>
        </w:tc>
        <w:tc>
          <w:tcPr>
            <w:tcW w:w="1701" w:type="dxa"/>
            <w:noWrap/>
            <w:vAlign w:val="center"/>
          </w:tcPr>
          <w:p w14:paraId="587FE42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3D5FC6C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125.6</w:t>
            </w:r>
          </w:p>
        </w:tc>
        <w:tc>
          <w:tcPr>
            <w:tcW w:w="1726" w:type="dxa"/>
            <w:noWrap/>
            <w:vAlign w:val="center"/>
          </w:tcPr>
          <w:p w14:paraId="1E5A1671"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-18.0</w:t>
            </w:r>
          </w:p>
        </w:tc>
        <w:tc>
          <w:tcPr>
            <w:tcW w:w="1561" w:type="dxa"/>
            <w:vAlign w:val="center"/>
          </w:tcPr>
          <w:p w14:paraId="011BA57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586B7B22"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6FE98EA7"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QLD</w:t>
            </w:r>
          </w:p>
        </w:tc>
        <w:tc>
          <w:tcPr>
            <w:tcW w:w="2268" w:type="dxa"/>
            <w:noWrap/>
            <w:hideMark/>
          </w:tcPr>
          <w:p w14:paraId="6E128F1E"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Condamine-Balonne</w:t>
            </w:r>
          </w:p>
        </w:tc>
        <w:tc>
          <w:tcPr>
            <w:tcW w:w="1426" w:type="dxa"/>
            <w:noWrap/>
            <w:hideMark/>
          </w:tcPr>
          <w:p w14:paraId="5909707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SS26</w:t>
            </w:r>
          </w:p>
        </w:tc>
        <w:tc>
          <w:tcPr>
            <w:tcW w:w="983" w:type="dxa"/>
            <w:noWrap/>
            <w:vAlign w:val="center"/>
          </w:tcPr>
          <w:p w14:paraId="5A2BE409"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919.0</w:t>
            </w:r>
          </w:p>
        </w:tc>
        <w:tc>
          <w:tcPr>
            <w:tcW w:w="1560" w:type="dxa"/>
            <w:noWrap/>
            <w:vAlign w:val="center"/>
          </w:tcPr>
          <w:p w14:paraId="60D81B90"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1572.8</w:t>
            </w:r>
          </w:p>
        </w:tc>
        <w:tc>
          <w:tcPr>
            <w:tcW w:w="1701" w:type="dxa"/>
            <w:noWrap/>
            <w:vAlign w:val="center"/>
          </w:tcPr>
          <w:p w14:paraId="5DA64B89"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1314.7</w:t>
            </w:r>
          </w:p>
        </w:tc>
        <w:tc>
          <w:tcPr>
            <w:tcW w:w="1275" w:type="dxa"/>
            <w:noWrap/>
            <w:vAlign w:val="center"/>
          </w:tcPr>
          <w:p w14:paraId="4FACBA0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258.1</w:t>
            </w:r>
          </w:p>
        </w:tc>
        <w:tc>
          <w:tcPr>
            <w:tcW w:w="1701" w:type="dxa"/>
            <w:noWrap/>
            <w:vAlign w:val="center"/>
          </w:tcPr>
          <w:p w14:paraId="3068C68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1.37</w:t>
            </w:r>
          </w:p>
        </w:tc>
        <w:tc>
          <w:tcPr>
            <w:tcW w:w="1701" w:type="dxa"/>
            <w:noWrap/>
            <w:vAlign w:val="center"/>
          </w:tcPr>
          <w:p w14:paraId="3E940C4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259.4</w:t>
            </w:r>
          </w:p>
        </w:tc>
        <w:tc>
          <w:tcPr>
            <w:tcW w:w="1701" w:type="dxa"/>
            <w:noWrap/>
            <w:vAlign w:val="center"/>
          </w:tcPr>
          <w:p w14:paraId="50A8736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4.15</w:t>
            </w:r>
          </w:p>
        </w:tc>
        <w:tc>
          <w:tcPr>
            <w:tcW w:w="1701" w:type="dxa"/>
            <w:noWrap/>
            <w:vAlign w:val="center"/>
          </w:tcPr>
          <w:p w14:paraId="695F642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263.6</w:t>
            </w:r>
          </w:p>
        </w:tc>
        <w:tc>
          <w:tcPr>
            <w:tcW w:w="1726" w:type="dxa"/>
            <w:noWrap/>
            <w:vAlign w:val="center"/>
          </w:tcPr>
          <w:p w14:paraId="0B91CEB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-183.8</w:t>
            </w:r>
          </w:p>
        </w:tc>
        <w:tc>
          <w:tcPr>
            <w:tcW w:w="1561" w:type="dxa"/>
            <w:vAlign w:val="center"/>
          </w:tcPr>
          <w:p w14:paraId="73B3EBD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5A375119"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2E5FB413"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QLD</w:t>
            </w:r>
          </w:p>
        </w:tc>
        <w:tc>
          <w:tcPr>
            <w:tcW w:w="2268" w:type="dxa"/>
            <w:noWrap/>
            <w:hideMark/>
          </w:tcPr>
          <w:p w14:paraId="288C05E2"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roofErr w:type="spellStart"/>
            <w:r w:rsidRPr="00197E7D">
              <w:rPr>
                <w:rFonts w:eastAsia="Times New Roman" w:cs="Arial"/>
                <w:color w:val="000000"/>
                <w:sz w:val="18"/>
                <w:szCs w:val="18"/>
                <w:lang w:eastAsia="en-AU"/>
              </w:rPr>
              <w:t>Nebine</w:t>
            </w:r>
            <w:proofErr w:type="spellEnd"/>
          </w:p>
        </w:tc>
        <w:tc>
          <w:tcPr>
            <w:tcW w:w="1426" w:type="dxa"/>
            <w:noWrap/>
            <w:hideMark/>
          </w:tcPr>
          <w:p w14:paraId="1ECA85CC"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SS27</w:t>
            </w:r>
          </w:p>
        </w:tc>
        <w:tc>
          <w:tcPr>
            <w:tcW w:w="983" w:type="dxa"/>
            <w:noWrap/>
            <w:vAlign w:val="center"/>
          </w:tcPr>
          <w:p w14:paraId="5A7B9CA7"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17.1</w:t>
            </w:r>
          </w:p>
        </w:tc>
        <w:tc>
          <w:tcPr>
            <w:tcW w:w="1560" w:type="dxa"/>
            <w:noWrap/>
            <w:vAlign w:val="center"/>
          </w:tcPr>
          <w:p w14:paraId="53359FB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17.5</w:t>
            </w:r>
          </w:p>
        </w:tc>
        <w:tc>
          <w:tcPr>
            <w:tcW w:w="1701" w:type="dxa"/>
            <w:noWrap/>
            <w:vAlign w:val="center"/>
          </w:tcPr>
          <w:p w14:paraId="4B3C07C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15.8</w:t>
            </w:r>
          </w:p>
        </w:tc>
        <w:tc>
          <w:tcPr>
            <w:tcW w:w="1275" w:type="dxa"/>
            <w:noWrap/>
            <w:vAlign w:val="center"/>
          </w:tcPr>
          <w:p w14:paraId="5903BCF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1.71</w:t>
            </w:r>
          </w:p>
        </w:tc>
        <w:tc>
          <w:tcPr>
            <w:tcW w:w="1701" w:type="dxa"/>
            <w:noWrap/>
            <w:vAlign w:val="center"/>
          </w:tcPr>
          <w:p w14:paraId="7F74BE0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10.7</w:t>
            </w:r>
          </w:p>
        </w:tc>
        <w:tc>
          <w:tcPr>
            <w:tcW w:w="1701" w:type="dxa"/>
            <w:noWrap/>
            <w:vAlign w:val="center"/>
          </w:tcPr>
          <w:p w14:paraId="3CABB14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12.4</w:t>
            </w:r>
          </w:p>
        </w:tc>
        <w:tc>
          <w:tcPr>
            <w:tcW w:w="1701" w:type="dxa"/>
            <w:noWrap/>
            <w:vAlign w:val="center"/>
          </w:tcPr>
          <w:p w14:paraId="21BD697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7A846859"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12.4</w:t>
            </w:r>
          </w:p>
        </w:tc>
        <w:tc>
          <w:tcPr>
            <w:tcW w:w="1726" w:type="dxa"/>
            <w:noWrap/>
            <w:vAlign w:val="center"/>
          </w:tcPr>
          <w:p w14:paraId="44A4284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-3.41</w:t>
            </w:r>
          </w:p>
        </w:tc>
        <w:tc>
          <w:tcPr>
            <w:tcW w:w="1561" w:type="dxa"/>
            <w:vAlign w:val="center"/>
          </w:tcPr>
          <w:p w14:paraId="68A9EEB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0A8B9569"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172F0087"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QLD</w:t>
            </w:r>
          </w:p>
        </w:tc>
        <w:tc>
          <w:tcPr>
            <w:tcW w:w="2268" w:type="dxa"/>
            <w:noWrap/>
            <w:hideMark/>
          </w:tcPr>
          <w:p w14:paraId="013409B9"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Warrego</w:t>
            </w:r>
          </w:p>
        </w:tc>
        <w:tc>
          <w:tcPr>
            <w:tcW w:w="1426" w:type="dxa"/>
            <w:noWrap/>
            <w:hideMark/>
          </w:tcPr>
          <w:p w14:paraId="4465A70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SS28</w:t>
            </w:r>
          </w:p>
        </w:tc>
        <w:tc>
          <w:tcPr>
            <w:tcW w:w="983" w:type="dxa"/>
            <w:noWrap/>
            <w:vAlign w:val="center"/>
          </w:tcPr>
          <w:p w14:paraId="0AC62A9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55.5</w:t>
            </w:r>
          </w:p>
        </w:tc>
        <w:tc>
          <w:tcPr>
            <w:tcW w:w="1560" w:type="dxa"/>
            <w:noWrap/>
            <w:vAlign w:val="center"/>
          </w:tcPr>
          <w:p w14:paraId="6F5D914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68.2</w:t>
            </w:r>
          </w:p>
        </w:tc>
        <w:tc>
          <w:tcPr>
            <w:tcW w:w="1701" w:type="dxa"/>
            <w:noWrap/>
            <w:vAlign w:val="center"/>
          </w:tcPr>
          <w:p w14:paraId="739ABB70"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41.1</w:t>
            </w:r>
          </w:p>
        </w:tc>
        <w:tc>
          <w:tcPr>
            <w:tcW w:w="1275" w:type="dxa"/>
            <w:noWrap/>
            <w:vAlign w:val="center"/>
          </w:tcPr>
          <w:p w14:paraId="12159A8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27.2</w:t>
            </w:r>
          </w:p>
        </w:tc>
        <w:tc>
          <w:tcPr>
            <w:tcW w:w="1701" w:type="dxa"/>
            <w:noWrap/>
            <w:vAlign w:val="center"/>
          </w:tcPr>
          <w:p w14:paraId="61D5AA4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40.8</w:t>
            </w:r>
          </w:p>
        </w:tc>
        <w:tc>
          <w:tcPr>
            <w:tcW w:w="1701" w:type="dxa"/>
            <w:noWrap/>
            <w:vAlign w:val="center"/>
          </w:tcPr>
          <w:p w14:paraId="5CF1FD9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68.0</w:t>
            </w:r>
          </w:p>
        </w:tc>
        <w:tc>
          <w:tcPr>
            <w:tcW w:w="1701" w:type="dxa"/>
            <w:noWrap/>
            <w:vAlign w:val="center"/>
          </w:tcPr>
          <w:p w14:paraId="4A9B8D76"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4C8EB36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68.0</w:t>
            </w:r>
          </w:p>
        </w:tc>
        <w:tc>
          <w:tcPr>
            <w:tcW w:w="1726" w:type="dxa"/>
            <w:noWrap/>
            <w:vAlign w:val="center"/>
          </w:tcPr>
          <w:p w14:paraId="1985072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-11.1</w:t>
            </w:r>
          </w:p>
        </w:tc>
        <w:tc>
          <w:tcPr>
            <w:tcW w:w="1561" w:type="dxa"/>
            <w:vAlign w:val="center"/>
          </w:tcPr>
          <w:p w14:paraId="1F6F43D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2681855C"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27EF96FE"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QLD</w:t>
            </w:r>
          </w:p>
        </w:tc>
        <w:tc>
          <w:tcPr>
            <w:tcW w:w="2268" w:type="dxa"/>
            <w:noWrap/>
            <w:hideMark/>
          </w:tcPr>
          <w:p w14:paraId="2D804A71"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Paroo</w:t>
            </w:r>
          </w:p>
        </w:tc>
        <w:tc>
          <w:tcPr>
            <w:tcW w:w="1426" w:type="dxa"/>
            <w:noWrap/>
            <w:hideMark/>
          </w:tcPr>
          <w:p w14:paraId="2DB4A56C"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SS29</w:t>
            </w:r>
          </w:p>
        </w:tc>
        <w:tc>
          <w:tcPr>
            <w:tcW w:w="983" w:type="dxa"/>
            <w:noWrap/>
            <w:vAlign w:val="center"/>
          </w:tcPr>
          <w:p w14:paraId="063AE7F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11.8</w:t>
            </w:r>
          </w:p>
        </w:tc>
        <w:tc>
          <w:tcPr>
            <w:tcW w:w="1560" w:type="dxa"/>
            <w:noWrap/>
            <w:vAlign w:val="center"/>
          </w:tcPr>
          <w:p w14:paraId="1CE0DBE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10.9</w:t>
            </w:r>
          </w:p>
        </w:tc>
        <w:tc>
          <w:tcPr>
            <w:tcW w:w="1701" w:type="dxa"/>
            <w:noWrap/>
            <w:vAlign w:val="center"/>
          </w:tcPr>
          <w:p w14:paraId="795FD34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10.9</w:t>
            </w:r>
          </w:p>
        </w:tc>
        <w:tc>
          <w:tcPr>
            <w:tcW w:w="1275" w:type="dxa"/>
            <w:noWrap/>
            <w:vAlign w:val="center"/>
          </w:tcPr>
          <w:p w14:paraId="6C3824E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0.08</w:t>
            </w:r>
          </w:p>
        </w:tc>
        <w:tc>
          <w:tcPr>
            <w:tcW w:w="1701" w:type="dxa"/>
            <w:noWrap/>
            <w:vAlign w:val="center"/>
          </w:tcPr>
          <w:p w14:paraId="40EC861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0.15</w:t>
            </w:r>
          </w:p>
        </w:tc>
        <w:tc>
          <w:tcPr>
            <w:tcW w:w="1701" w:type="dxa"/>
            <w:noWrap/>
            <w:vAlign w:val="center"/>
          </w:tcPr>
          <w:p w14:paraId="4CDFED0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0.23</w:t>
            </w:r>
          </w:p>
        </w:tc>
        <w:tc>
          <w:tcPr>
            <w:tcW w:w="1701" w:type="dxa"/>
            <w:noWrap/>
            <w:vAlign w:val="center"/>
          </w:tcPr>
          <w:p w14:paraId="4595F26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248020D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0.23</w:t>
            </w:r>
          </w:p>
        </w:tc>
        <w:tc>
          <w:tcPr>
            <w:tcW w:w="1726" w:type="dxa"/>
            <w:noWrap/>
            <w:vAlign w:val="center"/>
          </w:tcPr>
          <w:p w14:paraId="6279D63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-2.36</w:t>
            </w:r>
          </w:p>
        </w:tc>
        <w:tc>
          <w:tcPr>
            <w:tcW w:w="1561" w:type="dxa"/>
            <w:vAlign w:val="center"/>
          </w:tcPr>
          <w:p w14:paraId="771CCA15"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6E59D688"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noWrap/>
            <w:hideMark/>
          </w:tcPr>
          <w:p w14:paraId="51E5EC78"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ACT</w:t>
            </w:r>
          </w:p>
        </w:tc>
        <w:tc>
          <w:tcPr>
            <w:tcW w:w="2268" w:type="dxa"/>
            <w:noWrap/>
            <w:hideMark/>
          </w:tcPr>
          <w:p w14:paraId="7CAD8D75"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Australian Capital Territory</w:t>
            </w:r>
          </w:p>
        </w:tc>
        <w:tc>
          <w:tcPr>
            <w:tcW w:w="1426" w:type="dxa"/>
            <w:noWrap/>
            <w:hideMark/>
          </w:tcPr>
          <w:p w14:paraId="2918C7D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SS1</w:t>
            </w:r>
          </w:p>
        </w:tc>
        <w:tc>
          <w:tcPr>
            <w:tcW w:w="983" w:type="dxa"/>
            <w:noWrap/>
            <w:vAlign w:val="center"/>
          </w:tcPr>
          <w:p w14:paraId="36B7C3E6"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53.4</w:t>
            </w:r>
          </w:p>
        </w:tc>
        <w:tc>
          <w:tcPr>
            <w:tcW w:w="1560" w:type="dxa"/>
            <w:noWrap/>
            <w:vAlign w:val="center"/>
          </w:tcPr>
          <w:p w14:paraId="42E30FE4"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28.4</w:t>
            </w:r>
          </w:p>
        </w:tc>
        <w:tc>
          <w:tcPr>
            <w:tcW w:w="1701" w:type="dxa"/>
            <w:noWrap/>
            <w:vAlign w:val="center"/>
          </w:tcPr>
          <w:p w14:paraId="1BE586A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14.8</w:t>
            </w:r>
          </w:p>
        </w:tc>
        <w:tc>
          <w:tcPr>
            <w:tcW w:w="1275" w:type="dxa"/>
            <w:noWrap/>
            <w:vAlign w:val="center"/>
          </w:tcPr>
          <w:p w14:paraId="4F6B92E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13.6</w:t>
            </w:r>
          </w:p>
        </w:tc>
        <w:tc>
          <w:tcPr>
            <w:tcW w:w="1701" w:type="dxa"/>
            <w:noWrap/>
            <w:vAlign w:val="center"/>
          </w:tcPr>
          <w:p w14:paraId="6CF07B44"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13.0</w:t>
            </w:r>
          </w:p>
        </w:tc>
        <w:tc>
          <w:tcPr>
            <w:tcW w:w="1701" w:type="dxa"/>
            <w:noWrap/>
            <w:vAlign w:val="center"/>
          </w:tcPr>
          <w:p w14:paraId="60B5D27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26.6</w:t>
            </w:r>
          </w:p>
        </w:tc>
        <w:tc>
          <w:tcPr>
            <w:tcW w:w="1701" w:type="dxa"/>
            <w:noWrap/>
            <w:vAlign w:val="center"/>
          </w:tcPr>
          <w:p w14:paraId="3A59101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3.10</w:t>
            </w:r>
          </w:p>
        </w:tc>
        <w:tc>
          <w:tcPr>
            <w:tcW w:w="1701" w:type="dxa"/>
            <w:noWrap/>
            <w:vAlign w:val="center"/>
          </w:tcPr>
          <w:p w14:paraId="05CB979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29.7</w:t>
            </w:r>
          </w:p>
        </w:tc>
        <w:tc>
          <w:tcPr>
            <w:tcW w:w="1726" w:type="dxa"/>
            <w:noWrap/>
            <w:vAlign w:val="center"/>
          </w:tcPr>
          <w:p w14:paraId="6E83C6D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-10.7</w:t>
            </w:r>
          </w:p>
        </w:tc>
        <w:tc>
          <w:tcPr>
            <w:tcW w:w="1561" w:type="dxa"/>
            <w:vAlign w:val="center"/>
          </w:tcPr>
          <w:p w14:paraId="506FDC0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5CC3E3C2"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noWrap/>
            <w:hideMark/>
          </w:tcPr>
          <w:p w14:paraId="07880A42"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08FE3A5B"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Victorian Murray</w:t>
            </w:r>
          </w:p>
        </w:tc>
        <w:tc>
          <w:tcPr>
            <w:tcW w:w="1426" w:type="dxa"/>
            <w:noWrap/>
            <w:hideMark/>
          </w:tcPr>
          <w:p w14:paraId="1C11674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SS2</w:t>
            </w:r>
          </w:p>
        </w:tc>
        <w:tc>
          <w:tcPr>
            <w:tcW w:w="983" w:type="dxa"/>
            <w:noWrap/>
            <w:vAlign w:val="center"/>
          </w:tcPr>
          <w:p w14:paraId="62B343A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1319.8</w:t>
            </w:r>
          </w:p>
        </w:tc>
        <w:tc>
          <w:tcPr>
            <w:tcW w:w="1560" w:type="dxa"/>
            <w:noWrap/>
            <w:vAlign w:val="center"/>
          </w:tcPr>
          <w:p w14:paraId="1236BD4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1284.8</w:t>
            </w:r>
          </w:p>
        </w:tc>
        <w:tc>
          <w:tcPr>
            <w:tcW w:w="1701" w:type="dxa"/>
            <w:noWrap/>
            <w:vAlign w:val="center"/>
          </w:tcPr>
          <w:p w14:paraId="5908FAD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1171.9</w:t>
            </w:r>
          </w:p>
        </w:tc>
        <w:tc>
          <w:tcPr>
            <w:tcW w:w="1275" w:type="dxa"/>
            <w:noWrap/>
            <w:vAlign w:val="center"/>
          </w:tcPr>
          <w:p w14:paraId="488B784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112.9</w:t>
            </w:r>
          </w:p>
        </w:tc>
        <w:tc>
          <w:tcPr>
            <w:tcW w:w="1701" w:type="dxa"/>
            <w:noWrap/>
            <w:vAlign w:val="center"/>
          </w:tcPr>
          <w:p w14:paraId="2991E66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66.8</w:t>
            </w:r>
          </w:p>
        </w:tc>
        <w:tc>
          <w:tcPr>
            <w:tcW w:w="1701" w:type="dxa"/>
            <w:noWrap/>
            <w:vAlign w:val="center"/>
          </w:tcPr>
          <w:p w14:paraId="5D41CAF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179.7</w:t>
            </w:r>
          </w:p>
        </w:tc>
        <w:tc>
          <w:tcPr>
            <w:tcW w:w="1701" w:type="dxa"/>
            <w:noWrap/>
            <w:vAlign w:val="center"/>
          </w:tcPr>
          <w:p w14:paraId="40158BF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14.9</w:t>
            </w:r>
          </w:p>
        </w:tc>
        <w:tc>
          <w:tcPr>
            <w:tcW w:w="1701" w:type="dxa"/>
            <w:noWrap/>
            <w:vAlign w:val="center"/>
          </w:tcPr>
          <w:p w14:paraId="15A6D80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194.6</w:t>
            </w:r>
          </w:p>
        </w:tc>
        <w:tc>
          <w:tcPr>
            <w:tcW w:w="1726" w:type="dxa"/>
            <w:noWrap/>
            <w:vAlign w:val="center"/>
          </w:tcPr>
          <w:p w14:paraId="3CBA237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-264.0</w:t>
            </w:r>
          </w:p>
        </w:tc>
        <w:tc>
          <w:tcPr>
            <w:tcW w:w="1561" w:type="dxa"/>
            <w:vAlign w:val="center"/>
          </w:tcPr>
          <w:p w14:paraId="4BF04CEC"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5B544088"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62056423"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hideMark/>
          </w:tcPr>
          <w:p w14:paraId="03DF8AAE"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Kiewa</w:t>
            </w:r>
          </w:p>
        </w:tc>
        <w:tc>
          <w:tcPr>
            <w:tcW w:w="1426" w:type="dxa"/>
            <w:noWrap/>
            <w:hideMark/>
          </w:tcPr>
          <w:p w14:paraId="31D7E14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SS3</w:t>
            </w:r>
          </w:p>
        </w:tc>
        <w:tc>
          <w:tcPr>
            <w:tcW w:w="983" w:type="dxa"/>
            <w:noWrap/>
            <w:vAlign w:val="center"/>
          </w:tcPr>
          <w:p w14:paraId="41E9E66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27.7</w:t>
            </w:r>
          </w:p>
        </w:tc>
        <w:tc>
          <w:tcPr>
            <w:tcW w:w="1560" w:type="dxa"/>
            <w:noWrap/>
            <w:vAlign w:val="center"/>
          </w:tcPr>
          <w:p w14:paraId="45393BE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26.0</w:t>
            </w:r>
          </w:p>
        </w:tc>
        <w:tc>
          <w:tcPr>
            <w:tcW w:w="1701" w:type="dxa"/>
            <w:noWrap/>
            <w:vAlign w:val="center"/>
          </w:tcPr>
          <w:p w14:paraId="3FBB42F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21.1</w:t>
            </w:r>
          </w:p>
        </w:tc>
        <w:tc>
          <w:tcPr>
            <w:tcW w:w="1275" w:type="dxa"/>
            <w:noWrap/>
            <w:vAlign w:val="center"/>
          </w:tcPr>
          <w:p w14:paraId="0E04CCD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4.92</w:t>
            </w:r>
          </w:p>
        </w:tc>
        <w:tc>
          <w:tcPr>
            <w:tcW w:w="1701" w:type="dxa"/>
            <w:noWrap/>
            <w:vAlign w:val="center"/>
          </w:tcPr>
          <w:p w14:paraId="6933C034"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7.49</w:t>
            </w:r>
          </w:p>
        </w:tc>
        <w:tc>
          <w:tcPr>
            <w:tcW w:w="1701" w:type="dxa"/>
            <w:noWrap/>
            <w:vAlign w:val="center"/>
          </w:tcPr>
          <w:p w14:paraId="0161722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12.4</w:t>
            </w:r>
          </w:p>
        </w:tc>
        <w:tc>
          <w:tcPr>
            <w:tcW w:w="1701" w:type="dxa"/>
            <w:noWrap/>
            <w:vAlign w:val="center"/>
          </w:tcPr>
          <w:p w14:paraId="1264B476"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3C6BBD2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12.4</w:t>
            </w:r>
          </w:p>
        </w:tc>
        <w:tc>
          <w:tcPr>
            <w:tcW w:w="1726" w:type="dxa"/>
            <w:noWrap/>
            <w:vAlign w:val="center"/>
          </w:tcPr>
          <w:p w14:paraId="0C436B0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-5.54</w:t>
            </w:r>
          </w:p>
        </w:tc>
        <w:tc>
          <w:tcPr>
            <w:tcW w:w="1561" w:type="dxa"/>
            <w:vAlign w:val="center"/>
          </w:tcPr>
          <w:p w14:paraId="116E9B9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29FCA6BA"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4A3C763A"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hideMark/>
          </w:tcPr>
          <w:p w14:paraId="0C905A3A"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Ovens</w:t>
            </w:r>
          </w:p>
        </w:tc>
        <w:tc>
          <w:tcPr>
            <w:tcW w:w="1426" w:type="dxa"/>
            <w:noWrap/>
            <w:hideMark/>
          </w:tcPr>
          <w:p w14:paraId="18E21DA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SS4</w:t>
            </w:r>
          </w:p>
        </w:tc>
        <w:tc>
          <w:tcPr>
            <w:tcW w:w="983" w:type="dxa"/>
            <w:noWrap/>
            <w:vAlign w:val="center"/>
          </w:tcPr>
          <w:p w14:paraId="3598DE3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85.8</w:t>
            </w:r>
          </w:p>
        </w:tc>
        <w:tc>
          <w:tcPr>
            <w:tcW w:w="1560" w:type="dxa"/>
            <w:noWrap/>
            <w:vAlign w:val="center"/>
          </w:tcPr>
          <w:p w14:paraId="4492E869"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80.6</w:t>
            </w:r>
          </w:p>
        </w:tc>
        <w:tc>
          <w:tcPr>
            <w:tcW w:w="1701" w:type="dxa"/>
            <w:noWrap/>
            <w:vAlign w:val="center"/>
          </w:tcPr>
          <w:p w14:paraId="52EACF99"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71.2</w:t>
            </w:r>
          </w:p>
        </w:tc>
        <w:tc>
          <w:tcPr>
            <w:tcW w:w="1275" w:type="dxa"/>
            <w:noWrap/>
            <w:vAlign w:val="center"/>
          </w:tcPr>
          <w:p w14:paraId="152AF70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9.39</w:t>
            </w:r>
          </w:p>
        </w:tc>
        <w:tc>
          <w:tcPr>
            <w:tcW w:w="1701" w:type="dxa"/>
            <w:noWrap/>
            <w:vAlign w:val="center"/>
          </w:tcPr>
          <w:p w14:paraId="2C5478B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15.9</w:t>
            </w:r>
          </w:p>
        </w:tc>
        <w:tc>
          <w:tcPr>
            <w:tcW w:w="1701" w:type="dxa"/>
            <w:noWrap/>
            <w:vAlign w:val="center"/>
          </w:tcPr>
          <w:p w14:paraId="3FA84A97"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25.3</w:t>
            </w:r>
          </w:p>
        </w:tc>
        <w:tc>
          <w:tcPr>
            <w:tcW w:w="1701" w:type="dxa"/>
            <w:noWrap/>
            <w:vAlign w:val="center"/>
          </w:tcPr>
          <w:p w14:paraId="3642669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-0.09</w:t>
            </w:r>
          </w:p>
        </w:tc>
        <w:tc>
          <w:tcPr>
            <w:tcW w:w="1701" w:type="dxa"/>
            <w:noWrap/>
            <w:vAlign w:val="center"/>
          </w:tcPr>
          <w:p w14:paraId="2C66594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25.2</w:t>
            </w:r>
          </w:p>
        </w:tc>
        <w:tc>
          <w:tcPr>
            <w:tcW w:w="1726" w:type="dxa"/>
            <w:noWrap/>
            <w:vAlign w:val="center"/>
          </w:tcPr>
          <w:p w14:paraId="6D7B583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-17.2</w:t>
            </w:r>
          </w:p>
        </w:tc>
        <w:tc>
          <w:tcPr>
            <w:tcW w:w="1561" w:type="dxa"/>
            <w:vAlign w:val="center"/>
          </w:tcPr>
          <w:p w14:paraId="2FF375D8"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0A8C1473"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5C94FD71"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5ACBCA04"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Broken</w:t>
            </w:r>
          </w:p>
        </w:tc>
        <w:tc>
          <w:tcPr>
            <w:tcW w:w="1426" w:type="dxa"/>
            <w:noWrap/>
            <w:hideMark/>
          </w:tcPr>
          <w:p w14:paraId="5711DFD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SS5</w:t>
            </w:r>
          </w:p>
        </w:tc>
        <w:tc>
          <w:tcPr>
            <w:tcW w:w="983" w:type="dxa"/>
            <w:noWrap/>
            <w:vAlign w:val="center"/>
          </w:tcPr>
          <w:p w14:paraId="63C5BDA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49.0</w:t>
            </w:r>
          </w:p>
        </w:tc>
        <w:tc>
          <w:tcPr>
            <w:tcW w:w="1560" w:type="dxa"/>
            <w:noWrap/>
            <w:vAlign w:val="center"/>
          </w:tcPr>
          <w:p w14:paraId="340AB65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40.4</w:t>
            </w:r>
          </w:p>
        </w:tc>
        <w:tc>
          <w:tcPr>
            <w:tcW w:w="1701" w:type="dxa"/>
            <w:noWrap/>
            <w:vAlign w:val="center"/>
          </w:tcPr>
          <w:p w14:paraId="1A022AA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39.3</w:t>
            </w:r>
          </w:p>
        </w:tc>
        <w:tc>
          <w:tcPr>
            <w:tcW w:w="1275" w:type="dxa"/>
            <w:noWrap/>
            <w:vAlign w:val="center"/>
          </w:tcPr>
          <w:p w14:paraId="602B3CF4"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1.13</w:t>
            </w:r>
          </w:p>
        </w:tc>
        <w:tc>
          <w:tcPr>
            <w:tcW w:w="1701" w:type="dxa"/>
            <w:noWrap/>
            <w:vAlign w:val="center"/>
          </w:tcPr>
          <w:p w14:paraId="75CE593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2.41</w:t>
            </w:r>
          </w:p>
        </w:tc>
        <w:tc>
          <w:tcPr>
            <w:tcW w:w="1701" w:type="dxa"/>
            <w:noWrap/>
            <w:vAlign w:val="center"/>
          </w:tcPr>
          <w:p w14:paraId="0842A25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3.54</w:t>
            </w:r>
          </w:p>
        </w:tc>
        <w:tc>
          <w:tcPr>
            <w:tcW w:w="1701" w:type="dxa"/>
            <w:noWrap/>
            <w:vAlign w:val="center"/>
          </w:tcPr>
          <w:p w14:paraId="7F5B0FD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637C81D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3.54</w:t>
            </w:r>
          </w:p>
        </w:tc>
        <w:tc>
          <w:tcPr>
            <w:tcW w:w="1726" w:type="dxa"/>
            <w:noWrap/>
            <w:vAlign w:val="center"/>
          </w:tcPr>
          <w:p w14:paraId="3A8D754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-9.80</w:t>
            </w:r>
          </w:p>
        </w:tc>
        <w:tc>
          <w:tcPr>
            <w:tcW w:w="1561" w:type="dxa"/>
            <w:vAlign w:val="center"/>
          </w:tcPr>
          <w:p w14:paraId="5FD85D9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3EDECDE2"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3AF92D09"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hideMark/>
          </w:tcPr>
          <w:p w14:paraId="04418106"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Goulburn</w:t>
            </w:r>
          </w:p>
        </w:tc>
        <w:tc>
          <w:tcPr>
            <w:tcW w:w="1426" w:type="dxa"/>
            <w:noWrap/>
            <w:hideMark/>
          </w:tcPr>
          <w:p w14:paraId="5FFF72F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SS6</w:t>
            </w:r>
          </w:p>
        </w:tc>
        <w:tc>
          <w:tcPr>
            <w:tcW w:w="983" w:type="dxa"/>
            <w:noWrap/>
            <w:vAlign w:val="center"/>
          </w:tcPr>
          <w:p w14:paraId="65EB030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1278.0</w:t>
            </w:r>
          </w:p>
        </w:tc>
        <w:tc>
          <w:tcPr>
            <w:tcW w:w="1560" w:type="dxa"/>
            <w:noWrap/>
            <w:vAlign w:val="center"/>
          </w:tcPr>
          <w:p w14:paraId="03E07A2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1155.8</w:t>
            </w:r>
          </w:p>
        </w:tc>
        <w:tc>
          <w:tcPr>
            <w:tcW w:w="1701" w:type="dxa"/>
            <w:noWrap/>
            <w:vAlign w:val="center"/>
          </w:tcPr>
          <w:p w14:paraId="55BA72F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927.1</w:t>
            </w:r>
          </w:p>
        </w:tc>
        <w:tc>
          <w:tcPr>
            <w:tcW w:w="1275" w:type="dxa"/>
            <w:noWrap/>
            <w:vAlign w:val="center"/>
          </w:tcPr>
          <w:p w14:paraId="6CD88CC5"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228.7</w:t>
            </w:r>
          </w:p>
        </w:tc>
        <w:tc>
          <w:tcPr>
            <w:tcW w:w="1701" w:type="dxa"/>
            <w:noWrap/>
            <w:vAlign w:val="center"/>
          </w:tcPr>
          <w:p w14:paraId="4A9D601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362.7</w:t>
            </w:r>
          </w:p>
        </w:tc>
        <w:tc>
          <w:tcPr>
            <w:tcW w:w="1701" w:type="dxa"/>
            <w:noWrap/>
            <w:vAlign w:val="center"/>
          </w:tcPr>
          <w:p w14:paraId="127D5729"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591.4</w:t>
            </w:r>
          </w:p>
        </w:tc>
        <w:tc>
          <w:tcPr>
            <w:tcW w:w="1701" w:type="dxa"/>
            <w:noWrap/>
            <w:vAlign w:val="center"/>
          </w:tcPr>
          <w:p w14:paraId="6D8587D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4.27</w:t>
            </w:r>
          </w:p>
        </w:tc>
        <w:tc>
          <w:tcPr>
            <w:tcW w:w="1701" w:type="dxa"/>
            <w:noWrap/>
            <w:vAlign w:val="center"/>
          </w:tcPr>
          <w:p w14:paraId="36B891E1"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595.7</w:t>
            </w:r>
          </w:p>
        </w:tc>
        <w:tc>
          <w:tcPr>
            <w:tcW w:w="1726" w:type="dxa"/>
            <w:noWrap/>
            <w:vAlign w:val="center"/>
          </w:tcPr>
          <w:p w14:paraId="61C131B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-255.6</w:t>
            </w:r>
          </w:p>
        </w:tc>
        <w:tc>
          <w:tcPr>
            <w:tcW w:w="1561" w:type="dxa"/>
            <w:vAlign w:val="center"/>
          </w:tcPr>
          <w:p w14:paraId="4B9C1BA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16A8CEBB"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048D319E"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37B53E0F"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Campaspe</w:t>
            </w:r>
          </w:p>
        </w:tc>
        <w:tc>
          <w:tcPr>
            <w:tcW w:w="1426" w:type="dxa"/>
            <w:noWrap/>
            <w:hideMark/>
          </w:tcPr>
          <w:p w14:paraId="3F1AA01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SS7</w:t>
            </w:r>
          </w:p>
        </w:tc>
        <w:tc>
          <w:tcPr>
            <w:tcW w:w="983" w:type="dxa"/>
            <w:noWrap/>
            <w:vAlign w:val="center"/>
          </w:tcPr>
          <w:p w14:paraId="7B7D4A2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111.7</w:t>
            </w:r>
          </w:p>
        </w:tc>
        <w:tc>
          <w:tcPr>
            <w:tcW w:w="1560" w:type="dxa"/>
            <w:noWrap/>
            <w:vAlign w:val="center"/>
          </w:tcPr>
          <w:p w14:paraId="1091CCC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77.0</w:t>
            </w:r>
          </w:p>
        </w:tc>
        <w:tc>
          <w:tcPr>
            <w:tcW w:w="1701" w:type="dxa"/>
            <w:noWrap/>
            <w:vAlign w:val="center"/>
          </w:tcPr>
          <w:p w14:paraId="44699A4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57.3</w:t>
            </w:r>
          </w:p>
        </w:tc>
        <w:tc>
          <w:tcPr>
            <w:tcW w:w="1275" w:type="dxa"/>
            <w:noWrap/>
            <w:vAlign w:val="center"/>
          </w:tcPr>
          <w:p w14:paraId="2250612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19.7</w:t>
            </w:r>
          </w:p>
        </w:tc>
        <w:tc>
          <w:tcPr>
            <w:tcW w:w="1701" w:type="dxa"/>
            <w:noWrap/>
            <w:vAlign w:val="center"/>
          </w:tcPr>
          <w:p w14:paraId="00ACA47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11.7</w:t>
            </w:r>
          </w:p>
        </w:tc>
        <w:tc>
          <w:tcPr>
            <w:tcW w:w="1701" w:type="dxa"/>
            <w:noWrap/>
            <w:vAlign w:val="center"/>
          </w:tcPr>
          <w:p w14:paraId="7A2EF82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31.4</w:t>
            </w:r>
          </w:p>
        </w:tc>
        <w:tc>
          <w:tcPr>
            <w:tcW w:w="1701" w:type="dxa"/>
            <w:noWrap/>
            <w:vAlign w:val="center"/>
          </w:tcPr>
          <w:p w14:paraId="76F382A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0.74</w:t>
            </w:r>
          </w:p>
        </w:tc>
        <w:tc>
          <w:tcPr>
            <w:tcW w:w="1701" w:type="dxa"/>
            <w:noWrap/>
            <w:vAlign w:val="center"/>
          </w:tcPr>
          <w:p w14:paraId="76E74D5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32.1</w:t>
            </w:r>
          </w:p>
        </w:tc>
        <w:tc>
          <w:tcPr>
            <w:tcW w:w="1726" w:type="dxa"/>
            <w:noWrap/>
            <w:vAlign w:val="center"/>
          </w:tcPr>
          <w:p w14:paraId="228F611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-22.3</w:t>
            </w:r>
          </w:p>
        </w:tc>
        <w:tc>
          <w:tcPr>
            <w:tcW w:w="1561" w:type="dxa"/>
            <w:vAlign w:val="center"/>
          </w:tcPr>
          <w:p w14:paraId="718BAE40"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486ECBCF"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650F8A9D"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20458918"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Loddon</w:t>
            </w:r>
          </w:p>
        </w:tc>
        <w:tc>
          <w:tcPr>
            <w:tcW w:w="1426" w:type="dxa"/>
            <w:noWrap/>
            <w:hideMark/>
          </w:tcPr>
          <w:p w14:paraId="26A93251"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SS8</w:t>
            </w:r>
          </w:p>
        </w:tc>
        <w:tc>
          <w:tcPr>
            <w:tcW w:w="983" w:type="dxa"/>
            <w:noWrap/>
            <w:vAlign w:val="center"/>
          </w:tcPr>
          <w:p w14:paraId="43FC03A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127.7</w:t>
            </w:r>
          </w:p>
        </w:tc>
        <w:tc>
          <w:tcPr>
            <w:tcW w:w="1560" w:type="dxa"/>
            <w:noWrap/>
            <w:vAlign w:val="center"/>
          </w:tcPr>
          <w:p w14:paraId="3625CAC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107.1</w:t>
            </w:r>
          </w:p>
        </w:tc>
        <w:tc>
          <w:tcPr>
            <w:tcW w:w="1701" w:type="dxa"/>
            <w:noWrap/>
            <w:vAlign w:val="center"/>
          </w:tcPr>
          <w:p w14:paraId="62E21B3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78.9</w:t>
            </w:r>
          </w:p>
        </w:tc>
        <w:tc>
          <w:tcPr>
            <w:tcW w:w="1275" w:type="dxa"/>
            <w:noWrap/>
            <w:vAlign w:val="center"/>
          </w:tcPr>
          <w:p w14:paraId="173A4F9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28.2</w:t>
            </w:r>
          </w:p>
        </w:tc>
        <w:tc>
          <w:tcPr>
            <w:tcW w:w="1701" w:type="dxa"/>
            <w:noWrap/>
            <w:vAlign w:val="center"/>
          </w:tcPr>
          <w:p w14:paraId="330D1CF1"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8.78</w:t>
            </w:r>
          </w:p>
        </w:tc>
        <w:tc>
          <w:tcPr>
            <w:tcW w:w="1701" w:type="dxa"/>
            <w:noWrap/>
            <w:vAlign w:val="center"/>
          </w:tcPr>
          <w:p w14:paraId="191C1A67"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37.0</w:t>
            </w:r>
          </w:p>
        </w:tc>
        <w:tc>
          <w:tcPr>
            <w:tcW w:w="1701" w:type="dxa"/>
            <w:noWrap/>
            <w:vAlign w:val="center"/>
          </w:tcPr>
          <w:p w14:paraId="662D948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7DA7878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37.0</w:t>
            </w:r>
          </w:p>
        </w:tc>
        <w:tc>
          <w:tcPr>
            <w:tcW w:w="1726" w:type="dxa"/>
            <w:noWrap/>
            <w:vAlign w:val="center"/>
          </w:tcPr>
          <w:p w14:paraId="1F067439"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-25.5</w:t>
            </w:r>
          </w:p>
        </w:tc>
        <w:tc>
          <w:tcPr>
            <w:tcW w:w="1561" w:type="dxa"/>
            <w:vAlign w:val="center"/>
          </w:tcPr>
          <w:p w14:paraId="55A57B0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4F704C23"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5D8DAA7A"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1ED1E1D7"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Wimmera-Mallee (surface water)</w:t>
            </w:r>
          </w:p>
        </w:tc>
        <w:tc>
          <w:tcPr>
            <w:tcW w:w="1426" w:type="dxa"/>
            <w:noWrap/>
            <w:hideMark/>
          </w:tcPr>
          <w:p w14:paraId="74D1AE9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SS9</w:t>
            </w:r>
          </w:p>
        </w:tc>
        <w:tc>
          <w:tcPr>
            <w:tcW w:w="983" w:type="dxa"/>
            <w:noWrap/>
            <w:vAlign w:val="center"/>
          </w:tcPr>
          <w:p w14:paraId="2B23237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76.1</w:t>
            </w:r>
          </w:p>
        </w:tc>
        <w:tc>
          <w:tcPr>
            <w:tcW w:w="1560" w:type="dxa"/>
            <w:noWrap/>
            <w:vAlign w:val="center"/>
          </w:tcPr>
          <w:p w14:paraId="7E14024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71.7</w:t>
            </w:r>
          </w:p>
        </w:tc>
        <w:tc>
          <w:tcPr>
            <w:tcW w:w="1701" w:type="dxa"/>
            <w:noWrap/>
            <w:vAlign w:val="center"/>
          </w:tcPr>
          <w:p w14:paraId="60A7BE79"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47.9</w:t>
            </w:r>
          </w:p>
        </w:tc>
        <w:tc>
          <w:tcPr>
            <w:tcW w:w="1275" w:type="dxa"/>
            <w:noWrap/>
            <w:vAlign w:val="center"/>
          </w:tcPr>
          <w:p w14:paraId="1E4304C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23.8</w:t>
            </w:r>
          </w:p>
        </w:tc>
        <w:tc>
          <w:tcPr>
            <w:tcW w:w="1701" w:type="dxa"/>
            <w:noWrap/>
            <w:vAlign w:val="center"/>
          </w:tcPr>
          <w:p w14:paraId="0C1BBB9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24.0</w:t>
            </w:r>
          </w:p>
        </w:tc>
        <w:tc>
          <w:tcPr>
            <w:tcW w:w="1701" w:type="dxa"/>
            <w:noWrap/>
            <w:vAlign w:val="center"/>
          </w:tcPr>
          <w:p w14:paraId="1EF91DA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47.8</w:t>
            </w:r>
          </w:p>
        </w:tc>
        <w:tc>
          <w:tcPr>
            <w:tcW w:w="1701" w:type="dxa"/>
            <w:noWrap/>
            <w:vAlign w:val="center"/>
          </w:tcPr>
          <w:p w14:paraId="55F42CB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1363810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47.8</w:t>
            </w:r>
          </w:p>
        </w:tc>
        <w:tc>
          <w:tcPr>
            <w:tcW w:w="1726" w:type="dxa"/>
            <w:noWrap/>
            <w:vAlign w:val="center"/>
          </w:tcPr>
          <w:p w14:paraId="6B58E31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-15.2</w:t>
            </w:r>
          </w:p>
        </w:tc>
        <w:tc>
          <w:tcPr>
            <w:tcW w:w="1561" w:type="dxa"/>
            <w:vAlign w:val="center"/>
          </w:tcPr>
          <w:p w14:paraId="4C0DFB5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2DF10491"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2225CD82"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lastRenderedPageBreak/>
              <w:t>SA</w:t>
            </w:r>
          </w:p>
        </w:tc>
        <w:tc>
          <w:tcPr>
            <w:tcW w:w="2268" w:type="dxa"/>
            <w:noWrap/>
            <w:hideMark/>
          </w:tcPr>
          <w:p w14:paraId="1F49B232"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South Australian Murray</w:t>
            </w:r>
          </w:p>
        </w:tc>
        <w:tc>
          <w:tcPr>
            <w:tcW w:w="1426" w:type="dxa"/>
            <w:noWrap/>
            <w:hideMark/>
          </w:tcPr>
          <w:p w14:paraId="6945E3F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SS11</w:t>
            </w:r>
          </w:p>
        </w:tc>
        <w:tc>
          <w:tcPr>
            <w:tcW w:w="983" w:type="dxa"/>
            <w:noWrap/>
            <w:vAlign w:val="center"/>
          </w:tcPr>
          <w:p w14:paraId="394705E5"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542.2</w:t>
            </w:r>
          </w:p>
        </w:tc>
        <w:tc>
          <w:tcPr>
            <w:tcW w:w="1560" w:type="dxa"/>
            <w:noWrap/>
            <w:vAlign w:val="center"/>
          </w:tcPr>
          <w:p w14:paraId="74B9FE8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647.6</w:t>
            </w:r>
          </w:p>
        </w:tc>
        <w:tc>
          <w:tcPr>
            <w:tcW w:w="1701" w:type="dxa"/>
            <w:noWrap/>
            <w:vAlign w:val="center"/>
          </w:tcPr>
          <w:p w14:paraId="1E656C5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609.0</w:t>
            </w:r>
          </w:p>
        </w:tc>
        <w:tc>
          <w:tcPr>
            <w:tcW w:w="1275" w:type="dxa"/>
            <w:noWrap/>
            <w:vAlign w:val="center"/>
          </w:tcPr>
          <w:p w14:paraId="33F8FD9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38.6</w:t>
            </w:r>
          </w:p>
        </w:tc>
        <w:tc>
          <w:tcPr>
            <w:tcW w:w="1701" w:type="dxa"/>
            <w:noWrap/>
            <w:vAlign w:val="center"/>
          </w:tcPr>
          <w:p w14:paraId="72269E51"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-7.91</w:t>
            </w:r>
          </w:p>
        </w:tc>
        <w:tc>
          <w:tcPr>
            <w:tcW w:w="1701" w:type="dxa"/>
            <w:noWrap/>
            <w:vAlign w:val="center"/>
          </w:tcPr>
          <w:p w14:paraId="4E94764C"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30.7</w:t>
            </w:r>
          </w:p>
        </w:tc>
        <w:tc>
          <w:tcPr>
            <w:tcW w:w="1701" w:type="dxa"/>
            <w:noWrap/>
            <w:vAlign w:val="center"/>
          </w:tcPr>
          <w:p w14:paraId="308B189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-13.6</w:t>
            </w:r>
          </w:p>
        </w:tc>
        <w:tc>
          <w:tcPr>
            <w:tcW w:w="1701" w:type="dxa"/>
            <w:noWrap/>
            <w:vAlign w:val="center"/>
          </w:tcPr>
          <w:p w14:paraId="633BA15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17.1</w:t>
            </w:r>
          </w:p>
        </w:tc>
        <w:tc>
          <w:tcPr>
            <w:tcW w:w="1726" w:type="dxa"/>
            <w:noWrap/>
            <w:vAlign w:val="center"/>
          </w:tcPr>
          <w:p w14:paraId="01AA495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-108.4</w:t>
            </w:r>
          </w:p>
        </w:tc>
        <w:tc>
          <w:tcPr>
            <w:tcW w:w="1561" w:type="dxa"/>
            <w:vAlign w:val="center"/>
          </w:tcPr>
          <w:p w14:paraId="7CCBB52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48986CE3"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1248EFA4"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SA</w:t>
            </w:r>
          </w:p>
        </w:tc>
        <w:tc>
          <w:tcPr>
            <w:tcW w:w="2268" w:type="dxa"/>
            <w:noWrap/>
            <w:hideMark/>
          </w:tcPr>
          <w:p w14:paraId="131E2C90"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South Australian Non-Prescribed Areas</w:t>
            </w:r>
          </w:p>
        </w:tc>
        <w:tc>
          <w:tcPr>
            <w:tcW w:w="1426" w:type="dxa"/>
            <w:noWrap/>
            <w:hideMark/>
          </w:tcPr>
          <w:p w14:paraId="07A05CD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SS10</w:t>
            </w:r>
          </w:p>
        </w:tc>
        <w:tc>
          <w:tcPr>
            <w:tcW w:w="983" w:type="dxa"/>
            <w:noWrap/>
            <w:vAlign w:val="center"/>
          </w:tcPr>
          <w:p w14:paraId="2E1582D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55.2</w:t>
            </w:r>
          </w:p>
        </w:tc>
        <w:tc>
          <w:tcPr>
            <w:tcW w:w="1560" w:type="dxa"/>
            <w:noWrap/>
            <w:vAlign w:val="center"/>
          </w:tcPr>
          <w:p w14:paraId="0A4A0FF6"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55.2</w:t>
            </w:r>
          </w:p>
        </w:tc>
        <w:tc>
          <w:tcPr>
            <w:tcW w:w="1701" w:type="dxa"/>
            <w:noWrap/>
            <w:vAlign w:val="center"/>
          </w:tcPr>
          <w:p w14:paraId="5653024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23.3</w:t>
            </w:r>
          </w:p>
        </w:tc>
        <w:tc>
          <w:tcPr>
            <w:tcW w:w="1275" w:type="dxa"/>
            <w:noWrap/>
            <w:vAlign w:val="center"/>
          </w:tcPr>
          <w:p w14:paraId="498AE9D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31.9</w:t>
            </w:r>
          </w:p>
        </w:tc>
        <w:tc>
          <w:tcPr>
            <w:tcW w:w="1701" w:type="dxa"/>
            <w:noWrap/>
            <w:vAlign w:val="center"/>
          </w:tcPr>
          <w:p w14:paraId="713A59C3"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31.9</w:t>
            </w:r>
          </w:p>
        </w:tc>
        <w:tc>
          <w:tcPr>
            <w:tcW w:w="1701" w:type="dxa"/>
            <w:noWrap/>
            <w:vAlign w:val="center"/>
          </w:tcPr>
          <w:p w14:paraId="66927A8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63.7</w:t>
            </w:r>
          </w:p>
        </w:tc>
        <w:tc>
          <w:tcPr>
            <w:tcW w:w="1701" w:type="dxa"/>
            <w:noWrap/>
            <w:vAlign w:val="center"/>
          </w:tcPr>
          <w:p w14:paraId="1C74AF5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437886C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63.7</w:t>
            </w:r>
          </w:p>
        </w:tc>
        <w:tc>
          <w:tcPr>
            <w:tcW w:w="1726" w:type="dxa"/>
            <w:noWrap/>
            <w:vAlign w:val="center"/>
          </w:tcPr>
          <w:p w14:paraId="01D88EFE"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-11.0</w:t>
            </w:r>
          </w:p>
        </w:tc>
        <w:tc>
          <w:tcPr>
            <w:tcW w:w="1561" w:type="dxa"/>
            <w:vAlign w:val="center"/>
          </w:tcPr>
          <w:p w14:paraId="6BF246F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5601FF32" w14:textId="77777777" w:rsidTr="00AA51F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1A960913"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SA</w:t>
            </w:r>
          </w:p>
        </w:tc>
        <w:tc>
          <w:tcPr>
            <w:tcW w:w="2268" w:type="dxa"/>
            <w:noWrap/>
            <w:hideMark/>
          </w:tcPr>
          <w:p w14:paraId="08E6D1C2"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Marne-Saunders</w:t>
            </w:r>
          </w:p>
        </w:tc>
        <w:tc>
          <w:tcPr>
            <w:tcW w:w="1426" w:type="dxa"/>
            <w:noWrap/>
            <w:hideMark/>
          </w:tcPr>
          <w:p w14:paraId="1A09A744"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SS12</w:t>
            </w:r>
          </w:p>
        </w:tc>
        <w:tc>
          <w:tcPr>
            <w:tcW w:w="983" w:type="dxa"/>
            <w:noWrap/>
            <w:vAlign w:val="center"/>
          </w:tcPr>
          <w:p w14:paraId="7F62A07C"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3.00</w:t>
            </w:r>
          </w:p>
        </w:tc>
        <w:tc>
          <w:tcPr>
            <w:tcW w:w="1560" w:type="dxa"/>
            <w:noWrap/>
            <w:vAlign w:val="center"/>
          </w:tcPr>
          <w:p w14:paraId="05B3AB8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2.37</w:t>
            </w:r>
          </w:p>
        </w:tc>
        <w:tc>
          <w:tcPr>
            <w:tcW w:w="1701" w:type="dxa"/>
            <w:noWrap/>
            <w:vAlign w:val="center"/>
          </w:tcPr>
          <w:p w14:paraId="58C77ACF"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1.56</w:t>
            </w:r>
          </w:p>
        </w:tc>
        <w:tc>
          <w:tcPr>
            <w:tcW w:w="1275" w:type="dxa"/>
            <w:noWrap/>
            <w:vAlign w:val="center"/>
          </w:tcPr>
          <w:p w14:paraId="77BF3635"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0.81</w:t>
            </w:r>
          </w:p>
        </w:tc>
        <w:tc>
          <w:tcPr>
            <w:tcW w:w="1701" w:type="dxa"/>
            <w:noWrap/>
            <w:vAlign w:val="center"/>
          </w:tcPr>
          <w:p w14:paraId="7D8F7561"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0.50</w:t>
            </w:r>
          </w:p>
        </w:tc>
        <w:tc>
          <w:tcPr>
            <w:tcW w:w="1701" w:type="dxa"/>
            <w:noWrap/>
            <w:vAlign w:val="center"/>
          </w:tcPr>
          <w:p w14:paraId="0396FA4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1.31</w:t>
            </w:r>
          </w:p>
        </w:tc>
        <w:tc>
          <w:tcPr>
            <w:tcW w:w="1701" w:type="dxa"/>
            <w:noWrap/>
            <w:vAlign w:val="center"/>
          </w:tcPr>
          <w:p w14:paraId="520B7EBB"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1E09B41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1.31</w:t>
            </w:r>
          </w:p>
        </w:tc>
        <w:tc>
          <w:tcPr>
            <w:tcW w:w="1726" w:type="dxa"/>
            <w:noWrap/>
            <w:vAlign w:val="center"/>
          </w:tcPr>
          <w:p w14:paraId="754E75E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-0.60</w:t>
            </w:r>
          </w:p>
        </w:tc>
        <w:tc>
          <w:tcPr>
            <w:tcW w:w="1561" w:type="dxa"/>
            <w:vAlign w:val="center"/>
          </w:tcPr>
          <w:p w14:paraId="5E0DE47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0339CDAC" w14:textId="77777777" w:rsidTr="00AA51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8" w:type="dxa"/>
            <w:hideMark/>
          </w:tcPr>
          <w:p w14:paraId="25A7FED4"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SA</w:t>
            </w:r>
          </w:p>
        </w:tc>
        <w:tc>
          <w:tcPr>
            <w:tcW w:w="2268" w:type="dxa"/>
            <w:noWrap/>
            <w:hideMark/>
          </w:tcPr>
          <w:p w14:paraId="38E7C071"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Eastern Mount Lofty Ranges</w:t>
            </w:r>
          </w:p>
        </w:tc>
        <w:tc>
          <w:tcPr>
            <w:tcW w:w="1426" w:type="dxa"/>
            <w:noWrap/>
            <w:hideMark/>
          </w:tcPr>
          <w:p w14:paraId="2DCE7616"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SS13</w:t>
            </w:r>
          </w:p>
        </w:tc>
        <w:tc>
          <w:tcPr>
            <w:tcW w:w="983" w:type="dxa"/>
            <w:noWrap/>
            <w:vAlign w:val="center"/>
          </w:tcPr>
          <w:p w14:paraId="6494E4F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28.3</w:t>
            </w:r>
          </w:p>
        </w:tc>
        <w:tc>
          <w:tcPr>
            <w:tcW w:w="1560" w:type="dxa"/>
            <w:noWrap/>
            <w:vAlign w:val="center"/>
          </w:tcPr>
          <w:p w14:paraId="3F208955"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27.4</w:t>
            </w:r>
          </w:p>
        </w:tc>
        <w:tc>
          <w:tcPr>
            <w:tcW w:w="1701" w:type="dxa"/>
            <w:noWrap/>
            <w:vAlign w:val="center"/>
          </w:tcPr>
          <w:p w14:paraId="5E41652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15.5</w:t>
            </w:r>
          </w:p>
        </w:tc>
        <w:tc>
          <w:tcPr>
            <w:tcW w:w="1275" w:type="dxa"/>
            <w:noWrap/>
            <w:vAlign w:val="center"/>
          </w:tcPr>
          <w:p w14:paraId="0DD2A339"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11.9</w:t>
            </w:r>
          </w:p>
        </w:tc>
        <w:tc>
          <w:tcPr>
            <w:tcW w:w="1701" w:type="dxa"/>
            <w:noWrap/>
            <w:vAlign w:val="center"/>
          </w:tcPr>
          <w:p w14:paraId="64CC8690"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12.3</w:t>
            </w:r>
          </w:p>
        </w:tc>
        <w:tc>
          <w:tcPr>
            <w:tcW w:w="1701" w:type="dxa"/>
            <w:noWrap/>
            <w:vAlign w:val="center"/>
          </w:tcPr>
          <w:p w14:paraId="15533FB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24.2</w:t>
            </w:r>
          </w:p>
        </w:tc>
        <w:tc>
          <w:tcPr>
            <w:tcW w:w="1701" w:type="dxa"/>
            <w:noWrap/>
            <w:vAlign w:val="center"/>
          </w:tcPr>
          <w:p w14:paraId="35C13869"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0.00</w:t>
            </w:r>
          </w:p>
        </w:tc>
        <w:tc>
          <w:tcPr>
            <w:tcW w:w="1701" w:type="dxa"/>
            <w:noWrap/>
            <w:vAlign w:val="center"/>
          </w:tcPr>
          <w:p w14:paraId="509DEC8F"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24.2</w:t>
            </w:r>
          </w:p>
        </w:tc>
        <w:tc>
          <w:tcPr>
            <w:tcW w:w="1726" w:type="dxa"/>
            <w:noWrap/>
            <w:vAlign w:val="center"/>
          </w:tcPr>
          <w:p w14:paraId="558910AD"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-5.66</w:t>
            </w:r>
          </w:p>
        </w:tc>
        <w:tc>
          <w:tcPr>
            <w:tcW w:w="1561" w:type="dxa"/>
            <w:vAlign w:val="center"/>
          </w:tcPr>
          <w:p w14:paraId="065197D0"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623136" w14:paraId="3327535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82" w:type="dxa"/>
            <w:gridSpan w:val="3"/>
          </w:tcPr>
          <w:p w14:paraId="58076015" w14:textId="2CDC1787" w:rsidR="00623136" w:rsidRPr="00197E7D" w:rsidRDefault="00623136" w:rsidP="00614C9A">
            <w:pPr>
              <w:jc w:val="center"/>
              <w:rPr>
                <w:rFonts w:eastAsia="Times New Roman" w:cs="Calibri"/>
                <w:color w:val="000000"/>
                <w:sz w:val="18"/>
                <w:szCs w:val="18"/>
                <w:lang w:eastAsia="en-AU"/>
              </w:rPr>
            </w:pPr>
            <w:r w:rsidRPr="00197E7D">
              <w:rPr>
                <w:rFonts w:eastAsia="Times New Roman" w:cs="Arial"/>
                <w:color w:val="000000"/>
                <w:sz w:val="18"/>
                <w:szCs w:val="18"/>
                <w:lang w:eastAsia="en-AU"/>
              </w:rPr>
              <w:t>Total</w:t>
            </w:r>
          </w:p>
        </w:tc>
        <w:tc>
          <w:tcPr>
            <w:tcW w:w="983" w:type="dxa"/>
            <w:noWrap/>
            <w:vAlign w:val="center"/>
          </w:tcPr>
          <w:p w14:paraId="2DFDD9ED"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5214.8</w:t>
            </w:r>
          </w:p>
        </w:tc>
        <w:tc>
          <w:tcPr>
            <w:tcW w:w="1560" w:type="dxa"/>
            <w:noWrap/>
            <w:vAlign w:val="center"/>
          </w:tcPr>
          <w:p w14:paraId="7E9E19D5"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5961.0</w:t>
            </w:r>
          </w:p>
        </w:tc>
        <w:tc>
          <w:tcPr>
            <w:tcW w:w="1701" w:type="dxa"/>
            <w:noWrap/>
            <w:vAlign w:val="center"/>
          </w:tcPr>
          <w:p w14:paraId="1251FE30"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4799.0</w:t>
            </w:r>
          </w:p>
        </w:tc>
        <w:tc>
          <w:tcPr>
            <w:tcW w:w="1275" w:type="dxa"/>
            <w:noWrap/>
            <w:vAlign w:val="center"/>
          </w:tcPr>
          <w:p w14:paraId="6E912A03"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1162.0</w:t>
            </w:r>
          </w:p>
        </w:tc>
        <w:tc>
          <w:tcPr>
            <w:tcW w:w="1701" w:type="dxa"/>
            <w:noWrap/>
            <w:vAlign w:val="center"/>
          </w:tcPr>
          <w:p w14:paraId="5205A63B"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713.8</w:t>
            </w:r>
          </w:p>
        </w:tc>
        <w:tc>
          <w:tcPr>
            <w:tcW w:w="1701" w:type="dxa"/>
            <w:noWrap/>
            <w:vAlign w:val="center"/>
          </w:tcPr>
          <w:p w14:paraId="3DC70A10"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1875.8</w:t>
            </w:r>
          </w:p>
        </w:tc>
        <w:tc>
          <w:tcPr>
            <w:tcW w:w="1701" w:type="dxa"/>
            <w:noWrap/>
            <w:vAlign w:val="center"/>
          </w:tcPr>
          <w:p w14:paraId="17D9DF7B"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13.5</w:t>
            </w:r>
          </w:p>
        </w:tc>
        <w:tc>
          <w:tcPr>
            <w:tcW w:w="1701" w:type="dxa"/>
            <w:noWrap/>
            <w:vAlign w:val="center"/>
          </w:tcPr>
          <w:p w14:paraId="1C5F3918"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1889.3</w:t>
            </w:r>
          </w:p>
        </w:tc>
        <w:tc>
          <w:tcPr>
            <w:tcW w:w="1726" w:type="dxa"/>
            <w:noWrap/>
            <w:vAlign w:val="center"/>
          </w:tcPr>
          <w:p w14:paraId="0C1E052B"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197E7D">
              <w:rPr>
                <w:rFonts w:cs="Arial"/>
                <w:b/>
                <w:color w:val="000000"/>
                <w:sz w:val="18"/>
                <w:szCs w:val="18"/>
              </w:rPr>
              <w:t>-1043.0</w:t>
            </w:r>
          </w:p>
        </w:tc>
        <w:tc>
          <w:tcPr>
            <w:tcW w:w="1561" w:type="dxa"/>
            <w:vAlign w:val="center"/>
          </w:tcPr>
          <w:p w14:paraId="76B905FB" w14:textId="77777777" w:rsidR="00623136" w:rsidRPr="00197E7D" w:rsidRDefault="00623136" w:rsidP="00614C9A">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CA6A33" w14:paraId="1EDDB1DB" w14:textId="77777777" w:rsidTr="00AA51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hideMark/>
          </w:tcPr>
          <w:p w14:paraId="06B4EC7A"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65E0BCD0" w14:textId="77777777" w:rsidR="00405DAB" w:rsidRPr="00197E7D" w:rsidRDefault="00AD6FA7" w:rsidP="00614C9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vertAlign w:val="superscript"/>
                <w:lang w:eastAsia="en-AU"/>
              </w:rPr>
            </w:pPr>
            <w:r w:rsidRPr="00197E7D">
              <w:rPr>
                <w:rFonts w:eastAsia="Times New Roman" w:cs="Arial"/>
                <w:color w:val="000000"/>
                <w:sz w:val="18"/>
                <w:szCs w:val="18"/>
                <w:lang w:eastAsia="en-AU"/>
              </w:rPr>
              <w:t>Goulburn-Broken-Campaspe-Loddon</w:t>
            </w:r>
          </w:p>
        </w:tc>
        <w:tc>
          <w:tcPr>
            <w:tcW w:w="1426" w:type="dxa"/>
            <w:noWrap/>
            <w:hideMark/>
          </w:tcPr>
          <w:p w14:paraId="79B8761D" w14:textId="77777777" w:rsidR="00405DAB" w:rsidRPr="00197E7D" w:rsidRDefault="00405DAB"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p>
        </w:tc>
        <w:tc>
          <w:tcPr>
            <w:tcW w:w="983" w:type="dxa"/>
            <w:noWrap/>
            <w:vAlign w:val="center"/>
          </w:tcPr>
          <w:p w14:paraId="34982EB9"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1566.4</w:t>
            </w:r>
          </w:p>
        </w:tc>
        <w:tc>
          <w:tcPr>
            <w:tcW w:w="1560" w:type="dxa"/>
            <w:noWrap/>
            <w:vAlign w:val="center"/>
          </w:tcPr>
          <w:p w14:paraId="4D45302B"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1380.3</w:t>
            </w:r>
          </w:p>
        </w:tc>
        <w:tc>
          <w:tcPr>
            <w:tcW w:w="1701" w:type="dxa"/>
            <w:noWrap/>
            <w:vAlign w:val="center"/>
          </w:tcPr>
          <w:p w14:paraId="7255CDF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1102.6</w:t>
            </w:r>
          </w:p>
        </w:tc>
        <w:tc>
          <w:tcPr>
            <w:tcW w:w="1275" w:type="dxa"/>
            <w:noWrap/>
            <w:vAlign w:val="center"/>
          </w:tcPr>
          <w:p w14:paraId="60CB6F98"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277.7</w:t>
            </w:r>
          </w:p>
        </w:tc>
        <w:tc>
          <w:tcPr>
            <w:tcW w:w="1701" w:type="dxa"/>
            <w:noWrap/>
            <w:vAlign w:val="center"/>
          </w:tcPr>
          <w:p w14:paraId="7785059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385.6</w:t>
            </w:r>
          </w:p>
        </w:tc>
        <w:tc>
          <w:tcPr>
            <w:tcW w:w="1701" w:type="dxa"/>
            <w:noWrap/>
            <w:vAlign w:val="center"/>
          </w:tcPr>
          <w:p w14:paraId="453456DC"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663.4</w:t>
            </w:r>
          </w:p>
        </w:tc>
        <w:tc>
          <w:tcPr>
            <w:tcW w:w="1701" w:type="dxa"/>
            <w:noWrap/>
            <w:vAlign w:val="center"/>
          </w:tcPr>
          <w:p w14:paraId="03F50A12"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5.02</w:t>
            </w:r>
          </w:p>
        </w:tc>
        <w:tc>
          <w:tcPr>
            <w:tcW w:w="1701" w:type="dxa"/>
            <w:noWrap/>
            <w:vAlign w:val="center"/>
          </w:tcPr>
          <w:p w14:paraId="6A900757"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668.4</w:t>
            </w:r>
          </w:p>
        </w:tc>
        <w:tc>
          <w:tcPr>
            <w:tcW w:w="1726" w:type="dxa"/>
            <w:noWrap/>
            <w:vAlign w:val="center"/>
          </w:tcPr>
          <w:p w14:paraId="3276744A"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-313.3</w:t>
            </w:r>
          </w:p>
        </w:tc>
        <w:tc>
          <w:tcPr>
            <w:tcW w:w="1561" w:type="dxa"/>
            <w:vAlign w:val="center"/>
          </w:tcPr>
          <w:p w14:paraId="05581301" w14:textId="77777777" w:rsidR="00405DAB" w:rsidRPr="00197E7D" w:rsidRDefault="00AD6FA7" w:rsidP="00614C9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r w:rsidR="00CA6A33" w14:paraId="515334D7" w14:textId="77777777" w:rsidTr="00AA51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8" w:type="dxa"/>
            <w:hideMark/>
          </w:tcPr>
          <w:p w14:paraId="39FCE3A5" w14:textId="77777777" w:rsidR="00405DAB" w:rsidRPr="00197E7D" w:rsidRDefault="00AD6FA7" w:rsidP="00614C9A">
            <w:pPr>
              <w:rPr>
                <w:rFonts w:eastAsia="Times New Roman" w:cs="Arial"/>
                <w:b w:val="0"/>
                <w:color w:val="000000"/>
                <w:sz w:val="18"/>
                <w:szCs w:val="18"/>
                <w:lang w:eastAsia="en-AU"/>
              </w:rPr>
            </w:pPr>
            <w:r w:rsidRPr="00197E7D">
              <w:rPr>
                <w:rFonts w:eastAsia="Times New Roman" w:cs="Arial"/>
                <w:color w:val="000000"/>
                <w:sz w:val="18"/>
                <w:szCs w:val="18"/>
                <w:lang w:eastAsia="en-AU"/>
              </w:rPr>
              <w:t>VIC</w:t>
            </w:r>
          </w:p>
        </w:tc>
        <w:tc>
          <w:tcPr>
            <w:tcW w:w="2268" w:type="dxa"/>
            <w:noWrap/>
            <w:hideMark/>
          </w:tcPr>
          <w:p w14:paraId="35B5F68D" w14:textId="77777777" w:rsidR="00405DAB" w:rsidRPr="00197E7D" w:rsidRDefault="00AD6FA7" w:rsidP="00614C9A">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eastAsia="Times New Roman" w:cs="Arial"/>
                <w:color w:val="000000"/>
                <w:sz w:val="18"/>
                <w:szCs w:val="18"/>
                <w:lang w:eastAsia="en-AU"/>
              </w:rPr>
              <w:t>Victorian Murray-Kiewa-Ovens</w:t>
            </w:r>
          </w:p>
        </w:tc>
        <w:tc>
          <w:tcPr>
            <w:tcW w:w="1426" w:type="dxa"/>
            <w:noWrap/>
            <w:hideMark/>
          </w:tcPr>
          <w:p w14:paraId="20C04F40" w14:textId="77777777" w:rsidR="00405DAB" w:rsidRPr="00197E7D" w:rsidRDefault="00405DAB"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eastAsia="en-AU"/>
              </w:rPr>
            </w:pPr>
          </w:p>
        </w:tc>
        <w:tc>
          <w:tcPr>
            <w:tcW w:w="983" w:type="dxa"/>
            <w:noWrap/>
            <w:vAlign w:val="center"/>
          </w:tcPr>
          <w:p w14:paraId="0CACFD6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1433.3</w:t>
            </w:r>
          </w:p>
        </w:tc>
        <w:tc>
          <w:tcPr>
            <w:tcW w:w="1560" w:type="dxa"/>
            <w:noWrap/>
            <w:vAlign w:val="center"/>
          </w:tcPr>
          <w:p w14:paraId="63831AC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1391.4</w:t>
            </w:r>
          </w:p>
        </w:tc>
        <w:tc>
          <w:tcPr>
            <w:tcW w:w="1701" w:type="dxa"/>
            <w:noWrap/>
            <w:vAlign w:val="center"/>
          </w:tcPr>
          <w:p w14:paraId="37A66E5A"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1264.2</w:t>
            </w:r>
          </w:p>
        </w:tc>
        <w:tc>
          <w:tcPr>
            <w:tcW w:w="1275" w:type="dxa"/>
            <w:noWrap/>
            <w:vAlign w:val="center"/>
          </w:tcPr>
          <w:p w14:paraId="06E43F6D"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127.2</w:t>
            </w:r>
          </w:p>
        </w:tc>
        <w:tc>
          <w:tcPr>
            <w:tcW w:w="1701" w:type="dxa"/>
            <w:noWrap/>
            <w:vAlign w:val="center"/>
          </w:tcPr>
          <w:p w14:paraId="7D61EC1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90.2</w:t>
            </w:r>
          </w:p>
        </w:tc>
        <w:tc>
          <w:tcPr>
            <w:tcW w:w="1701" w:type="dxa"/>
            <w:noWrap/>
            <w:vAlign w:val="center"/>
          </w:tcPr>
          <w:p w14:paraId="30AA6693"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217.4</w:t>
            </w:r>
          </w:p>
        </w:tc>
        <w:tc>
          <w:tcPr>
            <w:tcW w:w="1701" w:type="dxa"/>
            <w:noWrap/>
            <w:vAlign w:val="center"/>
          </w:tcPr>
          <w:p w14:paraId="142DEEF2"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14.8</w:t>
            </w:r>
          </w:p>
        </w:tc>
        <w:tc>
          <w:tcPr>
            <w:tcW w:w="1701" w:type="dxa"/>
            <w:noWrap/>
            <w:vAlign w:val="center"/>
          </w:tcPr>
          <w:p w14:paraId="41346FB6"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232.2</w:t>
            </w:r>
          </w:p>
        </w:tc>
        <w:tc>
          <w:tcPr>
            <w:tcW w:w="1726" w:type="dxa"/>
            <w:noWrap/>
            <w:vAlign w:val="center"/>
          </w:tcPr>
          <w:p w14:paraId="13AE82FE"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-286.7</w:t>
            </w:r>
          </w:p>
        </w:tc>
        <w:tc>
          <w:tcPr>
            <w:tcW w:w="1561" w:type="dxa"/>
            <w:vAlign w:val="center"/>
          </w:tcPr>
          <w:p w14:paraId="28E41700" w14:textId="77777777" w:rsidR="00405DAB" w:rsidRPr="00197E7D" w:rsidRDefault="00AD6FA7" w:rsidP="00614C9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97E7D">
              <w:rPr>
                <w:rFonts w:cs="Arial"/>
                <w:color w:val="000000"/>
                <w:sz w:val="18"/>
                <w:szCs w:val="18"/>
              </w:rPr>
              <w:t>No</w:t>
            </w:r>
          </w:p>
        </w:tc>
      </w:tr>
    </w:tbl>
    <w:p w14:paraId="001EEDC8" w14:textId="77777777" w:rsidR="00405DAB" w:rsidRDefault="00405DAB" w:rsidP="00405DAB">
      <w:pPr>
        <w:pStyle w:val="FigureHeading"/>
      </w:pPr>
    </w:p>
    <w:p w14:paraId="3D94C4AF" w14:textId="77777777" w:rsidR="00405DAB" w:rsidRDefault="00405DAB" w:rsidP="00405DAB">
      <w:pPr>
        <w:pStyle w:val="FigureHeading"/>
      </w:pPr>
    </w:p>
    <w:p w14:paraId="0F4A3BCE" w14:textId="77777777" w:rsidR="00405DAB" w:rsidRDefault="00405DAB" w:rsidP="00405DAB">
      <w:pPr>
        <w:pStyle w:val="FigureHeading"/>
      </w:pPr>
    </w:p>
    <w:p w14:paraId="2DE5019D" w14:textId="77777777" w:rsidR="00405DAB" w:rsidRPr="00C4205C" w:rsidRDefault="00405DAB" w:rsidP="00405DAB">
      <w:pPr>
        <w:pStyle w:val="FigureHeading"/>
      </w:pPr>
    </w:p>
    <w:p w14:paraId="457BAB38" w14:textId="77777777" w:rsidR="00405DAB" w:rsidRDefault="00405DAB" w:rsidP="00405DAB">
      <w:pPr>
        <w:pStyle w:val="FigureHeading"/>
      </w:pPr>
    </w:p>
    <w:p w14:paraId="34644C40" w14:textId="77777777" w:rsidR="00405DAB" w:rsidRDefault="00405DAB" w:rsidP="00405DAB">
      <w:pPr>
        <w:pStyle w:val="FigureHeading"/>
      </w:pPr>
    </w:p>
    <w:p w14:paraId="06CE02FA" w14:textId="77777777" w:rsidR="00405DAB" w:rsidRDefault="00405DAB" w:rsidP="00405DAB">
      <w:pPr>
        <w:pStyle w:val="FigureHeading"/>
      </w:pPr>
    </w:p>
    <w:p w14:paraId="2854EE7D" w14:textId="77777777" w:rsidR="00405DAB" w:rsidRDefault="00405DAB" w:rsidP="00405DAB">
      <w:pPr>
        <w:pStyle w:val="FigureHeading"/>
      </w:pPr>
    </w:p>
    <w:p w14:paraId="5D4DF7B1" w14:textId="77777777" w:rsidR="00405DAB" w:rsidRDefault="00405DAB" w:rsidP="00405DAB">
      <w:pPr>
        <w:pStyle w:val="FigureHeading"/>
      </w:pPr>
    </w:p>
    <w:p w14:paraId="132429AE" w14:textId="77777777" w:rsidR="00EF4B0E" w:rsidRDefault="00EF4B0E" w:rsidP="0079684C">
      <w:pPr>
        <w:pStyle w:val="Caption"/>
        <w:keepNext/>
      </w:pPr>
    </w:p>
    <w:p w14:paraId="6D5FACA9" w14:textId="77777777" w:rsidR="00EF4B0E" w:rsidRDefault="00EF4B0E" w:rsidP="0079684C">
      <w:pPr>
        <w:pStyle w:val="Caption"/>
        <w:keepNext/>
      </w:pPr>
    </w:p>
    <w:p w14:paraId="0A6FAEEF" w14:textId="77777777" w:rsidR="00EF4B0E" w:rsidRDefault="00EF4B0E" w:rsidP="0079684C">
      <w:pPr>
        <w:pStyle w:val="Caption"/>
        <w:keepNext/>
      </w:pPr>
    </w:p>
    <w:p w14:paraId="7996AAB6" w14:textId="77777777" w:rsidR="00EF4B0E" w:rsidRDefault="00EF4B0E" w:rsidP="0079684C">
      <w:pPr>
        <w:pStyle w:val="Caption"/>
        <w:keepNext/>
      </w:pPr>
    </w:p>
    <w:p w14:paraId="2420088C" w14:textId="77777777" w:rsidR="00EF4B0E" w:rsidRDefault="00EF4B0E" w:rsidP="0079684C">
      <w:pPr>
        <w:pStyle w:val="Caption"/>
        <w:keepNext/>
      </w:pPr>
    </w:p>
    <w:p w14:paraId="7BF4A338" w14:textId="77777777" w:rsidR="00AD5516" w:rsidRDefault="00AD6FA7">
      <w:pPr>
        <w:spacing w:after="0"/>
        <w:rPr>
          <w:i/>
          <w:iCs/>
          <w:color w:val="48555E" w:themeColor="text2"/>
          <w:sz w:val="18"/>
          <w:szCs w:val="18"/>
        </w:rPr>
      </w:pPr>
      <w:r>
        <w:br w:type="page"/>
      </w:r>
    </w:p>
    <w:p w14:paraId="73269CAB" w14:textId="1D6BBD0B" w:rsidR="00E76358" w:rsidRPr="00024765" w:rsidRDefault="00AD6FA7" w:rsidP="00024765">
      <w:pPr>
        <w:pStyle w:val="Caption"/>
        <w:keepNext/>
        <w:spacing w:after="0"/>
        <w:rPr>
          <w:i w:val="0"/>
          <w:iCs w:val="0"/>
          <w:sz w:val="20"/>
          <w:szCs w:val="20"/>
        </w:rPr>
      </w:pPr>
      <w:bookmarkStart w:id="8" w:name="_Ref140834556"/>
      <w:bookmarkStart w:id="9" w:name="_Toc140834640"/>
      <w:r w:rsidRPr="00024765">
        <w:rPr>
          <w:i w:val="0"/>
          <w:iCs w:val="0"/>
          <w:sz w:val="20"/>
          <w:szCs w:val="20"/>
        </w:rPr>
        <w:lastRenderedPageBreak/>
        <w:t xml:space="preserve">Table </w:t>
      </w:r>
      <w:r w:rsidR="00170B93" w:rsidRPr="00024765">
        <w:rPr>
          <w:i w:val="0"/>
          <w:iCs w:val="0"/>
          <w:sz w:val="20"/>
          <w:szCs w:val="20"/>
        </w:rPr>
        <w:fldChar w:fldCharType="begin"/>
      </w:r>
      <w:r w:rsidR="00170B93" w:rsidRPr="00024765">
        <w:rPr>
          <w:i w:val="0"/>
          <w:iCs w:val="0"/>
          <w:sz w:val="20"/>
          <w:szCs w:val="20"/>
        </w:rPr>
        <w:instrText xml:space="preserve"> SEQ Table \* ARABIC </w:instrText>
      </w:r>
      <w:r w:rsidR="00170B93" w:rsidRPr="00024765">
        <w:rPr>
          <w:i w:val="0"/>
          <w:iCs w:val="0"/>
          <w:sz w:val="20"/>
          <w:szCs w:val="20"/>
        </w:rPr>
        <w:fldChar w:fldCharType="separate"/>
      </w:r>
      <w:r w:rsidR="0010165E">
        <w:rPr>
          <w:i w:val="0"/>
          <w:iCs w:val="0"/>
          <w:noProof/>
          <w:sz w:val="20"/>
          <w:szCs w:val="20"/>
        </w:rPr>
        <w:t>2</w:t>
      </w:r>
      <w:r w:rsidR="00170B93" w:rsidRPr="00024765">
        <w:rPr>
          <w:i w:val="0"/>
          <w:iCs w:val="0"/>
          <w:sz w:val="20"/>
          <w:szCs w:val="20"/>
        </w:rPr>
        <w:fldChar w:fldCharType="end"/>
      </w:r>
      <w:bookmarkEnd w:id="8"/>
      <w:r w:rsidRPr="00024765">
        <w:rPr>
          <w:i w:val="0"/>
          <w:iCs w:val="0"/>
          <w:sz w:val="20"/>
          <w:szCs w:val="20"/>
        </w:rPr>
        <w:t>. 2021- 2022 Groundwater accounts from the Registers of Take</w:t>
      </w:r>
      <w:bookmarkEnd w:id="9"/>
    </w:p>
    <w:tbl>
      <w:tblPr>
        <w:tblStyle w:val="MDBAsimpletable1"/>
        <w:tblpPr w:leftFromText="181" w:rightFromText="181" w:vertAnchor="text" w:horzAnchor="margin" w:tblpY="431"/>
        <w:tblOverlap w:val="never"/>
        <w:tblW w:w="19557" w:type="dxa"/>
        <w:tblLayout w:type="fixed"/>
        <w:tblCellMar>
          <w:left w:w="57" w:type="dxa"/>
          <w:right w:w="57" w:type="dxa"/>
        </w:tblCellMar>
        <w:tblLook w:val="04A0" w:firstRow="1" w:lastRow="0" w:firstColumn="1" w:lastColumn="0" w:noHBand="0" w:noVBand="1"/>
      </w:tblPr>
      <w:tblGrid>
        <w:gridCol w:w="704"/>
        <w:gridCol w:w="3544"/>
        <w:gridCol w:w="992"/>
        <w:gridCol w:w="851"/>
        <w:gridCol w:w="1134"/>
        <w:gridCol w:w="992"/>
        <w:gridCol w:w="1559"/>
        <w:gridCol w:w="1418"/>
        <w:gridCol w:w="1559"/>
        <w:gridCol w:w="992"/>
        <w:gridCol w:w="1559"/>
        <w:gridCol w:w="1276"/>
        <w:gridCol w:w="1559"/>
        <w:gridCol w:w="1418"/>
      </w:tblGrid>
      <w:tr w:rsidR="004C4006" w14:paraId="7EF5AFDC" w14:textId="77777777" w:rsidTr="00E14EB0">
        <w:trPr>
          <w:cnfStyle w:val="100000000000" w:firstRow="1" w:lastRow="0" w:firstColumn="0" w:lastColumn="0" w:oddVBand="0" w:evenVBand="0" w:oddHBand="0" w:evenHBand="0" w:firstRowFirstColumn="0" w:firstRowLastColumn="0" w:lastRowFirstColumn="0" w:lastRowLastColumn="0"/>
          <w:trHeight w:val="2199"/>
          <w:tblHead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noWrap/>
            <w:vAlign w:val="center"/>
          </w:tcPr>
          <w:p w14:paraId="2B5539BE" w14:textId="77777777" w:rsidR="00E76358" w:rsidRPr="00B77E48" w:rsidRDefault="00AD6FA7" w:rsidP="00E76358">
            <w:pPr>
              <w:jc w:val="both"/>
              <w:rPr>
                <w:b w:val="0"/>
                <w:color w:val="000000"/>
                <w:sz w:val="16"/>
                <w:szCs w:val="16"/>
              </w:rPr>
            </w:pPr>
            <w:bookmarkStart w:id="10" w:name="_Ref140830995"/>
            <w:r w:rsidRPr="00B77E48">
              <w:rPr>
                <w:rFonts w:eastAsia="Times New Roman" w:cs="Arial"/>
                <w:color w:val="FFFFFF"/>
                <w:sz w:val="16"/>
                <w:szCs w:val="16"/>
                <w:lang w:eastAsia="en-AU"/>
              </w:rPr>
              <w:t>State</w:t>
            </w:r>
          </w:p>
        </w:tc>
        <w:tc>
          <w:tcPr>
            <w:tcW w:w="3544" w:type="dxa"/>
            <w:tcBorders>
              <w:top w:val="single" w:sz="4" w:space="0" w:color="auto"/>
              <w:left w:val="single" w:sz="4" w:space="0" w:color="auto"/>
              <w:bottom w:val="single" w:sz="4" w:space="0" w:color="auto"/>
              <w:right w:val="single" w:sz="4" w:space="0" w:color="auto"/>
            </w:tcBorders>
            <w:noWrap/>
            <w:vAlign w:val="center"/>
          </w:tcPr>
          <w:p w14:paraId="7F94FDF8" w14:textId="77777777" w:rsidR="00E76358" w:rsidRPr="00B77E48" w:rsidRDefault="00AD6FA7" w:rsidP="00E76358">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77E48">
              <w:rPr>
                <w:rFonts w:eastAsia="Times New Roman" w:cs="Arial"/>
                <w:color w:val="FFFFFF"/>
                <w:sz w:val="16"/>
                <w:szCs w:val="16"/>
                <w:lang w:eastAsia="en-AU"/>
              </w:rPr>
              <w:t>SDL resource unit</w:t>
            </w:r>
          </w:p>
        </w:tc>
        <w:tc>
          <w:tcPr>
            <w:tcW w:w="992" w:type="dxa"/>
            <w:tcBorders>
              <w:top w:val="single" w:sz="4" w:space="0" w:color="auto"/>
              <w:left w:val="single" w:sz="4" w:space="0" w:color="auto"/>
              <w:bottom w:val="single" w:sz="4" w:space="0" w:color="auto"/>
              <w:right w:val="single" w:sz="4" w:space="0" w:color="auto"/>
            </w:tcBorders>
            <w:vAlign w:val="center"/>
          </w:tcPr>
          <w:p w14:paraId="11E00C08" w14:textId="77777777" w:rsidR="00E76358" w:rsidRPr="00B77E48" w:rsidRDefault="00AD6FA7" w:rsidP="00E7635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SDL resource unit code</w:t>
            </w:r>
          </w:p>
        </w:tc>
        <w:tc>
          <w:tcPr>
            <w:tcW w:w="851" w:type="dxa"/>
            <w:tcBorders>
              <w:top w:val="single" w:sz="4" w:space="0" w:color="auto"/>
              <w:left w:val="single" w:sz="4" w:space="0" w:color="auto"/>
              <w:bottom w:val="single" w:sz="4" w:space="0" w:color="auto"/>
              <w:right w:val="single" w:sz="4" w:space="0" w:color="auto"/>
            </w:tcBorders>
            <w:vAlign w:val="center"/>
          </w:tcPr>
          <w:p w14:paraId="5B3A48F9" w14:textId="77777777" w:rsidR="00E76358" w:rsidRPr="00B77E48"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SDL</w:t>
            </w:r>
          </w:p>
        </w:tc>
        <w:tc>
          <w:tcPr>
            <w:tcW w:w="1134" w:type="dxa"/>
            <w:tcBorders>
              <w:top w:val="single" w:sz="4" w:space="0" w:color="auto"/>
              <w:left w:val="single" w:sz="4" w:space="0" w:color="auto"/>
              <w:bottom w:val="single" w:sz="4" w:space="0" w:color="auto"/>
              <w:right w:val="single" w:sz="4" w:space="0" w:color="auto"/>
            </w:tcBorders>
            <w:vAlign w:val="center"/>
          </w:tcPr>
          <w:p w14:paraId="660E6FE4" w14:textId="77777777" w:rsidR="00E76358" w:rsidRPr="00B77E48"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Annual Permitted Take</w:t>
            </w:r>
          </w:p>
        </w:tc>
        <w:tc>
          <w:tcPr>
            <w:tcW w:w="992" w:type="dxa"/>
            <w:tcBorders>
              <w:top w:val="single" w:sz="4" w:space="0" w:color="auto"/>
              <w:left w:val="single" w:sz="4" w:space="0" w:color="auto"/>
              <w:bottom w:val="single" w:sz="4" w:space="0" w:color="auto"/>
              <w:right w:val="single" w:sz="4" w:space="0" w:color="auto"/>
            </w:tcBorders>
            <w:vAlign w:val="center"/>
          </w:tcPr>
          <w:p w14:paraId="52E76C32" w14:textId="77777777" w:rsidR="00E76358" w:rsidRPr="00B77E48"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Annual Actual Take</w:t>
            </w:r>
          </w:p>
        </w:tc>
        <w:tc>
          <w:tcPr>
            <w:tcW w:w="1559" w:type="dxa"/>
            <w:tcBorders>
              <w:top w:val="single" w:sz="4" w:space="0" w:color="auto"/>
              <w:left w:val="single" w:sz="4" w:space="0" w:color="auto"/>
              <w:bottom w:val="single" w:sz="4" w:space="0" w:color="auto"/>
              <w:right w:val="single" w:sz="4" w:space="0" w:color="auto"/>
            </w:tcBorders>
            <w:noWrap/>
            <w:vAlign w:val="center"/>
          </w:tcPr>
          <w:p w14:paraId="132EA95C" w14:textId="3E58FB53" w:rsidR="00E76358" w:rsidRPr="006D6DDA"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Cumulative Permitted Take 202</w:t>
            </w:r>
            <w:r w:rsidR="00CE2ADA">
              <w:rPr>
                <w:rFonts w:eastAsia="Times New Roman" w:cs="Arial"/>
                <w:color w:val="FFFFFF"/>
                <w:sz w:val="16"/>
                <w:szCs w:val="16"/>
                <w:lang w:eastAsia="en-AU"/>
              </w:rPr>
              <w:t>0</w:t>
            </w:r>
            <w:r w:rsidRPr="00B77E48">
              <w:rPr>
                <w:rFonts w:eastAsia="Times New Roman" w:cs="Arial"/>
                <w:color w:val="FFFFFF"/>
                <w:sz w:val="16"/>
                <w:szCs w:val="16"/>
                <w:lang w:eastAsia="en-AU"/>
              </w:rPr>
              <w:t>-202</w:t>
            </w:r>
            <w:r w:rsidR="00CE2ADA">
              <w:rPr>
                <w:rFonts w:eastAsia="Times New Roman" w:cs="Arial"/>
                <w:color w:val="FFFFFF"/>
                <w:sz w:val="16"/>
                <w:szCs w:val="16"/>
                <w:lang w:eastAsia="en-AU"/>
              </w:rPr>
              <w:t>1</w:t>
            </w:r>
          </w:p>
        </w:tc>
        <w:tc>
          <w:tcPr>
            <w:tcW w:w="1418" w:type="dxa"/>
            <w:tcBorders>
              <w:top w:val="single" w:sz="4" w:space="0" w:color="auto"/>
              <w:left w:val="single" w:sz="4" w:space="0" w:color="auto"/>
              <w:bottom w:val="single" w:sz="4" w:space="0" w:color="auto"/>
              <w:right w:val="single" w:sz="4" w:space="0" w:color="auto"/>
            </w:tcBorders>
            <w:noWrap/>
            <w:vAlign w:val="center"/>
          </w:tcPr>
          <w:p w14:paraId="0023F72E" w14:textId="7D3EBF99" w:rsidR="00E76358" w:rsidRPr="006D6DDA"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Cumulative Actual Take 202</w:t>
            </w:r>
            <w:r w:rsidR="00CE2ADA">
              <w:rPr>
                <w:rFonts w:eastAsia="Times New Roman" w:cs="Arial"/>
                <w:color w:val="FFFFFF"/>
                <w:sz w:val="16"/>
                <w:szCs w:val="16"/>
                <w:lang w:eastAsia="en-AU"/>
              </w:rPr>
              <w:t>0</w:t>
            </w:r>
            <w:r w:rsidRPr="00B77E48">
              <w:rPr>
                <w:rFonts w:eastAsia="Times New Roman" w:cs="Arial"/>
                <w:color w:val="FFFFFF"/>
                <w:sz w:val="16"/>
                <w:szCs w:val="16"/>
                <w:lang w:eastAsia="en-AU"/>
              </w:rPr>
              <w:t>-202</w:t>
            </w:r>
            <w:r w:rsidR="00CE2ADA">
              <w:rPr>
                <w:rFonts w:eastAsia="Times New Roman" w:cs="Arial"/>
                <w:color w:val="FFFFFF"/>
                <w:sz w:val="16"/>
                <w:szCs w:val="16"/>
                <w:lang w:eastAsia="en-AU"/>
              </w:rPr>
              <w:t>1</w:t>
            </w:r>
          </w:p>
        </w:tc>
        <w:tc>
          <w:tcPr>
            <w:tcW w:w="1559" w:type="dxa"/>
            <w:tcBorders>
              <w:top w:val="single" w:sz="4" w:space="0" w:color="auto"/>
              <w:left w:val="single" w:sz="4" w:space="0" w:color="auto"/>
              <w:bottom w:val="single" w:sz="4" w:space="0" w:color="auto"/>
              <w:right w:val="single" w:sz="4" w:space="0" w:color="auto"/>
            </w:tcBorders>
            <w:vAlign w:val="center"/>
          </w:tcPr>
          <w:p w14:paraId="7ECE617F" w14:textId="1B0C58BF" w:rsidR="00E76358" w:rsidRPr="006D6DDA"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6D6DDA">
              <w:rPr>
                <w:rFonts w:eastAsia="Times New Roman" w:cs="Arial"/>
                <w:color w:val="FFFFFF"/>
                <w:sz w:val="16"/>
                <w:szCs w:val="16"/>
                <w:lang w:eastAsia="en-AU"/>
              </w:rPr>
              <w:t>Adjustments</w:t>
            </w:r>
            <w:r>
              <w:rPr>
                <w:rFonts w:eastAsia="Times New Roman" w:cs="Arial"/>
                <w:color w:val="FFFFFF"/>
                <w:sz w:val="16"/>
                <w:szCs w:val="16"/>
                <w:lang w:eastAsia="en-AU"/>
              </w:rPr>
              <w:t xml:space="preserve"> for incomplete water recovery</w:t>
            </w:r>
            <w:r w:rsidR="00423C94">
              <w:rPr>
                <w:rFonts w:eastAsia="Times New Roman" w:cs="Arial"/>
                <w:color w:val="FFFFFF"/>
                <w:sz w:val="16"/>
                <w:szCs w:val="16"/>
                <w:lang w:eastAsia="en-AU"/>
              </w:rPr>
              <w:t xml:space="preserve"> (cumulative)</w:t>
            </w:r>
          </w:p>
        </w:tc>
        <w:tc>
          <w:tcPr>
            <w:tcW w:w="992" w:type="dxa"/>
            <w:tcBorders>
              <w:top w:val="single" w:sz="4" w:space="0" w:color="auto"/>
              <w:left w:val="single" w:sz="4" w:space="0" w:color="auto"/>
              <w:bottom w:val="single" w:sz="4" w:space="0" w:color="auto"/>
              <w:right w:val="single" w:sz="4" w:space="0" w:color="auto"/>
            </w:tcBorders>
            <w:noWrap/>
            <w:vAlign w:val="center"/>
          </w:tcPr>
          <w:p w14:paraId="4E7F3169" w14:textId="77777777" w:rsidR="00E76358" w:rsidRPr="006D6DDA"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20% of SDL</w:t>
            </w:r>
          </w:p>
        </w:tc>
        <w:tc>
          <w:tcPr>
            <w:tcW w:w="1559" w:type="dxa"/>
            <w:tcBorders>
              <w:top w:val="single" w:sz="4" w:space="0" w:color="auto"/>
              <w:left w:val="single" w:sz="4" w:space="0" w:color="auto"/>
              <w:bottom w:val="single" w:sz="4" w:space="0" w:color="auto"/>
              <w:right w:val="single" w:sz="4" w:space="0" w:color="auto"/>
            </w:tcBorders>
            <w:noWrap/>
            <w:vAlign w:val="center"/>
          </w:tcPr>
          <w:p w14:paraId="00975D25" w14:textId="0FDDE675" w:rsidR="00E76358" w:rsidRPr="006D6DDA" w:rsidRDefault="00AD6FA7" w:rsidP="00CC763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16"/>
                <w:szCs w:val="16"/>
                <w:lang w:eastAsia="en-AU"/>
              </w:rPr>
            </w:pPr>
            <w:r w:rsidRPr="00B77E48">
              <w:rPr>
                <w:rFonts w:eastAsia="Times New Roman" w:cs="Arial"/>
                <w:color w:val="FFFFFF"/>
                <w:sz w:val="16"/>
                <w:szCs w:val="16"/>
                <w:lang w:eastAsia="en-AU"/>
              </w:rPr>
              <w:t>Cumulative Permitted Take</w:t>
            </w:r>
            <w:r w:rsidR="00C07630">
              <w:rPr>
                <w:rFonts w:eastAsia="Times New Roman" w:cs="Arial"/>
                <w:color w:val="FFFFFF"/>
                <w:sz w:val="16"/>
                <w:szCs w:val="16"/>
                <w:lang w:eastAsia="en-AU"/>
              </w:rPr>
              <w:t xml:space="preserve"> 2021-2022</w:t>
            </w:r>
          </w:p>
        </w:tc>
        <w:tc>
          <w:tcPr>
            <w:tcW w:w="1276" w:type="dxa"/>
            <w:tcBorders>
              <w:top w:val="single" w:sz="4" w:space="0" w:color="auto"/>
              <w:left w:val="single" w:sz="4" w:space="0" w:color="auto"/>
              <w:bottom w:val="single" w:sz="4" w:space="0" w:color="auto"/>
              <w:right w:val="single" w:sz="4" w:space="0" w:color="auto"/>
            </w:tcBorders>
            <w:noWrap/>
            <w:vAlign w:val="center"/>
          </w:tcPr>
          <w:p w14:paraId="49DCF94E" w14:textId="578F6687" w:rsidR="00E76358" w:rsidRPr="00B77E48" w:rsidRDefault="00AD6FA7" w:rsidP="00CC7639">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16"/>
                <w:szCs w:val="16"/>
              </w:rPr>
            </w:pPr>
            <w:r w:rsidRPr="00B77E48">
              <w:rPr>
                <w:rFonts w:eastAsia="Times New Roman" w:cs="Arial"/>
                <w:color w:val="FFFFFF"/>
                <w:sz w:val="16"/>
                <w:szCs w:val="16"/>
                <w:lang w:eastAsia="en-AU"/>
              </w:rPr>
              <w:t>Cumulative Actual Take</w:t>
            </w:r>
            <w:r w:rsidR="00C07630">
              <w:rPr>
                <w:rFonts w:eastAsia="Times New Roman" w:cs="Arial"/>
                <w:color w:val="FFFFFF"/>
                <w:sz w:val="16"/>
                <w:szCs w:val="16"/>
                <w:lang w:eastAsia="en-AU"/>
              </w:rPr>
              <w:t xml:space="preserve"> 2021-2022</w:t>
            </w:r>
          </w:p>
        </w:tc>
        <w:tc>
          <w:tcPr>
            <w:tcW w:w="1559" w:type="dxa"/>
            <w:tcBorders>
              <w:top w:val="single" w:sz="4" w:space="0" w:color="auto"/>
              <w:left w:val="single" w:sz="4" w:space="0" w:color="auto"/>
              <w:bottom w:val="single" w:sz="4" w:space="0" w:color="auto"/>
              <w:right w:val="single" w:sz="4" w:space="0" w:color="auto"/>
            </w:tcBorders>
            <w:noWrap/>
            <w:vAlign w:val="center"/>
          </w:tcPr>
          <w:p w14:paraId="3D550D43" w14:textId="77777777" w:rsidR="00E76358" w:rsidRPr="00B77E48" w:rsidRDefault="00AD6FA7" w:rsidP="00CC7639">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16"/>
                <w:szCs w:val="16"/>
              </w:rPr>
            </w:pPr>
            <w:r w:rsidRPr="00B77E48">
              <w:rPr>
                <w:rFonts w:cs="Arial"/>
                <w:color w:val="FFFFFF"/>
                <w:sz w:val="16"/>
                <w:szCs w:val="16"/>
              </w:rPr>
              <w:t>SDL Compliance Threshold</w:t>
            </w:r>
          </w:p>
        </w:tc>
        <w:tc>
          <w:tcPr>
            <w:tcW w:w="1418" w:type="dxa"/>
            <w:tcBorders>
              <w:top w:val="single" w:sz="4" w:space="0" w:color="auto"/>
              <w:left w:val="single" w:sz="4" w:space="0" w:color="auto"/>
              <w:bottom w:val="single" w:sz="4" w:space="0" w:color="auto"/>
              <w:right w:val="single" w:sz="4" w:space="0" w:color="auto"/>
            </w:tcBorders>
            <w:noWrap/>
            <w:vAlign w:val="center"/>
          </w:tcPr>
          <w:p w14:paraId="02EAA62D" w14:textId="77777777" w:rsidR="00E76358" w:rsidRPr="00B77E48" w:rsidRDefault="00AD6FA7" w:rsidP="00E76358">
            <w:pPr>
              <w:jc w:val="center"/>
              <w:cnfStyle w:val="100000000000" w:firstRow="1" w:lastRow="0" w:firstColumn="0" w:lastColumn="0" w:oddVBand="0" w:evenVBand="0" w:oddHBand="0" w:evenHBand="0" w:firstRowFirstColumn="0" w:firstRowLastColumn="0" w:lastRowFirstColumn="0" w:lastRowLastColumn="0"/>
              <w:rPr>
                <w:rFonts w:cs="Arial"/>
                <w:b w:val="0"/>
                <w:color w:val="FFFFFF"/>
                <w:sz w:val="16"/>
                <w:szCs w:val="16"/>
              </w:rPr>
            </w:pPr>
            <w:r w:rsidRPr="00B77E48">
              <w:rPr>
                <w:rFonts w:cs="Arial"/>
                <w:color w:val="FFFFFF"/>
                <w:sz w:val="16"/>
                <w:szCs w:val="16"/>
              </w:rPr>
              <w:t xml:space="preserve">SDL </w:t>
            </w:r>
            <w:r>
              <w:rPr>
                <w:rFonts w:cs="Arial"/>
                <w:color w:val="FFFFFF"/>
                <w:sz w:val="16"/>
                <w:szCs w:val="16"/>
              </w:rPr>
              <w:t>E</w:t>
            </w:r>
            <w:r w:rsidRPr="00B77E48">
              <w:rPr>
                <w:rFonts w:cs="Arial"/>
                <w:color w:val="FFFFFF"/>
                <w:sz w:val="16"/>
                <w:szCs w:val="16"/>
              </w:rPr>
              <w:t>xce</w:t>
            </w:r>
            <w:r>
              <w:rPr>
                <w:rFonts w:cs="Arial"/>
                <w:color w:val="FFFFFF"/>
                <w:sz w:val="16"/>
                <w:szCs w:val="16"/>
              </w:rPr>
              <w:t>ss</w:t>
            </w:r>
          </w:p>
        </w:tc>
      </w:tr>
      <w:tr w:rsidR="004C4006" w14:paraId="2E7D58BB"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tcBorders>
            <w:noWrap/>
            <w:vAlign w:val="center"/>
            <w:hideMark/>
          </w:tcPr>
          <w:p w14:paraId="32688EE0"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tcBorders>
              <w:top w:val="single" w:sz="4" w:space="0" w:color="auto"/>
            </w:tcBorders>
            <w:noWrap/>
            <w:vAlign w:val="center"/>
            <w:hideMark/>
          </w:tcPr>
          <w:p w14:paraId="703DECD5" w14:textId="77777777" w:rsidR="00E76358" w:rsidRPr="00A30033"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color w:val="000000"/>
                <w:sz w:val="18"/>
                <w:szCs w:val="18"/>
              </w:rPr>
              <w:t>Queensland Border Rivers Alluvium</w:t>
            </w:r>
          </w:p>
        </w:tc>
        <w:tc>
          <w:tcPr>
            <w:tcW w:w="992" w:type="dxa"/>
            <w:tcBorders>
              <w:top w:val="single" w:sz="4" w:space="0" w:color="auto"/>
            </w:tcBorders>
          </w:tcPr>
          <w:p w14:paraId="12B38FD5"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sz w:val="18"/>
                <w:szCs w:val="18"/>
              </w:rPr>
              <w:t>GS54</w:t>
            </w:r>
          </w:p>
        </w:tc>
        <w:tc>
          <w:tcPr>
            <w:tcW w:w="851" w:type="dxa"/>
            <w:tcBorders>
              <w:top w:val="single" w:sz="4" w:space="0" w:color="auto"/>
            </w:tcBorders>
            <w:vAlign w:val="center"/>
          </w:tcPr>
          <w:p w14:paraId="0DA199F3" w14:textId="1B9AE4C4"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14.0</w:t>
            </w:r>
          </w:p>
        </w:tc>
        <w:tc>
          <w:tcPr>
            <w:tcW w:w="1134" w:type="dxa"/>
            <w:tcBorders>
              <w:top w:val="single" w:sz="4" w:space="0" w:color="auto"/>
            </w:tcBorders>
          </w:tcPr>
          <w:p w14:paraId="0B9BC244" w14:textId="2046E3AF"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14.0</w:t>
            </w:r>
          </w:p>
        </w:tc>
        <w:tc>
          <w:tcPr>
            <w:tcW w:w="992" w:type="dxa"/>
            <w:tcBorders>
              <w:top w:val="single" w:sz="4" w:space="0" w:color="auto"/>
            </w:tcBorders>
          </w:tcPr>
          <w:p w14:paraId="71786D03"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9.03</w:t>
            </w:r>
          </w:p>
        </w:tc>
        <w:tc>
          <w:tcPr>
            <w:tcW w:w="1559" w:type="dxa"/>
            <w:tcBorders>
              <w:top w:val="single" w:sz="4" w:space="0" w:color="auto"/>
            </w:tcBorders>
            <w:noWrap/>
          </w:tcPr>
          <w:p w14:paraId="33FB02C7" w14:textId="5A99780E"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28.0</w:t>
            </w:r>
          </w:p>
        </w:tc>
        <w:tc>
          <w:tcPr>
            <w:tcW w:w="1418" w:type="dxa"/>
            <w:tcBorders>
              <w:top w:val="single" w:sz="4" w:space="0" w:color="auto"/>
            </w:tcBorders>
            <w:noWrap/>
          </w:tcPr>
          <w:p w14:paraId="3FA65B58" w14:textId="4C9F95DD"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24.6</w:t>
            </w:r>
          </w:p>
        </w:tc>
        <w:tc>
          <w:tcPr>
            <w:tcW w:w="1559" w:type="dxa"/>
            <w:tcBorders>
              <w:top w:val="single" w:sz="4" w:space="0" w:color="auto"/>
            </w:tcBorders>
            <w:vAlign w:val="center"/>
          </w:tcPr>
          <w:p w14:paraId="6C0B0AA5"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tcBorders>
              <w:top w:val="single" w:sz="4" w:space="0" w:color="auto"/>
            </w:tcBorders>
            <w:noWrap/>
            <w:vAlign w:val="center"/>
          </w:tcPr>
          <w:p w14:paraId="7EA4474F"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2.80</w:t>
            </w:r>
          </w:p>
        </w:tc>
        <w:tc>
          <w:tcPr>
            <w:tcW w:w="1559" w:type="dxa"/>
            <w:tcBorders>
              <w:top w:val="single" w:sz="4" w:space="0" w:color="auto"/>
            </w:tcBorders>
            <w:noWrap/>
            <w:vAlign w:val="center"/>
          </w:tcPr>
          <w:p w14:paraId="7F50AD23" w14:textId="214524E4"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42.0</w:t>
            </w:r>
          </w:p>
        </w:tc>
        <w:tc>
          <w:tcPr>
            <w:tcW w:w="1276" w:type="dxa"/>
            <w:tcBorders>
              <w:top w:val="single" w:sz="4" w:space="0" w:color="auto"/>
            </w:tcBorders>
            <w:noWrap/>
            <w:vAlign w:val="center"/>
          </w:tcPr>
          <w:p w14:paraId="550F1944" w14:textId="74A4FDFD"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33.6</w:t>
            </w:r>
          </w:p>
        </w:tc>
        <w:tc>
          <w:tcPr>
            <w:tcW w:w="1559" w:type="dxa"/>
            <w:tcBorders>
              <w:top w:val="single" w:sz="4" w:space="0" w:color="auto"/>
            </w:tcBorders>
            <w:noWrap/>
            <w:vAlign w:val="center"/>
          </w:tcPr>
          <w:p w14:paraId="3F4921CA" w14:textId="78B0D7D4"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44.8</w:t>
            </w:r>
          </w:p>
        </w:tc>
        <w:tc>
          <w:tcPr>
            <w:tcW w:w="1418" w:type="dxa"/>
            <w:tcBorders>
              <w:top w:val="single" w:sz="4" w:space="0" w:color="auto"/>
            </w:tcBorders>
            <w:noWrap/>
            <w:vAlign w:val="center"/>
          </w:tcPr>
          <w:p w14:paraId="73A22549"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03C85F96"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9C1D77A"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3C74191F" w14:textId="77777777" w:rsidR="00E76358" w:rsidRPr="00A30033"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color w:val="000000"/>
                <w:sz w:val="18"/>
                <w:szCs w:val="18"/>
              </w:rPr>
              <w:t>Queensland Border Rivers Fractured Rock</w:t>
            </w:r>
          </w:p>
        </w:tc>
        <w:tc>
          <w:tcPr>
            <w:tcW w:w="992" w:type="dxa"/>
          </w:tcPr>
          <w:p w14:paraId="4CF47DC6"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sz w:val="18"/>
                <w:szCs w:val="18"/>
              </w:rPr>
              <w:t>GS55</w:t>
            </w:r>
          </w:p>
        </w:tc>
        <w:tc>
          <w:tcPr>
            <w:tcW w:w="851" w:type="dxa"/>
            <w:vAlign w:val="center"/>
          </w:tcPr>
          <w:p w14:paraId="5A89E1A8" w14:textId="3354E936"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10.5</w:t>
            </w:r>
          </w:p>
        </w:tc>
        <w:tc>
          <w:tcPr>
            <w:tcW w:w="1134" w:type="dxa"/>
            <w:vAlign w:val="center"/>
          </w:tcPr>
          <w:p w14:paraId="76A2C3DE" w14:textId="5B838692"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10.5</w:t>
            </w:r>
          </w:p>
        </w:tc>
        <w:tc>
          <w:tcPr>
            <w:tcW w:w="992" w:type="dxa"/>
            <w:vAlign w:val="center"/>
          </w:tcPr>
          <w:p w14:paraId="5D4113AF"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8.83</w:t>
            </w:r>
          </w:p>
        </w:tc>
        <w:tc>
          <w:tcPr>
            <w:tcW w:w="1559" w:type="dxa"/>
            <w:noWrap/>
            <w:vAlign w:val="center"/>
          </w:tcPr>
          <w:p w14:paraId="249CFA1E" w14:textId="5FCE739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21.0</w:t>
            </w:r>
          </w:p>
        </w:tc>
        <w:tc>
          <w:tcPr>
            <w:tcW w:w="1418" w:type="dxa"/>
            <w:noWrap/>
            <w:vAlign w:val="center"/>
          </w:tcPr>
          <w:p w14:paraId="353406B3" w14:textId="0E355EEB"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17.8</w:t>
            </w:r>
          </w:p>
        </w:tc>
        <w:tc>
          <w:tcPr>
            <w:tcW w:w="1559" w:type="dxa"/>
            <w:vAlign w:val="center"/>
          </w:tcPr>
          <w:p w14:paraId="27F1C48A"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010DAEDD"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2.10</w:t>
            </w:r>
          </w:p>
        </w:tc>
        <w:tc>
          <w:tcPr>
            <w:tcW w:w="1559" w:type="dxa"/>
            <w:noWrap/>
            <w:vAlign w:val="center"/>
          </w:tcPr>
          <w:p w14:paraId="04FA07C4" w14:textId="308728E6"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31.5</w:t>
            </w:r>
          </w:p>
        </w:tc>
        <w:tc>
          <w:tcPr>
            <w:tcW w:w="1276" w:type="dxa"/>
            <w:noWrap/>
            <w:vAlign w:val="center"/>
          </w:tcPr>
          <w:p w14:paraId="07089584" w14:textId="4C38DCFD"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26.6</w:t>
            </w:r>
          </w:p>
        </w:tc>
        <w:tc>
          <w:tcPr>
            <w:tcW w:w="1559" w:type="dxa"/>
            <w:noWrap/>
            <w:vAlign w:val="center"/>
          </w:tcPr>
          <w:p w14:paraId="6F5CA779" w14:textId="3C82C328"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33.6</w:t>
            </w:r>
          </w:p>
        </w:tc>
        <w:tc>
          <w:tcPr>
            <w:tcW w:w="1418" w:type="dxa"/>
            <w:noWrap/>
            <w:vAlign w:val="center"/>
          </w:tcPr>
          <w:p w14:paraId="5091C892"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5F87BFCC"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907A91A"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75EF1958" w14:textId="77777777" w:rsidR="00E76358" w:rsidRPr="00A30033"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color w:val="000000"/>
                <w:sz w:val="18"/>
                <w:szCs w:val="18"/>
              </w:rPr>
              <w:t>Sediments above the Great Artesian Basin: Border Rivers-Moonie</w:t>
            </w:r>
          </w:p>
        </w:tc>
        <w:tc>
          <w:tcPr>
            <w:tcW w:w="992" w:type="dxa"/>
          </w:tcPr>
          <w:p w14:paraId="70AC2912"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sz w:val="18"/>
                <w:szCs w:val="18"/>
              </w:rPr>
              <w:t>GS57</w:t>
            </w:r>
          </w:p>
        </w:tc>
        <w:tc>
          <w:tcPr>
            <w:tcW w:w="851" w:type="dxa"/>
            <w:vAlign w:val="center"/>
          </w:tcPr>
          <w:p w14:paraId="17B08B28" w14:textId="7F85A8EC"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46.9</w:t>
            </w:r>
          </w:p>
        </w:tc>
        <w:tc>
          <w:tcPr>
            <w:tcW w:w="1134" w:type="dxa"/>
            <w:vAlign w:val="center"/>
          </w:tcPr>
          <w:p w14:paraId="6AD73B7F" w14:textId="45AE6C4E"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46.9</w:t>
            </w:r>
          </w:p>
        </w:tc>
        <w:tc>
          <w:tcPr>
            <w:tcW w:w="992" w:type="dxa"/>
            <w:vAlign w:val="center"/>
          </w:tcPr>
          <w:p w14:paraId="5E12594B"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0.52</w:t>
            </w:r>
          </w:p>
        </w:tc>
        <w:tc>
          <w:tcPr>
            <w:tcW w:w="1559" w:type="dxa"/>
            <w:noWrap/>
            <w:vAlign w:val="center"/>
          </w:tcPr>
          <w:p w14:paraId="00F86A4A" w14:textId="4F7DCEDE"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93.8</w:t>
            </w:r>
          </w:p>
        </w:tc>
        <w:tc>
          <w:tcPr>
            <w:tcW w:w="1418" w:type="dxa"/>
            <w:noWrap/>
            <w:vAlign w:val="center"/>
          </w:tcPr>
          <w:p w14:paraId="55125CC4"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1.03</w:t>
            </w:r>
          </w:p>
        </w:tc>
        <w:tc>
          <w:tcPr>
            <w:tcW w:w="1559" w:type="dxa"/>
            <w:vAlign w:val="center"/>
          </w:tcPr>
          <w:p w14:paraId="3C7DBAC6"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3E730EA1"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9.38</w:t>
            </w:r>
          </w:p>
        </w:tc>
        <w:tc>
          <w:tcPr>
            <w:tcW w:w="1559" w:type="dxa"/>
            <w:noWrap/>
            <w:vAlign w:val="center"/>
          </w:tcPr>
          <w:p w14:paraId="5F050204" w14:textId="2875EF05"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140.7</w:t>
            </w:r>
          </w:p>
        </w:tc>
        <w:tc>
          <w:tcPr>
            <w:tcW w:w="1276" w:type="dxa"/>
            <w:noWrap/>
            <w:vAlign w:val="center"/>
          </w:tcPr>
          <w:p w14:paraId="5E2B30E3"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1.54</w:t>
            </w:r>
          </w:p>
        </w:tc>
        <w:tc>
          <w:tcPr>
            <w:tcW w:w="1559" w:type="dxa"/>
            <w:noWrap/>
            <w:vAlign w:val="center"/>
          </w:tcPr>
          <w:p w14:paraId="39FF61B6" w14:textId="4F5F5A86"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150.1</w:t>
            </w:r>
          </w:p>
        </w:tc>
        <w:tc>
          <w:tcPr>
            <w:tcW w:w="1418" w:type="dxa"/>
            <w:noWrap/>
            <w:vAlign w:val="center"/>
          </w:tcPr>
          <w:p w14:paraId="15545684"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7E2A88BF"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5D5D7A3"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27BE82F3" w14:textId="77777777" w:rsidR="00E76358" w:rsidRPr="00A30033"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color w:val="000000"/>
                <w:sz w:val="18"/>
                <w:szCs w:val="18"/>
              </w:rPr>
              <w:t>St George Alluvium: Moonie</w:t>
            </w:r>
          </w:p>
        </w:tc>
        <w:tc>
          <w:tcPr>
            <w:tcW w:w="992" w:type="dxa"/>
          </w:tcPr>
          <w:p w14:paraId="52B26C22"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sz w:val="18"/>
                <w:szCs w:val="18"/>
              </w:rPr>
              <w:t>GS62</w:t>
            </w:r>
          </w:p>
        </w:tc>
        <w:tc>
          <w:tcPr>
            <w:tcW w:w="851" w:type="dxa"/>
            <w:vAlign w:val="center"/>
          </w:tcPr>
          <w:p w14:paraId="21EB359C"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0.69</w:t>
            </w:r>
          </w:p>
        </w:tc>
        <w:tc>
          <w:tcPr>
            <w:tcW w:w="1134" w:type="dxa"/>
            <w:vAlign w:val="center"/>
          </w:tcPr>
          <w:p w14:paraId="577472AB"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0.69</w:t>
            </w:r>
          </w:p>
        </w:tc>
        <w:tc>
          <w:tcPr>
            <w:tcW w:w="992" w:type="dxa"/>
            <w:vAlign w:val="center"/>
          </w:tcPr>
          <w:p w14:paraId="295FF186"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0.02</w:t>
            </w:r>
          </w:p>
        </w:tc>
        <w:tc>
          <w:tcPr>
            <w:tcW w:w="1559" w:type="dxa"/>
            <w:noWrap/>
            <w:vAlign w:val="center"/>
          </w:tcPr>
          <w:p w14:paraId="60C16EA1"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1.38</w:t>
            </w:r>
          </w:p>
        </w:tc>
        <w:tc>
          <w:tcPr>
            <w:tcW w:w="1418" w:type="dxa"/>
            <w:noWrap/>
            <w:vAlign w:val="center"/>
          </w:tcPr>
          <w:p w14:paraId="77BE053B"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0.04</w:t>
            </w:r>
          </w:p>
        </w:tc>
        <w:tc>
          <w:tcPr>
            <w:tcW w:w="1559" w:type="dxa"/>
            <w:vAlign w:val="center"/>
          </w:tcPr>
          <w:p w14:paraId="4FDB941B"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35CDAA66"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0.14</w:t>
            </w:r>
          </w:p>
        </w:tc>
        <w:tc>
          <w:tcPr>
            <w:tcW w:w="1559" w:type="dxa"/>
            <w:noWrap/>
            <w:vAlign w:val="center"/>
          </w:tcPr>
          <w:p w14:paraId="2E0ED5AF"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2.07</w:t>
            </w:r>
          </w:p>
        </w:tc>
        <w:tc>
          <w:tcPr>
            <w:tcW w:w="1276" w:type="dxa"/>
            <w:noWrap/>
            <w:vAlign w:val="center"/>
          </w:tcPr>
          <w:p w14:paraId="0A28711F"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0.06</w:t>
            </w:r>
          </w:p>
        </w:tc>
        <w:tc>
          <w:tcPr>
            <w:tcW w:w="1559" w:type="dxa"/>
            <w:noWrap/>
            <w:vAlign w:val="center"/>
          </w:tcPr>
          <w:p w14:paraId="4C885DDF"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2.21</w:t>
            </w:r>
          </w:p>
        </w:tc>
        <w:tc>
          <w:tcPr>
            <w:tcW w:w="1418" w:type="dxa"/>
            <w:noWrap/>
            <w:vAlign w:val="center"/>
          </w:tcPr>
          <w:p w14:paraId="268602EA"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21B6C8B5"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0CCFB00"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12C61355" w14:textId="77777777" w:rsidR="00E76358" w:rsidRPr="00A30033"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color w:val="000000"/>
                <w:sz w:val="18"/>
                <w:szCs w:val="18"/>
              </w:rPr>
              <w:t>Condamine Fractured Rock</w:t>
            </w:r>
          </w:p>
        </w:tc>
        <w:tc>
          <w:tcPr>
            <w:tcW w:w="992" w:type="dxa"/>
          </w:tcPr>
          <w:p w14:paraId="53E05FAC"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sz w:val="18"/>
                <w:szCs w:val="18"/>
              </w:rPr>
              <w:t>GS53</w:t>
            </w:r>
          </w:p>
        </w:tc>
        <w:tc>
          <w:tcPr>
            <w:tcW w:w="851" w:type="dxa"/>
            <w:vAlign w:val="center"/>
          </w:tcPr>
          <w:p w14:paraId="61C32160"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1.48</w:t>
            </w:r>
          </w:p>
        </w:tc>
        <w:tc>
          <w:tcPr>
            <w:tcW w:w="1134" w:type="dxa"/>
            <w:vAlign w:val="center"/>
          </w:tcPr>
          <w:p w14:paraId="15E43C31"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1.48</w:t>
            </w:r>
          </w:p>
        </w:tc>
        <w:tc>
          <w:tcPr>
            <w:tcW w:w="992" w:type="dxa"/>
            <w:vAlign w:val="center"/>
          </w:tcPr>
          <w:p w14:paraId="6FE5CEE2"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0.63</w:t>
            </w:r>
          </w:p>
        </w:tc>
        <w:tc>
          <w:tcPr>
            <w:tcW w:w="1559" w:type="dxa"/>
            <w:noWrap/>
            <w:vAlign w:val="center"/>
          </w:tcPr>
          <w:p w14:paraId="5E3E9EF3"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2.96</w:t>
            </w:r>
          </w:p>
        </w:tc>
        <w:tc>
          <w:tcPr>
            <w:tcW w:w="1418" w:type="dxa"/>
            <w:noWrap/>
            <w:vAlign w:val="center"/>
          </w:tcPr>
          <w:p w14:paraId="2364AB04"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1.33</w:t>
            </w:r>
          </w:p>
        </w:tc>
        <w:tc>
          <w:tcPr>
            <w:tcW w:w="1559" w:type="dxa"/>
            <w:vAlign w:val="center"/>
          </w:tcPr>
          <w:p w14:paraId="68019104"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1F253B1E"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0.30</w:t>
            </w:r>
          </w:p>
        </w:tc>
        <w:tc>
          <w:tcPr>
            <w:tcW w:w="1559" w:type="dxa"/>
            <w:noWrap/>
            <w:vAlign w:val="center"/>
          </w:tcPr>
          <w:p w14:paraId="7259C09E"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4.44</w:t>
            </w:r>
          </w:p>
        </w:tc>
        <w:tc>
          <w:tcPr>
            <w:tcW w:w="1276" w:type="dxa"/>
            <w:noWrap/>
            <w:vAlign w:val="center"/>
          </w:tcPr>
          <w:p w14:paraId="783F5B9D"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1.96</w:t>
            </w:r>
          </w:p>
        </w:tc>
        <w:tc>
          <w:tcPr>
            <w:tcW w:w="1559" w:type="dxa"/>
            <w:noWrap/>
            <w:vAlign w:val="center"/>
          </w:tcPr>
          <w:p w14:paraId="31AA9DBB"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4.74</w:t>
            </w:r>
          </w:p>
        </w:tc>
        <w:tc>
          <w:tcPr>
            <w:tcW w:w="1418" w:type="dxa"/>
            <w:noWrap/>
            <w:vAlign w:val="center"/>
          </w:tcPr>
          <w:p w14:paraId="7971E6F9"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2341A5D2"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C3E911B"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0751B259" w14:textId="77777777" w:rsidR="00E76358" w:rsidRPr="00A30033"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color w:val="000000"/>
                <w:sz w:val="18"/>
                <w:szCs w:val="18"/>
              </w:rPr>
              <w:t>Queensland MDB: deep</w:t>
            </w:r>
          </w:p>
        </w:tc>
        <w:tc>
          <w:tcPr>
            <w:tcW w:w="992" w:type="dxa"/>
          </w:tcPr>
          <w:p w14:paraId="6433A56B"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sz w:val="18"/>
                <w:szCs w:val="18"/>
              </w:rPr>
              <w:t>GS56</w:t>
            </w:r>
          </w:p>
        </w:tc>
        <w:tc>
          <w:tcPr>
            <w:tcW w:w="851" w:type="dxa"/>
            <w:vAlign w:val="center"/>
          </w:tcPr>
          <w:p w14:paraId="2C5DF6B4" w14:textId="18209A01"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100.0</w:t>
            </w:r>
          </w:p>
        </w:tc>
        <w:tc>
          <w:tcPr>
            <w:tcW w:w="1134" w:type="dxa"/>
            <w:vAlign w:val="center"/>
          </w:tcPr>
          <w:p w14:paraId="2BCE2265" w14:textId="35C0CB3E"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100.0</w:t>
            </w:r>
          </w:p>
        </w:tc>
        <w:tc>
          <w:tcPr>
            <w:tcW w:w="992" w:type="dxa"/>
            <w:vAlign w:val="center"/>
          </w:tcPr>
          <w:p w14:paraId="1E0A4FB7"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0.00</w:t>
            </w:r>
          </w:p>
        </w:tc>
        <w:tc>
          <w:tcPr>
            <w:tcW w:w="1559" w:type="dxa"/>
            <w:noWrap/>
            <w:vAlign w:val="center"/>
          </w:tcPr>
          <w:p w14:paraId="0CA0DCDA" w14:textId="4041C9D0"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200.0</w:t>
            </w:r>
          </w:p>
        </w:tc>
        <w:tc>
          <w:tcPr>
            <w:tcW w:w="1418" w:type="dxa"/>
            <w:noWrap/>
            <w:vAlign w:val="center"/>
          </w:tcPr>
          <w:p w14:paraId="1245419C"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1559" w:type="dxa"/>
            <w:vAlign w:val="center"/>
          </w:tcPr>
          <w:p w14:paraId="05F2A9CF"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49691D26" w14:textId="36E8048F"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20.0</w:t>
            </w:r>
          </w:p>
        </w:tc>
        <w:tc>
          <w:tcPr>
            <w:tcW w:w="1559" w:type="dxa"/>
            <w:noWrap/>
            <w:vAlign w:val="center"/>
          </w:tcPr>
          <w:p w14:paraId="6090286C" w14:textId="7E03AD2C"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300.0</w:t>
            </w:r>
          </w:p>
        </w:tc>
        <w:tc>
          <w:tcPr>
            <w:tcW w:w="1276" w:type="dxa"/>
            <w:noWrap/>
            <w:vAlign w:val="center"/>
          </w:tcPr>
          <w:p w14:paraId="156BAD79"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1559" w:type="dxa"/>
            <w:noWrap/>
            <w:vAlign w:val="center"/>
          </w:tcPr>
          <w:p w14:paraId="5EEAC68F" w14:textId="6E177F45"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320.0</w:t>
            </w:r>
          </w:p>
        </w:tc>
        <w:tc>
          <w:tcPr>
            <w:tcW w:w="1418" w:type="dxa"/>
            <w:noWrap/>
            <w:vAlign w:val="center"/>
          </w:tcPr>
          <w:p w14:paraId="6FD0405A"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679E9AB7"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28833D23"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4DCD2501" w14:textId="77777777" w:rsidR="00E76358" w:rsidRPr="00A30033"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color w:val="000000"/>
                <w:sz w:val="18"/>
                <w:szCs w:val="18"/>
              </w:rPr>
              <w:t>Sediments above the Great Artesian Basin: Condamine–Balonne</w:t>
            </w:r>
          </w:p>
        </w:tc>
        <w:tc>
          <w:tcPr>
            <w:tcW w:w="992" w:type="dxa"/>
          </w:tcPr>
          <w:p w14:paraId="52118788"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sz w:val="18"/>
                <w:szCs w:val="18"/>
              </w:rPr>
              <w:t>GS58</w:t>
            </w:r>
          </w:p>
        </w:tc>
        <w:tc>
          <w:tcPr>
            <w:tcW w:w="851" w:type="dxa"/>
            <w:vAlign w:val="center"/>
          </w:tcPr>
          <w:p w14:paraId="05894307" w14:textId="167A77E0"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18.1</w:t>
            </w:r>
          </w:p>
        </w:tc>
        <w:tc>
          <w:tcPr>
            <w:tcW w:w="1134" w:type="dxa"/>
            <w:vAlign w:val="center"/>
          </w:tcPr>
          <w:p w14:paraId="7DDD161E" w14:textId="73557EF3"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18.1</w:t>
            </w:r>
          </w:p>
        </w:tc>
        <w:tc>
          <w:tcPr>
            <w:tcW w:w="992" w:type="dxa"/>
            <w:vAlign w:val="center"/>
          </w:tcPr>
          <w:p w14:paraId="25A66E0B"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0.44</w:t>
            </w:r>
          </w:p>
        </w:tc>
        <w:tc>
          <w:tcPr>
            <w:tcW w:w="1559" w:type="dxa"/>
            <w:noWrap/>
            <w:vAlign w:val="center"/>
          </w:tcPr>
          <w:p w14:paraId="7CD85A42" w14:textId="31F4216C"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36.2</w:t>
            </w:r>
          </w:p>
        </w:tc>
        <w:tc>
          <w:tcPr>
            <w:tcW w:w="1418" w:type="dxa"/>
            <w:noWrap/>
            <w:vAlign w:val="center"/>
          </w:tcPr>
          <w:p w14:paraId="130B9402"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0.89</w:t>
            </w:r>
          </w:p>
        </w:tc>
        <w:tc>
          <w:tcPr>
            <w:tcW w:w="1559" w:type="dxa"/>
            <w:vAlign w:val="center"/>
          </w:tcPr>
          <w:p w14:paraId="3E39D849"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4C2B2DE7"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3.62</w:t>
            </w:r>
          </w:p>
        </w:tc>
        <w:tc>
          <w:tcPr>
            <w:tcW w:w="1559" w:type="dxa"/>
            <w:noWrap/>
            <w:vAlign w:val="center"/>
          </w:tcPr>
          <w:p w14:paraId="2F8CD867" w14:textId="7DB2EA7F"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54.3</w:t>
            </w:r>
          </w:p>
        </w:tc>
        <w:tc>
          <w:tcPr>
            <w:tcW w:w="1276" w:type="dxa"/>
            <w:noWrap/>
            <w:vAlign w:val="center"/>
          </w:tcPr>
          <w:p w14:paraId="4956A6F5"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1.33</w:t>
            </w:r>
          </w:p>
        </w:tc>
        <w:tc>
          <w:tcPr>
            <w:tcW w:w="1559" w:type="dxa"/>
            <w:noWrap/>
            <w:vAlign w:val="center"/>
          </w:tcPr>
          <w:p w14:paraId="1C4FE00B" w14:textId="53DB082A"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57.9</w:t>
            </w:r>
          </w:p>
        </w:tc>
        <w:tc>
          <w:tcPr>
            <w:tcW w:w="1418" w:type="dxa"/>
            <w:noWrap/>
            <w:vAlign w:val="center"/>
          </w:tcPr>
          <w:p w14:paraId="3F52D412"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59414A5E"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AA25910"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513F9AF2" w14:textId="77777777" w:rsidR="00E76358" w:rsidRPr="00A30033"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color w:val="000000"/>
                <w:sz w:val="18"/>
                <w:szCs w:val="18"/>
              </w:rPr>
              <w:t>St George Alluvium: Condamine–Balonne (shallow)</w:t>
            </w:r>
          </w:p>
        </w:tc>
        <w:tc>
          <w:tcPr>
            <w:tcW w:w="992" w:type="dxa"/>
          </w:tcPr>
          <w:p w14:paraId="1028117B"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sz w:val="18"/>
                <w:szCs w:val="18"/>
              </w:rPr>
              <w:t>GS61a</w:t>
            </w:r>
          </w:p>
        </w:tc>
        <w:tc>
          <w:tcPr>
            <w:tcW w:w="851" w:type="dxa"/>
            <w:vAlign w:val="center"/>
          </w:tcPr>
          <w:p w14:paraId="6C334DCF" w14:textId="14D5212E"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27.7</w:t>
            </w:r>
          </w:p>
        </w:tc>
        <w:tc>
          <w:tcPr>
            <w:tcW w:w="1134" w:type="dxa"/>
            <w:vAlign w:val="center"/>
          </w:tcPr>
          <w:p w14:paraId="073CEBE6" w14:textId="4F66A718"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27.7</w:t>
            </w:r>
          </w:p>
        </w:tc>
        <w:tc>
          <w:tcPr>
            <w:tcW w:w="992" w:type="dxa"/>
            <w:vAlign w:val="center"/>
          </w:tcPr>
          <w:p w14:paraId="47328708"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A30033">
              <w:rPr>
                <w:rFonts w:cs="Arial"/>
                <w:color w:val="000000"/>
                <w:sz w:val="18"/>
                <w:szCs w:val="18"/>
              </w:rPr>
              <w:t>0.34</w:t>
            </w:r>
          </w:p>
        </w:tc>
        <w:tc>
          <w:tcPr>
            <w:tcW w:w="1559" w:type="dxa"/>
            <w:noWrap/>
            <w:vAlign w:val="center"/>
          </w:tcPr>
          <w:p w14:paraId="78732BBF" w14:textId="30252534"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55.4</w:t>
            </w:r>
          </w:p>
        </w:tc>
        <w:tc>
          <w:tcPr>
            <w:tcW w:w="1418" w:type="dxa"/>
            <w:noWrap/>
            <w:vAlign w:val="center"/>
          </w:tcPr>
          <w:p w14:paraId="75624987"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0.88</w:t>
            </w:r>
          </w:p>
        </w:tc>
        <w:tc>
          <w:tcPr>
            <w:tcW w:w="1559" w:type="dxa"/>
            <w:vAlign w:val="center"/>
          </w:tcPr>
          <w:p w14:paraId="56ABA5B8"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1201706B"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5.54</w:t>
            </w:r>
          </w:p>
        </w:tc>
        <w:tc>
          <w:tcPr>
            <w:tcW w:w="1559" w:type="dxa"/>
            <w:noWrap/>
            <w:vAlign w:val="center"/>
          </w:tcPr>
          <w:p w14:paraId="5C4273EA" w14:textId="1C10FB6F"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83.1</w:t>
            </w:r>
          </w:p>
        </w:tc>
        <w:tc>
          <w:tcPr>
            <w:tcW w:w="1276" w:type="dxa"/>
            <w:noWrap/>
            <w:vAlign w:val="center"/>
          </w:tcPr>
          <w:p w14:paraId="7C65B6F0" w14:textId="77777777"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1.22</w:t>
            </w:r>
          </w:p>
        </w:tc>
        <w:tc>
          <w:tcPr>
            <w:tcW w:w="1559" w:type="dxa"/>
            <w:noWrap/>
            <w:vAlign w:val="center"/>
          </w:tcPr>
          <w:p w14:paraId="65281AB5" w14:textId="528A85FF" w:rsidR="00E76358" w:rsidRPr="00A30033"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88.6</w:t>
            </w:r>
          </w:p>
        </w:tc>
        <w:tc>
          <w:tcPr>
            <w:tcW w:w="1418" w:type="dxa"/>
            <w:noWrap/>
            <w:vAlign w:val="center"/>
          </w:tcPr>
          <w:p w14:paraId="4E9585F8" w14:textId="77777777" w:rsidR="00E76358" w:rsidRPr="00A30033"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20C07B54"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8CED8BB" w14:textId="77777777" w:rsidR="00E76358" w:rsidRPr="00A30033" w:rsidRDefault="00AD6FA7" w:rsidP="00E76358">
            <w:pPr>
              <w:jc w:val="center"/>
              <w:rPr>
                <w:rFonts w:eastAsia="Times New Roman"/>
                <w:b w:val="0"/>
                <w:color w:val="000000"/>
                <w:sz w:val="18"/>
                <w:szCs w:val="18"/>
                <w:lang w:eastAsia="en-AU"/>
              </w:rPr>
            </w:pPr>
            <w:r w:rsidRPr="00A30033">
              <w:rPr>
                <w:color w:val="000000"/>
                <w:sz w:val="18"/>
                <w:szCs w:val="18"/>
              </w:rPr>
              <w:t>QLD</w:t>
            </w:r>
          </w:p>
        </w:tc>
        <w:tc>
          <w:tcPr>
            <w:tcW w:w="3544" w:type="dxa"/>
            <w:noWrap/>
            <w:vAlign w:val="center"/>
            <w:hideMark/>
          </w:tcPr>
          <w:p w14:paraId="725D5CF1" w14:textId="77777777" w:rsidR="00E76358" w:rsidRPr="00A30033"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color w:val="000000"/>
                <w:sz w:val="18"/>
                <w:szCs w:val="18"/>
              </w:rPr>
              <w:t>St George Alluvium: Condamine–Balonne (deep)</w:t>
            </w:r>
          </w:p>
        </w:tc>
        <w:tc>
          <w:tcPr>
            <w:tcW w:w="992" w:type="dxa"/>
          </w:tcPr>
          <w:p w14:paraId="02C36FAF"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sz w:val="18"/>
                <w:szCs w:val="18"/>
              </w:rPr>
              <w:t>GS61b</w:t>
            </w:r>
          </w:p>
        </w:tc>
        <w:tc>
          <w:tcPr>
            <w:tcW w:w="851" w:type="dxa"/>
            <w:vAlign w:val="center"/>
          </w:tcPr>
          <w:p w14:paraId="1EA02FDE" w14:textId="27437C14"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12.6</w:t>
            </w:r>
          </w:p>
        </w:tc>
        <w:tc>
          <w:tcPr>
            <w:tcW w:w="1134" w:type="dxa"/>
            <w:vAlign w:val="center"/>
          </w:tcPr>
          <w:p w14:paraId="02592056" w14:textId="62FBC914"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12.6</w:t>
            </w:r>
          </w:p>
        </w:tc>
        <w:tc>
          <w:tcPr>
            <w:tcW w:w="992" w:type="dxa"/>
            <w:vAlign w:val="center"/>
          </w:tcPr>
          <w:p w14:paraId="303A2EB4" w14:textId="705DFED8"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30033">
              <w:rPr>
                <w:rFonts w:cs="Arial"/>
                <w:color w:val="000000"/>
                <w:sz w:val="18"/>
                <w:szCs w:val="18"/>
              </w:rPr>
              <w:t>11.7</w:t>
            </w:r>
          </w:p>
        </w:tc>
        <w:tc>
          <w:tcPr>
            <w:tcW w:w="1559" w:type="dxa"/>
            <w:noWrap/>
            <w:vAlign w:val="center"/>
          </w:tcPr>
          <w:p w14:paraId="431E705B" w14:textId="6106AAF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25.2</w:t>
            </w:r>
          </w:p>
        </w:tc>
        <w:tc>
          <w:tcPr>
            <w:tcW w:w="1418" w:type="dxa"/>
            <w:noWrap/>
            <w:vAlign w:val="center"/>
          </w:tcPr>
          <w:p w14:paraId="01C9300C" w14:textId="57D9A15E"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23.2</w:t>
            </w:r>
          </w:p>
        </w:tc>
        <w:tc>
          <w:tcPr>
            <w:tcW w:w="1559" w:type="dxa"/>
            <w:vAlign w:val="center"/>
          </w:tcPr>
          <w:p w14:paraId="1E44FFCC"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0.00</w:t>
            </w:r>
          </w:p>
        </w:tc>
        <w:tc>
          <w:tcPr>
            <w:tcW w:w="992" w:type="dxa"/>
            <w:noWrap/>
            <w:vAlign w:val="center"/>
          </w:tcPr>
          <w:p w14:paraId="5815FADE" w14:textId="77777777"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2.52</w:t>
            </w:r>
          </w:p>
        </w:tc>
        <w:tc>
          <w:tcPr>
            <w:tcW w:w="1559" w:type="dxa"/>
            <w:noWrap/>
            <w:vAlign w:val="center"/>
          </w:tcPr>
          <w:p w14:paraId="5E460B9C" w14:textId="5310729B"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37.8</w:t>
            </w:r>
          </w:p>
        </w:tc>
        <w:tc>
          <w:tcPr>
            <w:tcW w:w="1276" w:type="dxa"/>
            <w:noWrap/>
            <w:vAlign w:val="center"/>
          </w:tcPr>
          <w:p w14:paraId="40384E44" w14:textId="39098DE2"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34.9</w:t>
            </w:r>
          </w:p>
        </w:tc>
        <w:tc>
          <w:tcPr>
            <w:tcW w:w="1559" w:type="dxa"/>
            <w:noWrap/>
            <w:vAlign w:val="center"/>
          </w:tcPr>
          <w:p w14:paraId="4B1F6470" w14:textId="3E94EE52" w:rsidR="00E76358" w:rsidRPr="00A30033"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A30033">
              <w:rPr>
                <w:rFonts w:cs="Arial"/>
                <w:color w:val="000000"/>
                <w:sz w:val="18"/>
                <w:szCs w:val="18"/>
              </w:rPr>
              <w:t>40.3</w:t>
            </w:r>
          </w:p>
        </w:tc>
        <w:tc>
          <w:tcPr>
            <w:tcW w:w="1418" w:type="dxa"/>
            <w:noWrap/>
            <w:vAlign w:val="center"/>
          </w:tcPr>
          <w:p w14:paraId="0E5CFF72" w14:textId="77777777" w:rsidR="00E76358" w:rsidRPr="00A30033"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30033">
              <w:rPr>
                <w:rFonts w:cs="Arial"/>
                <w:color w:val="000000"/>
                <w:sz w:val="18"/>
                <w:szCs w:val="18"/>
              </w:rPr>
              <w:t>No</w:t>
            </w:r>
          </w:p>
        </w:tc>
      </w:tr>
      <w:tr w:rsidR="004C4006" w14:paraId="5B21AF3B"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34800DD"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QLD</w:t>
            </w:r>
          </w:p>
        </w:tc>
        <w:tc>
          <w:tcPr>
            <w:tcW w:w="3544" w:type="dxa"/>
            <w:noWrap/>
            <w:vAlign w:val="center"/>
            <w:hideMark/>
          </w:tcPr>
          <w:p w14:paraId="4C55CC5E"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Upper Condamine Alluvium (Central Condamine Alluvium)</w:t>
            </w:r>
          </w:p>
        </w:tc>
        <w:tc>
          <w:tcPr>
            <w:tcW w:w="992" w:type="dxa"/>
          </w:tcPr>
          <w:p w14:paraId="128E00D4"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GS64a</w:t>
            </w:r>
          </w:p>
        </w:tc>
        <w:tc>
          <w:tcPr>
            <w:tcW w:w="851" w:type="dxa"/>
            <w:vAlign w:val="center"/>
          </w:tcPr>
          <w:p w14:paraId="6CC26DD9" w14:textId="728783BF"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46.0</w:t>
            </w:r>
          </w:p>
        </w:tc>
        <w:tc>
          <w:tcPr>
            <w:tcW w:w="1134" w:type="dxa"/>
            <w:vAlign w:val="center"/>
          </w:tcPr>
          <w:p w14:paraId="79FD1DCE" w14:textId="53D62CEC"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46.0</w:t>
            </w:r>
          </w:p>
        </w:tc>
        <w:tc>
          <w:tcPr>
            <w:tcW w:w="992" w:type="dxa"/>
            <w:vAlign w:val="center"/>
          </w:tcPr>
          <w:p w14:paraId="7E6D7153" w14:textId="5A86415C"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25.2</w:t>
            </w:r>
          </w:p>
        </w:tc>
        <w:tc>
          <w:tcPr>
            <w:tcW w:w="1559" w:type="dxa"/>
            <w:noWrap/>
            <w:vAlign w:val="center"/>
          </w:tcPr>
          <w:p w14:paraId="47A18958" w14:textId="6B86484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92.0</w:t>
            </w:r>
          </w:p>
        </w:tc>
        <w:tc>
          <w:tcPr>
            <w:tcW w:w="1418" w:type="dxa"/>
            <w:noWrap/>
            <w:vAlign w:val="center"/>
          </w:tcPr>
          <w:p w14:paraId="1B1EC91E" w14:textId="198FAE2D"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86.4</w:t>
            </w:r>
          </w:p>
        </w:tc>
        <w:tc>
          <w:tcPr>
            <w:tcW w:w="1559" w:type="dxa"/>
            <w:vAlign w:val="center"/>
          </w:tcPr>
          <w:p w14:paraId="071636B4"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0.95</w:t>
            </w:r>
          </w:p>
        </w:tc>
        <w:tc>
          <w:tcPr>
            <w:tcW w:w="992" w:type="dxa"/>
            <w:noWrap/>
            <w:vAlign w:val="center"/>
          </w:tcPr>
          <w:p w14:paraId="7A3D50B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9.20</w:t>
            </w:r>
          </w:p>
        </w:tc>
        <w:tc>
          <w:tcPr>
            <w:tcW w:w="1559" w:type="dxa"/>
            <w:noWrap/>
            <w:vAlign w:val="center"/>
          </w:tcPr>
          <w:p w14:paraId="1D4E2E3C" w14:textId="3819BADB"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138.0</w:t>
            </w:r>
          </w:p>
        </w:tc>
        <w:tc>
          <w:tcPr>
            <w:tcW w:w="1276" w:type="dxa"/>
            <w:noWrap/>
            <w:vAlign w:val="center"/>
          </w:tcPr>
          <w:p w14:paraId="5B507EA6" w14:textId="4E223A7A"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111.6</w:t>
            </w:r>
          </w:p>
        </w:tc>
        <w:tc>
          <w:tcPr>
            <w:tcW w:w="1559" w:type="dxa"/>
            <w:noWrap/>
            <w:vAlign w:val="center"/>
          </w:tcPr>
          <w:p w14:paraId="3A1791C1" w14:textId="122A28C6"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148.1</w:t>
            </w:r>
          </w:p>
        </w:tc>
        <w:tc>
          <w:tcPr>
            <w:tcW w:w="1418" w:type="dxa"/>
            <w:noWrap/>
            <w:vAlign w:val="center"/>
          </w:tcPr>
          <w:p w14:paraId="353F5EB9"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3FCE0347"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64C43F9"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QLD</w:t>
            </w:r>
          </w:p>
        </w:tc>
        <w:tc>
          <w:tcPr>
            <w:tcW w:w="3544" w:type="dxa"/>
            <w:noWrap/>
            <w:vAlign w:val="center"/>
            <w:hideMark/>
          </w:tcPr>
          <w:p w14:paraId="26D8839F"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Upper Condamine Alluvium (Tributaries)</w:t>
            </w:r>
          </w:p>
        </w:tc>
        <w:tc>
          <w:tcPr>
            <w:tcW w:w="992" w:type="dxa"/>
          </w:tcPr>
          <w:p w14:paraId="5B3E2E45"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GS64b</w:t>
            </w:r>
          </w:p>
        </w:tc>
        <w:tc>
          <w:tcPr>
            <w:tcW w:w="851" w:type="dxa"/>
            <w:vAlign w:val="center"/>
          </w:tcPr>
          <w:p w14:paraId="7B820027" w14:textId="766AEE39"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40.5</w:t>
            </w:r>
          </w:p>
        </w:tc>
        <w:tc>
          <w:tcPr>
            <w:tcW w:w="1134" w:type="dxa"/>
            <w:vAlign w:val="center"/>
          </w:tcPr>
          <w:p w14:paraId="454CD85F" w14:textId="7F41E6AE"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40.5</w:t>
            </w:r>
          </w:p>
        </w:tc>
        <w:tc>
          <w:tcPr>
            <w:tcW w:w="992" w:type="dxa"/>
            <w:vAlign w:val="center"/>
          </w:tcPr>
          <w:p w14:paraId="30158643" w14:textId="1E3BA9A8"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25.2</w:t>
            </w:r>
          </w:p>
        </w:tc>
        <w:tc>
          <w:tcPr>
            <w:tcW w:w="1559" w:type="dxa"/>
            <w:noWrap/>
            <w:vAlign w:val="center"/>
          </w:tcPr>
          <w:p w14:paraId="44CC7256" w14:textId="71E8630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81.0</w:t>
            </w:r>
          </w:p>
        </w:tc>
        <w:tc>
          <w:tcPr>
            <w:tcW w:w="1418" w:type="dxa"/>
            <w:noWrap/>
            <w:vAlign w:val="center"/>
          </w:tcPr>
          <w:p w14:paraId="724B1758" w14:textId="7B2BEAF1"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55.2</w:t>
            </w:r>
          </w:p>
        </w:tc>
        <w:tc>
          <w:tcPr>
            <w:tcW w:w="1559" w:type="dxa"/>
            <w:vAlign w:val="center"/>
          </w:tcPr>
          <w:p w14:paraId="45CB7D76"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5.91</w:t>
            </w:r>
          </w:p>
        </w:tc>
        <w:tc>
          <w:tcPr>
            <w:tcW w:w="992" w:type="dxa"/>
            <w:noWrap/>
            <w:vAlign w:val="center"/>
          </w:tcPr>
          <w:p w14:paraId="2A98E053"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8.10</w:t>
            </w:r>
          </w:p>
        </w:tc>
        <w:tc>
          <w:tcPr>
            <w:tcW w:w="1559" w:type="dxa"/>
            <w:noWrap/>
            <w:vAlign w:val="center"/>
          </w:tcPr>
          <w:p w14:paraId="45E29C6E" w14:textId="5EE112DD"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121.5</w:t>
            </w:r>
          </w:p>
        </w:tc>
        <w:tc>
          <w:tcPr>
            <w:tcW w:w="1276" w:type="dxa"/>
            <w:noWrap/>
            <w:vAlign w:val="center"/>
          </w:tcPr>
          <w:p w14:paraId="2197FE5B" w14:textId="7B9D971A"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80.4</w:t>
            </w:r>
          </w:p>
        </w:tc>
        <w:tc>
          <w:tcPr>
            <w:tcW w:w="1559" w:type="dxa"/>
            <w:noWrap/>
            <w:vAlign w:val="center"/>
          </w:tcPr>
          <w:p w14:paraId="5F05AD18" w14:textId="67BAB315"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135.5</w:t>
            </w:r>
          </w:p>
        </w:tc>
        <w:tc>
          <w:tcPr>
            <w:tcW w:w="1418" w:type="dxa"/>
            <w:noWrap/>
            <w:vAlign w:val="center"/>
          </w:tcPr>
          <w:p w14:paraId="77CE48DB"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580F040D"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D608F3C"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QLD</w:t>
            </w:r>
          </w:p>
        </w:tc>
        <w:tc>
          <w:tcPr>
            <w:tcW w:w="3544" w:type="dxa"/>
            <w:noWrap/>
            <w:vAlign w:val="center"/>
            <w:hideMark/>
          </w:tcPr>
          <w:p w14:paraId="5C63E5D5"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Upper Condamine Basalts</w:t>
            </w:r>
          </w:p>
        </w:tc>
        <w:tc>
          <w:tcPr>
            <w:tcW w:w="992" w:type="dxa"/>
          </w:tcPr>
          <w:p w14:paraId="7F7511F0"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GS65</w:t>
            </w:r>
          </w:p>
        </w:tc>
        <w:tc>
          <w:tcPr>
            <w:tcW w:w="851" w:type="dxa"/>
            <w:vAlign w:val="center"/>
          </w:tcPr>
          <w:p w14:paraId="493E242A" w14:textId="0075298A"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79.0</w:t>
            </w:r>
          </w:p>
        </w:tc>
        <w:tc>
          <w:tcPr>
            <w:tcW w:w="1134" w:type="dxa"/>
            <w:vAlign w:val="center"/>
          </w:tcPr>
          <w:p w14:paraId="6FFE4263" w14:textId="29C73EBE"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79.0</w:t>
            </w:r>
          </w:p>
        </w:tc>
        <w:tc>
          <w:tcPr>
            <w:tcW w:w="992" w:type="dxa"/>
            <w:vAlign w:val="center"/>
          </w:tcPr>
          <w:p w14:paraId="0845B5B9" w14:textId="5BBECDEC"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46.9</w:t>
            </w:r>
          </w:p>
        </w:tc>
        <w:tc>
          <w:tcPr>
            <w:tcW w:w="1559" w:type="dxa"/>
            <w:noWrap/>
            <w:vAlign w:val="center"/>
          </w:tcPr>
          <w:p w14:paraId="75592118" w14:textId="41EEC65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158.0</w:t>
            </w:r>
          </w:p>
        </w:tc>
        <w:tc>
          <w:tcPr>
            <w:tcW w:w="1418" w:type="dxa"/>
            <w:noWrap/>
            <w:vAlign w:val="center"/>
          </w:tcPr>
          <w:p w14:paraId="775779F8" w14:textId="003BD379"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99.6</w:t>
            </w:r>
          </w:p>
        </w:tc>
        <w:tc>
          <w:tcPr>
            <w:tcW w:w="1559" w:type="dxa"/>
            <w:vAlign w:val="center"/>
          </w:tcPr>
          <w:p w14:paraId="71EF20C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7DC9F5C4" w14:textId="122C7099"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15.8</w:t>
            </w:r>
          </w:p>
        </w:tc>
        <w:tc>
          <w:tcPr>
            <w:tcW w:w="1559" w:type="dxa"/>
            <w:noWrap/>
            <w:vAlign w:val="center"/>
          </w:tcPr>
          <w:p w14:paraId="47E6614E" w14:textId="4DE8546E"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237.0</w:t>
            </w:r>
          </w:p>
        </w:tc>
        <w:tc>
          <w:tcPr>
            <w:tcW w:w="1276" w:type="dxa"/>
            <w:noWrap/>
            <w:vAlign w:val="center"/>
          </w:tcPr>
          <w:p w14:paraId="6C2FC5F9" w14:textId="64FBE6AB"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146.5</w:t>
            </w:r>
          </w:p>
        </w:tc>
        <w:tc>
          <w:tcPr>
            <w:tcW w:w="1559" w:type="dxa"/>
            <w:noWrap/>
            <w:vAlign w:val="center"/>
          </w:tcPr>
          <w:p w14:paraId="7FCADD16" w14:textId="2ECD10F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252.8</w:t>
            </w:r>
          </w:p>
        </w:tc>
        <w:tc>
          <w:tcPr>
            <w:tcW w:w="1418" w:type="dxa"/>
            <w:noWrap/>
            <w:vAlign w:val="center"/>
          </w:tcPr>
          <w:p w14:paraId="24908A1B"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75F9E504"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31B432F"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lastRenderedPageBreak/>
              <w:t>QLD</w:t>
            </w:r>
          </w:p>
        </w:tc>
        <w:tc>
          <w:tcPr>
            <w:tcW w:w="3544" w:type="dxa"/>
            <w:noWrap/>
            <w:vAlign w:val="center"/>
            <w:hideMark/>
          </w:tcPr>
          <w:p w14:paraId="57ED4175"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Sediments above the Great Artesian Basin: Warrego–Paroo–</w:t>
            </w:r>
            <w:proofErr w:type="spellStart"/>
            <w:r w:rsidRPr="00642BE9">
              <w:rPr>
                <w:color w:val="000000"/>
                <w:sz w:val="18"/>
                <w:szCs w:val="18"/>
              </w:rPr>
              <w:t>Nebine</w:t>
            </w:r>
            <w:proofErr w:type="spellEnd"/>
          </w:p>
        </w:tc>
        <w:tc>
          <w:tcPr>
            <w:tcW w:w="992" w:type="dxa"/>
          </w:tcPr>
          <w:p w14:paraId="43F5081C"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GS60</w:t>
            </w:r>
          </w:p>
        </w:tc>
        <w:tc>
          <w:tcPr>
            <w:tcW w:w="851" w:type="dxa"/>
            <w:vAlign w:val="center"/>
          </w:tcPr>
          <w:p w14:paraId="2A44F583" w14:textId="0C102A8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99.2</w:t>
            </w:r>
          </w:p>
        </w:tc>
        <w:tc>
          <w:tcPr>
            <w:tcW w:w="1134" w:type="dxa"/>
            <w:vAlign w:val="center"/>
          </w:tcPr>
          <w:p w14:paraId="328B662D"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0.74</w:t>
            </w:r>
          </w:p>
        </w:tc>
        <w:tc>
          <w:tcPr>
            <w:tcW w:w="992" w:type="dxa"/>
            <w:vAlign w:val="center"/>
          </w:tcPr>
          <w:p w14:paraId="28DBA00B"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0.74</w:t>
            </w:r>
          </w:p>
        </w:tc>
        <w:tc>
          <w:tcPr>
            <w:tcW w:w="1559" w:type="dxa"/>
            <w:noWrap/>
            <w:vAlign w:val="center"/>
          </w:tcPr>
          <w:p w14:paraId="0C979BB8"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1.47</w:t>
            </w:r>
          </w:p>
        </w:tc>
        <w:tc>
          <w:tcPr>
            <w:tcW w:w="1418" w:type="dxa"/>
            <w:noWrap/>
            <w:vAlign w:val="center"/>
          </w:tcPr>
          <w:p w14:paraId="2F3D8D87"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1.48</w:t>
            </w:r>
          </w:p>
        </w:tc>
        <w:tc>
          <w:tcPr>
            <w:tcW w:w="1559" w:type="dxa"/>
            <w:vAlign w:val="center"/>
          </w:tcPr>
          <w:p w14:paraId="676B49E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19FF4FA1" w14:textId="633C0DE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19.8</w:t>
            </w:r>
          </w:p>
        </w:tc>
        <w:tc>
          <w:tcPr>
            <w:tcW w:w="1559" w:type="dxa"/>
            <w:noWrap/>
            <w:vAlign w:val="center"/>
          </w:tcPr>
          <w:p w14:paraId="729EA11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2.21</w:t>
            </w:r>
          </w:p>
        </w:tc>
        <w:tc>
          <w:tcPr>
            <w:tcW w:w="1276" w:type="dxa"/>
            <w:noWrap/>
            <w:vAlign w:val="center"/>
          </w:tcPr>
          <w:p w14:paraId="4A97B644"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2.22</w:t>
            </w:r>
          </w:p>
        </w:tc>
        <w:tc>
          <w:tcPr>
            <w:tcW w:w="1559" w:type="dxa"/>
            <w:noWrap/>
            <w:vAlign w:val="center"/>
          </w:tcPr>
          <w:p w14:paraId="39383BB9" w14:textId="11EE2BBD"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22.0</w:t>
            </w:r>
          </w:p>
        </w:tc>
        <w:tc>
          <w:tcPr>
            <w:tcW w:w="1418" w:type="dxa"/>
            <w:noWrap/>
            <w:vAlign w:val="center"/>
          </w:tcPr>
          <w:p w14:paraId="3D580D10"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246A7EBF"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ED3D23A"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QLD</w:t>
            </w:r>
          </w:p>
        </w:tc>
        <w:tc>
          <w:tcPr>
            <w:tcW w:w="3544" w:type="dxa"/>
            <w:noWrap/>
            <w:vAlign w:val="center"/>
            <w:hideMark/>
          </w:tcPr>
          <w:p w14:paraId="6F34B3A3"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St George Alluvium: Warrego–Paroo–</w:t>
            </w:r>
            <w:proofErr w:type="spellStart"/>
            <w:r w:rsidRPr="00642BE9">
              <w:rPr>
                <w:color w:val="000000"/>
                <w:sz w:val="18"/>
                <w:szCs w:val="18"/>
              </w:rPr>
              <w:t>Nebine</w:t>
            </w:r>
            <w:proofErr w:type="spellEnd"/>
          </w:p>
        </w:tc>
        <w:tc>
          <w:tcPr>
            <w:tcW w:w="992" w:type="dxa"/>
          </w:tcPr>
          <w:p w14:paraId="53DC79BC"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GS63</w:t>
            </w:r>
          </w:p>
        </w:tc>
        <w:tc>
          <w:tcPr>
            <w:tcW w:w="851" w:type="dxa"/>
            <w:vAlign w:val="center"/>
          </w:tcPr>
          <w:p w14:paraId="4C371583" w14:textId="7910BCCF"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24.6</w:t>
            </w:r>
          </w:p>
        </w:tc>
        <w:tc>
          <w:tcPr>
            <w:tcW w:w="1134" w:type="dxa"/>
            <w:vAlign w:val="center"/>
          </w:tcPr>
          <w:p w14:paraId="784111DC"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0.08</w:t>
            </w:r>
          </w:p>
        </w:tc>
        <w:tc>
          <w:tcPr>
            <w:tcW w:w="992" w:type="dxa"/>
            <w:vAlign w:val="center"/>
          </w:tcPr>
          <w:p w14:paraId="73572BDD"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0.08</w:t>
            </w:r>
          </w:p>
        </w:tc>
        <w:tc>
          <w:tcPr>
            <w:tcW w:w="1559" w:type="dxa"/>
            <w:noWrap/>
            <w:vAlign w:val="center"/>
          </w:tcPr>
          <w:p w14:paraId="723AC2B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0.16</w:t>
            </w:r>
          </w:p>
        </w:tc>
        <w:tc>
          <w:tcPr>
            <w:tcW w:w="1418" w:type="dxa"/>
            <w:noWrap/>
            <w:vAlign w:val="center"/>
          </w:tcPr>
          <w:p w14:paraId="534D6D1A"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0.16</w:t>
            </w:r>
          </w:p>
        </w:tc>
        <w:tc>
          <w:tcPr>
            <w:tcW w:w="1559" w:type="dxa"/>
            <w:vAlign w:val="center"/>
          </w:tcPr>
          <w:p w14:paraId="5C5F714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548ACEF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4.92</w:t>
            </w:r>
          </w:p>
        </w:tc>
        <w:tc>
          <w:tcPr>
            <w:tcW w:w="1559" w:type="dxa"/>
            <w:noWrap/>
            <w:vAlign w:val="center"/>
          </w:tcPr>
          <w:p w14:paraId="6C33EAA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0.25</w:t>
            </w:r>
          </w:p>
        </w:tc>
        <w:tc>
          <w:tcPr>
            <w:tcW w:w="1276" w:type="dxa"/>
            <w:noWrap/>
            <w:vAlign w:val="center"/>
          </w:tcPr>
          <w:p w14:paraId="1EBEA0C1"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0.24</w:t>
            </w:r>
          </w:p>
        </w:tc>
        <w:tc>
          <w:tcPr>
            <w:tcW w:w="1559" w:type="dxa"/>
            <w:noWrap/>
            <w:vAlign w:val="center"/>
          </w:tcPr>
          <w:p w14:paraId="1229BEB1"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5.17</w:t>
            </w:r>
          </w:p>
        </w:tc>
        <w:tc>
          <w:tcPr>
            <w:tcW w:w="1418" w:type="dxa"/>
            <w:noWrap/>
            <w:vAlign w:val="center"/>
          </w:tcPr>
          <w:p w14:paraId="66855714"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07BA7A75"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248D2F1E"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QLD</w:t>
            </w:r>
          </w:p>
        </w:tc>
        <w:tc>
          <w:tcPr>
            <w:tcW w:w="3544" w:type="dxa"/>
            <w:noWrap/>
            <w:vAlign w:val="center"/>
            <w:hideMark/>
          </w:tcPr>
          <w:p w14:paraId="5755618C"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Warrego Alluvium</w:t>
            </w:r>
          </w:p>
        </w:tc>
        <w:tc>
          <w:tcPr>
            <w:tcW w:w="992" w:type="dxa"/>
          </w:tcPr>
          <w:p w14:paraId="018C14E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GS66</w:t>
            </w:r>
          </w:p>
        </w:tc>
        <w:tc>
          <w:tcPr>
            <w:tcW w:w="851" w:type="dxa"/>
            <w:vAlign w:val="center"/>
          </w:tcPr>
          <w:p w14:paraId="760B6C23" w14:textId="1228588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10.2</w:t>
            </w:r>
          </w:p>
        </w:tc>
        <w:tc>
          <w:tcPr>
            <w:tcW w:w="1134" w:type="dxa"/>
            <w:vAlign w:val="center"/>
          </w:tcPr>
          <w:p w14:paraId="2F4062B8"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0.77</w:t>
            </w:r>
          </w:p>
        </w:tc>
        <w:tc>
          <w:tcPr>
            <w:tcW w:w="992" w:type="dxa"/>
            <w:vAlign w:val="center"/>
          </w:tcPr>
          <w:p w14:paraId="5417F05A"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0.77</w:t>
            </w:r>
          </w:p>
        </w:tc>
        <w:tc>
          <w:tcPr>
            <w:tcW w:w="1559" w:type="dxa"/>
            <w:noWrap/>
            <w:vAlign w:val="center"/>
          </w:tcPr>
          <w:p w14:paraId="356C9FC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1.53</w:t>
            </w:r>
          </w:p>
        </w:tc>
        <w:tc>
          <w:tcPr>
            <w:tcW w:w="1418" w:type="dxa"/>
            <w:noWrap/>
            <w:vAlign w:val="center"/>
          </w:tcPr>
          <w:p w14:paraId="233ABBD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1.54</w:t>
            </w:r>
          </w:p>
        </w:tc>
        <w:tc>
          <w:tcPr>
            <w:tcW w:w="1559" w:type="dxa"/>
            <w:vAlign w:val="center"/>
          </w:tcPr>
          <w:p w14:paraId="1F45B89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50C7789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2.04</w:t>
            </w:r>
          </w:p>
        </w:tc>
        <w:tc>
          <w:tcPr>
            <w:tcW w:w="1559" w:type="dxa"/>
            <w:noWrap/>
            <w:vAlign w:val="center"/>
          </w:tcPr>
          <w:p w14:paraId="0F6AC6E6"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2.30</w:t>
            </w:r>
          </w:p>
        </w:tc>
        <w:tc>
          <w:tcPr>
            <w:tcW w:w="1276" w:type="dxa"/>
            <w:noWrap/>
            <w:vAlign w:val="center"/>
          </w:tcPr>
          <w:p w14:paraId="0E5D3150"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2.31</w:t>
            </w:r>
          </w:p>
        </w:tc>
        <w:tc>
          <w:tcPr>
            <w:tcW w:w="1559" w:type="dxa"/>
            <w:noWrap/>
            <w:vAlign w:val="center"/>
          </w:tcPr>
          <w:p w14:paraId="28396FAE"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4.34</w:t>
            </w:r>
          </w:p>
        </w:tc>
        <w:tc>
          <w:tcPr>
            <w:tcW w:w="1418" w:type="dxa"/>
            <w:noWrap/>
            <w:vAlign w:val="center"/>
          </w:tcPr>
          <w:p w14:paraId="3E7E20BB"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285D0ECD"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7F889C9"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ACT</w:t>
            </w:r>
          </w:p>
        </w:tc>
        <w:tc>
          <w:tcPr>
            <w:tcW w:w="3544" w:type="dxa"/>
            <w:noWrap/>
            <w:vAlign w:val="center"/>
            <w:hideMark/>
          </w:tcPr>
          <w:p w14:paraId="34CAAF19"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Australian Capital Territory (groundwater)</w:t>
            </w:r>
          </w:p>
        </w:tc>
        <w:tc>
          <w:tcPr>
            <w:tcW w:w="992" w:type="dxa"/>
          </w:tcPr>
          <w:p w14:paraId="5EAC2C12"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GS52</w:t>
            </w:r>
          </w:p>
        </w:tc>
        <w:tc>
          <w:tcPr>
            <w:tcW w:w="851" w:type="dxa"/>
            <w:vAlign w:val="center"/>
          </w:tcPr>
          <w:p w14:paraId="0E238E2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3.16</w:t>
            </w:r>
          </w:p>
        </w:tc>
        <w:tc>
          <w:tcPr>
            <w:tcW w:w="1134" w:type="dxa"/>
            <w:vAlign w:val="center"/>
          </w:tcPr>
          <w:p w14:paraId="051118F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3.16</w:t>
            </w:r>
          </w:p>
        </w:tc>
        <w:tc>
          <w:tcPr>
            <w:tcW w:w="992" w:type="dxa"/>
            <w:vAlign w:val="center"/>
          </w:tcPr>
          <w:p w14:paraId="7BF7179D"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0.32</w:t>
            </w:r>
          </w:p>
        </w:tc>
        <w:tc>
          <w:tcPr>
            <w:tcW w:w="1559" w:type="dxa"/>
            <w:noWrap/>
            <w:vAlign w:val="center"/>
          </w:tcPr>
          <w:p w14:paraId="5151CD1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6.32</w:t>
            </w:r>
          </w:p>
        </w:tc>
        <w:tc>
          <w:tcPr>
            <w:tcW w:w="1418" w:type="dxa"/>
            <w:noWrap/>
            <w:vAlign w:val="center"/>
          </w:tcPr>
          <w:p w14:paraId="4A367460"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0.97</w:t>
            </w:r>
          </w:p>
        </w:tc>
        <w:tc>
          <w:tcPr>
            <w:tcW w:w="1559" w:type="dxa"/>
            <w:vAlign w:val="center"/>
          </w:tcPr>
          <w:p w14:paraId="261B7279"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06035F82"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0.63</w:t>
            </w:r>
          </w:p>
        </w:tc>
        <w:tc>
          <w:tcPr>
            <w:tcW w:w="1559" w:type="dxa"/>
            <w:noWrap/>
            <w:vAlign w:val="center"/>
          </w:tcPr>
          <w:p w14:paraId="4A739FA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9.48</w:t>
            </w:r>
          </w:p>
        </w:tc>
        <w:tc>
          <w:tcPr>
            <w:tcW w:w="1276" w:type="dxa"/>
            <w:noWrap/>
            <w:vAlign w:val="center"/>
          </w:tcPr>
          <w:p w14:paraId="50C0573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1.28</w:t>
            </w:r>
          </w:p>
        </w:tc>
        <w:tc>
          <w:tcPr>
            <w:tcW w:w="1559" w:type="dxa"/>
            <w:noWrap/>
            <w:vAlign w:val="center"/>
          </w:tcPr>
          <w:p w14:paraId="7DDF478C" w14:textId="30D8C1F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10.1</w:t>
            </w:r>
          </w:p>
        </w:tc>
        <w:tc>
          <w:tcPr>
            <w:tcW w:w="1418" w:type="dxa"/>
            <w:noWrap/>
            <w:vAlign w:val="center"/>
          </w:tcPr>
          <w:p w14:paraId="79C8D33F"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2B059BE5"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50D8C24"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43C6075C"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Goulburn-Murray: Shepparton Irrigation Region</w:t>
            </w:r>
          </w:p>
        </w:tc>
        <w:tc>
          <w:tcPr>
            <w:tcW w:w="992" w:type="dxa"/>
          </w:tcPr>
          <w:p w14:paraId="1F153CC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GS8a</w:t>
            </w:r>
          </w:p>
        </w:tc>
        <w:tc>
          <w:tcPr>
            <w:tcW w:w="851" w:type="dxa"/>
            <w:vAlign w:val="center"/>
          </w:tcPr>
          <w:p w14:paraId="0CCA38ED" w14:textId="06958D1A"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244.1</w:t>
            </w:r>
          </w:p>
        </w:tc>
        <w:tc>
          <w:tcPr>
            <w:tcW w:w="1134" w:type="dxa"/>
            <w:vAlign w:val="center"/>
          </w:tcPr>
          <w:p w14:paraId="44F69545" w14:textId="3252E1A8"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244.1</w:t>
            </w:r>
          </w:p>
        </w:tc>
        <w:tc>
          <w:tcPr>
            <w:tcW w:w="992" w:type="dxa"/>
            <w:vAlign w:val="center"/>
          </w:tcPr>
          <w:p w14:paraId="42C9423F" w14:textId="30A7C140"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41.4</w:t>
            </w:r>
          </w:p>
        </w:tc>
        <w:tc>
          <w:tcPr>
            <w:tcW w:w="1559" w:type="dxa"/>
            <w:noWrap/>
            <w:vAlign w:val="center"/>
          </w:tcPr>
          <w:p w14:paraId="3DFF3DFC" w14:textId="2EAD783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488.2</w:t>
            </w:r>
          </w:p>
        </w:tc>
        <w:tc>
          <w:tcPr>
            <w:tcW w:w="1418" w:type="dxa"/>
            <w:noWrap/>
            <w:vAlign w:val="center"/>
          </w:tcPr>
          <w:p w14:paraId="03F9B0E3" w14:textId="4FE97FCA"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203.3</w:t>
            </w:r>
          </w:p>
        </w:tc>
        <w:tc>
          <w:tcPr>
            <w:tcW w:w="1559" w:type="dxa"/>
            <w:vAlign w:val="center"/>
          </w:tcPr>
          <w:p w14:paraId="1D039AC1"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2E54B0FC" w14:textId="4BD84FDC"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48.8</w:t>
            </w:r>
          </w:p>
        </w:tc>
        <w:tc>
          <w:tcPr>
            <w:tcW w:w="1559" w:type="dxa"/>
            <w:noWrap/>
            <w:vAlign w:val="center"/>
          </w:tcPr>
          <w:p w14:paraId="02168958" w14:textId="447C7ED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732.3</w:t>
            </w:r>
          </w:p>
        </w:tc>
        <w:tc>
          <w:tcPr>
            <w:tcW w:w="1276" w:type="dxa"/>
            <w:noWrap/>
            <w:vAlign w:val="center"/>
          </w:tcPr>
          <w:p w14:paraId="359FA79F" w14:textId="771AE8BA"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244.7</w:t>
            </w:r>
          </w:p>
        </w:tc>
        <w:tc>
          <w:tcPr>
            <w:tcW w:w="1559" w:type="dxa"/>
            <w:noWrap/>
            <w:vAlign w:val="center"/>
          </w:tcPr>
          <w:p w14:paraId="48EE5083" w14:textId="5E5F139E"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781.1</w:t>
            </w:r>
          </w:p>
        </w:tc>
        <w:tc>
          <w:tcPr>
            <w:tcW w:w="1418" w:type="dxa"/>
            <w:noWrap/>
            <w:vAlign w:val="center"/>
          </w:tcPr>
          <w:p w14:paraId="79938296"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642EB7DD"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13A6D25"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0979ECD3"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Goulburn-Murray: Highlands</w:t>
            </w:r>
          </w:p>
        </w:tc>
        <w:tc>
          <w:tcPr>
            <w:tcW w:w="992" w:type="dxa"/>
          </w:tcPr>
          <w:p w14:paraId="257F1FF7"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GS8b</w:t>
            </w:r>
          </w:p>
        </w:tc>
        <w:tc>
          <w:tcPr>
            <w:tcW w:w="851" w:type="dxa"/>
            <w:vAlign w:val="center"/>
          </w:tcPr>
          <w:p w14:paraId="18F9FAE2" w14:textId="00806B8B"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68.7</w:t>
            </w:r>
          </w:p>
        </w:tc>
        <w:tc>
          <w:tcPr>
            <w:tcW w:w="1134" w:type="dxa"/>
            <w:vAlign w:val="center"/>
          </w:tcPr>
          <w:p w14:paraId="491A73C3" w14:textId="59AA707D"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68.7</w:t>
            </w:r>
          </w:p>
        </w:tc>
        <w:tc>
          <w:tcPr>
            <w:tcW w:w="992" w:type="dxa"/>
            <w:vAlign w:val="center"/>
          </w:tcPr>
          <w:p w14:paraId="16D7DA82" w14:textId="7AAA3FB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14.0</w:t>
            </w:r>
          </w:p>
        </w:tc>
        <w:tc>
          <w:tcPr>
            <w:tcW w:w="1559" w:type="dxa"/>
            <w:noWrap/>
            <w:vAlign w:val="center"/>
          </w:tcPr>
          <w:p w14:paraId="71E65875" w14:textId="705ACEF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137.4</w:t>
            </w:r>
          </w:p>
        </w:tc>
        <w:tc>
          <w:tcPr>
            <w:tcW w:w="1418" w:type="dxa"/>
            <w:noWrap/>
            <w:vAlign w:val="center"/>
          </w:tcPr>
          <w:p w14:paraId="2CDC794A" w14:textId="66C25C80"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28.7</w:t>
            </w:r>
          </w:p>
        </w:tc>
        <w:tc>
          <w:tcPr>
            <w:tcW w:w="1559" w:type="dxa"/>
            <w:vAlign w:val="center"/>
          </w:tcPr>
          <w:p w14:paraId="2125DE3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44CB48D0" w14:textId="49639010"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13.7</w:t>
            </w:r>
          </w:p>
        </w:tc>
        <w:tc>
          <w:tcPr>
            <w:tcW w:w="1559" w:type="dxa"/>
            <w:noWrap/>
            <w:vAlign w:val="center"/>
          </w:tcPr>
          <w:p w14:paraId="45B52310" w14:textId="0B9A8F6E"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206.1</w:t>
            </w:r>
          </w:p>
        </w:tc>
        <w:tc>
          <w:tcPr>
            <w:tcW w:w="1276" w:type="dxa"/>
            <w:noWrap/>
            <w:vAlign w:val="center"/>
          </w:tcPr>
          <w:p w14:paraId="510EEBF0" w14:textId="437D2BBA"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42.7</w:t>
            </w:r>
          </w:p>
        </w:tc>
        <w:tc>
          <w:tcPr>
            <w:tcW w:w="1559" w:type="dxa"/>
            <w:noWrap/>
            <w:vAlign w:val="center"/>
          </w:tcPr>
          <w:p w14:paraId="447E28D5" w14:textId="34036453"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219.8</w:t>
            </w:r>
          </w:p>
        </w:tc>
        <w:tc>
          <w:tcPr>
            <w:tcW w:w="1418" w:type="dxa"/>
            <w:noWrap/>
            <w:vAlign w:val="center"/>
          </w:tcPr>
          <w:p w14:paraId="36F15AA2"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0A58481E"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F509045"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00BB91FE"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Goulburn-Murray: Sedimentary Plain</w:t>
            </w:r>
          </w:p>
        </w:tc>
        <w:tc>
          <w:tcPr>
            <w:tcW w:w="992" w:type="dxa"/>
          </w:tcPr>
          <w:p w14:paraId="36DC788B"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GS8c</w:t>
            </w:r>
          </w:p>
        </w:tc>
        <w:tc>
          <w:tcPr>
            <w:tcW w:w="851" w:type="dxa"/>
            <w:vAlign w:val="center"/>
          </w:tcPr>
          <w:p w14:paraId="430939F9" w14:textId="012C9142"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223.0</w:t>
            </w:r>
          </w:p>
        </w:tc>
        <w:tc>
          <w:tcPr>
            <w:tcW w:w="1134" w:type="dxa"/>
            <w:vAlign w:val="center"/>
          </w:tcPr>
          <w:p w14:paraId="5401E3B7" w14:textId="25CD40EF"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223.0</w:t>
            </w:r>
          </w:p>
        </w:tc>
        <w:tc>
          <w:tcPr>
            <w:tcW w:w="992" w:type="dxa"/>
            <w:vAlign w:val="center"/>
          </w:tcPr>
          <w:p w14:paraId="6789D0A6" w14:textId="4E40CDE4"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75.4</w:t>
            </w:r>
          </w:p>
        </w:tc>
        <w:tc>
          <w:tcPr>
            <w:tcW w:w="1559" w:type="dxa"/>
            <w:noWrap/>
            <w:vAlign w:val="center"/>
          </w:tcPr>
          <w:p w14:paraId="2D166319" w14:textId="27278A98"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446.0</w:t>
            </w:r>
          </w:p>
        </w:tc>
        <w:tc>
          <w:tcPr>
            <w:tcW w:w="1418" w:type="dxa"/>
            <w:noWrap/>
            <w:vAlign w:val="center"/>
          </w:tcPr>
          <w:p w14:paraId="4EE4740C" w14:textId="32FCB473"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228.4</w:t>
            </w:r>
          </w:p>
        </w:tc>
        <w:tc>
          <w:tcPr>
            <w:tcW w:w="1559" w:type="dxa"/>
            <w:vAlign w:val="center"/>
          </w:tcPr>
          <w:p w14:paraId="2D44D284"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444CE9D8" w14:textId="23A3615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44.6</w:t>
            </w:r>
          </w:p>
        </w:tc>
        <w:tc>
          <w:tcPr>
            <w:tcW w:w="1559" w:type="dxa"/>
            <w:noWrap/>
            <w:vAlign w:val="center"/>
          </w:tcPr>
          <w:p w14:paraId="55B3DFC8" w14:textId="4DDA1DF9"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669.0</w:t>
            </w:r>
          </w:p>
        </w:tc>
        <w:tc>
          <w:tcPr>
            <w:tcW w:w="1276" w:type="dxa"/>
            <w:noWrap/>
            <w:vAlign w:val="center"/>
          </w:tcPr>
          <w:p w14:paraId="709CCD1A" w14:textId="43BCAB5B"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303.8</w:t>
            </w:r>
          </w:p>
        </w:tc>
        <w:tc>
          <w:tcPr>
            <w:tcW w:w="1559" w:type="dxa"/>
            <w:noWrap/>
            <w:vAlign w:val="center"/>
          </w:tcPr>
          <w:p w14:paraId="4A75494B" w14:textId="380689FE"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713.6</w:t>
            </w:r>
          </w:p>
        </w:tc>
        <w:tc>
          <w:tcPr>
            <w:tcW w:w="1418" w:type="dxa"/>
            <w:noWrap/>
            <w:vAlign w:val="center"/>
          </w:tcPr>
          <w:p w14:paraId="10899CF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755365DE"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7D34ED5"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00843A78"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Goulburn-Murray: deep</w:t>
            </w:r>
          </w:p>
        </w:tc>
        <w:tc>
          <w:tcPr>
            <w:tcW w:w="992" w:type="dxa"/>
          </w:tcPr>
          <w:p w14:paraId="6BC3AF16"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GS8d</w:t>
            </w:r>
          </w:p>
        </w:tc>
        <w:tc>
          <w:tcPr>
            <w:tcW w:w="851" w:type="dxa"/>
            <w:vAlign w:val="center"/>
          </w:tcPr>
          <w:p w14:paraId="4D20C040" w14:textId="6DE89722"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20.0</w:t>
            </w:r>
          </w:p>
        </w:tc>
        <w:tc>
          <w:tcPr>
            <w:tcW w:w="1134" w:type="dxa"/>
            <w:vAlign w:val="center"/>
          </w:tcPr>
          <w:p w14:paraId="7C7C33C8" w14:textId="0EFAE698"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20.0</w:t>
            </w:r>
          </w:p>
        </w:tc>
        <w:tc>
          <w:tcPr>
            <w:tcW w:w="992" w:type="dxa"/>
            <w:vAlign w:val="center"/>
          </w:tcPr>
          <w:p w14:paraId="43DB8C5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1.11</w:t>
            </w:r>
          </w:p>
        </w:tc>
        <w:tc>
          <w:tcPr>
            <w:tcW w:w="1559" w:type="dxa"/>
            <w:noWrap/>
            <w:vAlign w:val="center"/>
          </w:tcPr>
          <w:p w14:paraId="58A4F725" w14:textId="4A6D16C8"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40.0</w:t>
            </w:r>
          </w:p>
        </w:tc>
        <w:tc>
          <w:tcPr>
            <w:tcW w:w="1418" w:type="dxa"/>
            <w:noWrap/>
            <w:vAlign w:val="center"/>
          </w:tcPr>
          <w:p w14:paraId="4BAA301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2.28</w:t>
            </w:r>
          </w:p>
        </w:tc>
        <w:tc>
          <w:tcPr>
            <w:tcW w:w="1559" w:type="dxa"/>
            <w:vAlign w:val="center"/>
          </w:tcPr>
          <w:p w14:paraId="5B03C08A"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39FE545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4.00</w:t>
            </w:r>
          </w:p>
        </w:tc>
        <w:tc>
          <w:tcPr>
            <w:tcW w:w="1559" w:type="dxa"/>
            <w:noWrap/>
            <w:vAlign w:val="center"/>
          </w:tcPr>
          <w:p w14:paraId="6CF637CA" w14:textId="560FCE06"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60.0</w:t>
            </w:r>
          </w:p>
        </w:tc>
        <w:tc>
          <w:tcPr>
            <w:tcW w:w="1276" w:type="dxa"/>
            <w:noWrap/>
            <w:vAlign w:val="center"/>
          </w:tcPr>
          <w:p w14:paraId="3CC7245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3.39</w:t>
            </w:r>
          </w:p>
        </w:tc>
        <w:tc>
          <w:tcPr>
            <w:tcW w:w="1559" w:type="dxa"/>
            <w:noWrap/>
            <w:vAlign w:val="center"/>
          </w:tcPr>
          <w:p w14:paraId="3EC9DD12" w14:textId="375F8E1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64.0</w:t>
            </w:r>
          </w:p>
        </w:tc>
        <w:tc>
          <w:tcPr>
            <w:tcW w:w="1418" w:type="dxa"/>
            <w:noWrap/>
            <w:vAlign w:val="center"/>
          </w:tcPr>
          <w:p w14:paraId="6132CF9B"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6ADEBDA4"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B77D975"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5FDE0EE1"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Wimmera-Mallee: Highlands</w:t>
            </w:r>
          </w:p>
        </w:tc>
        <w:tc>
          <w:tcPr>
            <w:tcW w:w="992" w:type="dxa"/>
          </w:tcPr>
          <w:p w14:paraId="64EDC27A"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GS9a</w:t>
            </w:r>
          </w:p>
        </w:tc>
        <w:tc>
          <w:tcPr>
            <w:tcW w:w="851" w:type="dxa"/>
            <w:vAlign w:val="center"/>
          </w:tcPr>
          <w:p w14:paraId="104A9C03"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2.75</w:t>
            </w:r>
          </w:p>
        </w:tc>
        <w:tc>
          <w:tcPr>
            <w:tcW w:w="1134" w:type="dxa"/>
            <w:vAlign w:val="center"/>
          </w:tcPr>
          <w:p w14:paraId="194FE2D4"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2.75</w:t>
            </w:r>
          </w:p>
        </w:tc>
        <w:tc>
          <w:tcPr>
            <w:tcW w:w="992" w:type="dxa"/>
            <w:vAlign w:val="center"/>
          </w:tcPr>
          <w:p w14:paraId="28BD9A4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0.98</w:t>
            </w:r>
          </w:p>
        </w:tc>
        <w:tc>
          <w:tcPr>
            <w:tcW w:w="1559" w:type="dxa"/>
            <w:noWrap/>
            <w:vAlign w:val="center"/>
          </w:tcPr>
          <w:p w14:paraId="0CD4B000"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5.50</w:t>
            </w:r>
          </w:p>
        </w:tc>
        <w:tc>
          <w:tcPr>
            <w:tcW w:w="1418" w:type="dxa"/>
            <w:noWrap/>
            <w:vAlign w:val="center"/>
          </w:tcPr>
          <w:p w14:paraId="56709C6E"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2.05</w:t>
            </w:r>
          </w:p>
        </w:tc>
        <w:tc>
          <w:tcPr>
            <w:tcW w:w="1559" w:type="dxa"/>
            <w:vAlign w:val="center"/>
          </w:tcPr>
          <w:p w14:paraId="392E1D26"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392117F1"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0.55</w:t>
            </w:r>
          </w:p>
        </w:tc>
        <w:tc>
          <w:tcPr>
            <w:tcW w:w="1559" w:type="dxa"/>
            <w:noWrap/>
            <w:vAlign w:val="center"/>
          </w:tcPr>
          <w:p w14:paraId="45A049E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8.25</w:t>
            </w:r>
          </w:p>
        </w:tc>
        <w:tc>
          <w:tcPr>
            <w:tcW w:w="1276" w:type="dxa"/>
            <w:noWrap/>
            <w:vAlign w:val="center"/>
          </w:tcPr>
          <w:p w14:paraId="3140C69D"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3.03</w:t>
            </w:r>
          </w:p>
        </w:tc>
        <w:tc>
          <w:tcPr>
            <w:tcW w:w="1559" w:type="dxa"/>
            <w:noWrap/>
            <w:vAlign w:val="center"/>
          </w:tcPr>
          <w:p w14:paraId="1D1053BF"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8.80</w:t>
            </w:r>
          </w:p>
        </w:tc>
        <w:tc>
          <w:tcPr>
            <w:tcW w:w="1418" w:type="dxa"/>
            <w:noWrap/>
            <w:vAlign w:val="center"/>
          </w:tcPr>
          <w:p w14:paraId="166990A5"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3365DCAE"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7E1E2327"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653782A1"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Wimmera-Mallee: Sedimentary Plain</w:t>
            </w:r>
          </w:p>
        </w:tc>
        <w:tc>
          <w:tcPr>
            <w:tcW w:w="992" w:type="dxa"/>
          </w:tcPr>
          <w:p w14:paraId="1D9B573F"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GS9b</w:t>
            </w:r>
          </w:p>
        </w:tc>
        <w:tc>
          <w:tcPr>
            <w:tcW w:w="851" w:type="dxa"/>
            <w:vAlign w:val="center"/>
          </w:tcPr>
          <w:p w14:paraId="6B6ECFEB" w14:textId="67DA5D32"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186.9</w:t>
            </w:r>
          </w:p>
        </w:tc>
        <w:tc>
          <w:tcPr>
            <w:tcW w:w="1134" w:type="dxa"/>
            <w:vAlign w:val="center"/>
          </w:tcPr>
          <w:p w14:paraId="152B67E1" w14:textId="3F362F6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186.9</w:t>
            </w:r>
          </w:p>
        </w:tc>
        <w:tc>
          <w:tcPr>
            <w:tcW w:w="992" w:type="dxa"/>
            <w:vAlign w:val="center"/>
          </w:tcPr>
          <w:p w14:paraId="3D3CDFCE"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7.77</w:t>
            </w:r>
          </w:p>
        </w:tc>
        <w:tc>
          <w:tcPr>
            <w:tcW w:w="1559" w:type="dxa"/>
            <w:noWrap/>
            <w:vAlign w:val="center"/>
          </w:tcPr>
          <w:p w14:paraId="6362BD19" w14:textId="1CC4DC35"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373.8</w:t>
            </w:r>
          </w:p>
        </w:tc>
        <w:tc>
          <w:tcPr>
            <w:tcW w:w="1418" w:type="dxa"/>
            <w:noWrap/>
            <w:vAlign w:val="center"/>
          </w:tcPr>
          <w:p w14:paraId="5DFD4B10" w14:textId="47409EAB"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14.4</w:t>
            </w:r>
          </w:p>
        </w:tc>
        <w:tc>
          <w:tcPr>
            <w:tcW w:w="1559" w:type="dxa"/>
            <w:vAlign w:val="center"/>
          </w:tcPr>
          <w:p w14:paraId="59357CA1"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73FB01D4" w14:textId="1513CF8E"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37.4</w:t>
            </w:r>
          </w:p>
        </w:tc>
        <w:tc>
          <w:tcPr>
            <w:tcW w:w="1559" w:type="dxa"/>
            <w:noWrap/>
            <w:vAlign w:val="center"/>
          </w:tcPr>
          <w:p w14:paraId="7F821DF2" w14:textId="340E2E5D"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560.7</w:t>
            </w:r>
          </w:p>
        </w:tc>
        <w:tc>
          <w:tcPr>
            <w:tcW w:w="1276" w:type="dxa"/>
            <w:noWrap/>
            <w:vAlign w:val="center"/>
          </w:tcPr>
          <w:p w14:paraId="3DC3B78A" w14:textId="1F156CF8"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22.2</w:t>
            </w:r>
          </w:p>
        </w:tc>
        <w:tc>
          <w:tcPr>
            <w:tcW w:w="1559" w:type="dxa"/>
            <w:noWrap/>
            <w:vAlign w:val="center"/>
          </w:tcPr>
          <w:p w14:paraId="1864EEE5" w14:textId="14022F01"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598.1</w:t>
            </w:r>
          </w:p>
        </w:tc>
        <w:tc>
          <w:tcPr>
            <w:tcW w:w="1418" w:type="dxa"/>
            <w:noWrap/>
            <w:vAlign w:val="center"/>
          </w:tcPr>
          <w:p w14:paraId="732D7EC9"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7DE71551"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5CFDC32"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VIC</w:t>
            </w:r>
          </w:p>
        </w:tc>
        <w:tc>
          <w:tcPr>
            <w:tcW w:w="3544" w:type="dxa"/>
            <w:noWrap/>
            <w:vAlign w:val="center"/>
            <w:hideMark/>
          </w:tcPr>
          <w:p w14:paraId="723F53F6"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Wimmera-Mallee: deep</w:t>
            </w:r>
          </w:p>
        </w:tc>
        <w:tc>
          <w:tcPr>
            <w:tcW w:w="992" w:type="dxa"/>
          </w:tcPr>
          <w:p w14:paraId="0284F07E"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GS9c</w:t>
            </w:r>
          </w:p>
        </w:tc>
        <w:tc>
          <w:tcPr>
            <w:tcW w:w="851" w:type="dxa"/>
            <w:vAlign w:val="center"/>
          </w:tcPr>
          <w:p w14:paraId="410AC972" w14:textId="32D1E2BA"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20.0</w:t>
            </w:r>
          </w:p>
        </w:tc>
        <w:tc>
          <w:tcPr>
            <w:tcW w:w="1134" w:type="dxa"/>
            <w:vAlign w:val="center"/>
          </w:tcPr>
          <w:p w14:paraId="55DEF2AE" w14:textId="38F3B73D"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20.0</w:t>
            </w:r>
          </w:p>
        </w:tc>
        <w:tc>
          <w:tcPr>
            <w:tcW w:w="992" w:type="dxa"/>
            <w:vAlign w:val="center"/>
          </w:tcPr>
          <w:p w14:paraId="6510ED01"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0.70</w:t>
            </w:r>
          </w:p>
        </w:tc>
        <w:tc>
          <w:tcPr>
            <w:tcW w:w="1559" w:type="dxa"/>
            <w:noWrap/>
            <w:vAlign w:val="center"/>
          </w:tcPr>
          <w:p w14:paraId="55611980" w14:textId="78C96571"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40.0</w:t>
            </w:r>
          </w:p>
        </w:tc>
        <w:tc>
          <w:tcPr>
            <w:tcW w:w="1418" w:type="dxa"/>
            <w:noWrap/>
            <w:vAlign w:val="center"/>
          </w:tcPr>
          <w:p w14:paraId="091C310D"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0.13</w:t>
            </w:r>
          </w:p>
        </w:tc>
        <w:tc>
          <w:tcPr>
            <w:tcW w:w="1559" w:type="dxa"/>
            <w:vAlign w:val="center"/>
          </w:tcPr>
          <w:p w14:paraId="19926244"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1FD09A6E"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4.00</w:t>
            </w:r>
          </w:p>
        </w:tc>
        <w:tc>
          <w:tcPr>
            <w:tcW w:w="1559" w:type="dxa"/>
            <w:noWrap/>
            <w:vAlign w:val="center"/>
          </w:tcPr>
          <w:p w14:paraId="20C12BA1" w14:textId="6145886D"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60.0</w:t>
            </w:r>
          </w:p>
        </w:tc>
        <w:tc>
          <w:tcPr>
            <w:tcW w:w="1276" w:type="dxa"/>
            <w:noWrap/>
            <w:vAlign w:val="center"/>
          </w:tcPr>
          <w:p w14:paraId="2DB385C6"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0.83</w:t>
            </w:r>
          </w:p>
        </w:tc>
        <w:tc>
          <w:tcPr>
            <w:tcW w:w="1559" w:type="dxa"/>
            <w:noWrap/>
            <w:vAlign w:val="center"/>
          </w:tcPr>
          <w:p w14:paraId="5B1FBEF1" w14:textId="438F987C"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64.0</w:t>
            </w:r>
          </w:p>
        </w:tc>
        <w:tc>
          <w:tcPr>
            <w:tcW w:w="1418" w:type="dxa"/>
            <w:noWrap/>
            <w:vAlign w:val="center"/>
          </w:tcPr>
          <w:p w14:paraId="6BECFE5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411E9E45"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2529B50C"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4C134122"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Mallee (Pliocene Sands)</w:t>
            </w:r>
          </w:p>
        </w:tc>
        <w:tc>
          <w:tcPr>
            <w:tcW w:w="992" w:type="dxa"/>
          </w:tcPr>
          <w:p w14:paraId="19B6A2E6"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GS3a</w:t>
            </w:r>
          </w:p>
        </w:tc>
        <w:tc>
          <w:tcPr>
            <w:tcW w:w="851" w:type="dxa"/>
            <w:vAlign w:val="center"/>
          </w:tcPr>
          <w:p w14:paraId="0E941A77" w14:textId="76D9B38C"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41.4</w:t>
            </w:r>
          </w:p>
        </w:tc>
        <w:tc>
          <w:tcPr>
            <w:tcW w:w="1134" w:type="dxa"/>
            <w:vAlign w:val="center"/>
          </w:tcPr>
          <w:p w14:paraId="62C7F097" w14:textId="18C9EE49"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41.4</w:t>
            </w:r>
          </w:p>
        </w:tc>
        <w:tc>
          <w:tcPr>
            <w:tcW w:w="992" w:type="dxa"/>
            <w:vAlign w:val="center"/>
          </w:tcPr>
          <w:p w14:paraId="2B65B4E3"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0.00</w:t>
            </w:r>
          </w:p>
        </w:tc>
        <w:tc>
          <w:tcPr>
            <w:tcW w:w="1559" w:type="dxa"/>
            <w:noWrap/>
            <w:vAlign w:val="center"/>
          </w:tcPr>
          <w:p w14:paraId="77D92EBF" w14:textId="15C713B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82.8</w:t>
            </w:r>
          </w:p>
        </w:tc>
        <w:tc>
          <w:tcPr>
            <w:tcW w:w="1418" w:type="dxa"/>
            <w:noWrap/>
            <w:vAlign w:val="center"/>
          </w:tcPr>
          <w:p w14:paraId="61E33DC3"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vAlign w:val="center"/>
          </w:tcPr>
          <w:p w14:paraId="65C53CBA"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5AB79212"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8.28</w:t>
            </w:r>
          </w:p>
        </w:tc>
        <w:tc>
          <w:tcPr>
            <w:tcW w:w="1559" w:type="dxa"/>
            <w:noWrap/>
            <w:vAlign w:val="center"/>
          </w:tcPr>
          <w:p w14:paraId="4F6BA8F6" w14:textId="114BA82D"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124.2</w:t>
            </w:r>
          </w:p>
        </w:tc>
        <w:tc>
          <w:tcPr>
            <w:tcW w:w="1276" w:type="dxa"/>
            <w:noWrap/>
            <w:vAlign w:val="center"/>
          </w:tcPr>
          <w:p w14:paraId="703DB8D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noWrap/>
            <w:vAlign w:val="center"/>
          </w:tcPr>
          <w:p w14:paraId="0AE8D0EC" w14:textId="1E7F7A46"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132.5</w:t>
            </w:r>
          </w:p>
        </w:tc>
        <w:tc>
          <w:tcPr>
            <w:tcW w:w="1418" w:type="dxa"/>
            <w:noWrap/>
            <w:vAlign w:val="center"/>
          </w:tcPr>
          <w:p w14:paraId="20A3A5DC"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3DFB0B67"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EAAA37E"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034EFE3B"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Mallee (Murray Group Limestone)</w:t>
            </w:r>
          </w:p>
        </w:tc>
        <w:tc>
          <w:tcPr>
            <w:tcW w:w="992" w:type="dxa"/>
          </w:tcPr>
          <w:p w14:paraId="087BCEAA"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GS3b</w:t>
            </w:r>
          </w:p>
        </w:tc>
        <w:tc>
          <w:tcPr>
            <w:tcW w:w="851" w:type="dxa"/>
            <w:vAlign w:val="center"/>
          </w:tcPr>
          <w:p w14:paraId="10B41034" w14:textId="1B82A48D"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63.6</w:t>
            </w:r>
          </w:p>
        </w:tc>
        <w:tc>
          <w:tcPr>
            <w:tcW w:w="1134" w:type="dxa"/>
            <w:vAlign w:val="center"/>
          </w:tcPr>
          <w:p w14:paraId="66DE4716" w14:textId="7DEF75E2"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63.6</w:t>
            </w:r>
          </w:p>
        </w:tc>
        <w:tc>
          <w:tcPr>
            <w:tcW w:w="992" w:type="dxa"/>
            <w:vAlign w:val="center"/>
          </w:tcPr>
          <w:p w14:paraId="785A0E63" w14:textId="668A55F0"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34.7</w:t>
            </w:r>
          </w:p>
        </w:tc>
        <w:tc>
          <w:tcPr>
            <w:tcW w:w="1559" w:type="dxa"/>
            <w:noWrap/>
            <w:vAlign w:val="center"/>
          </w:tcPr>
          <w:p w14:paraId="31E6E9FF" w14:textId="640FB552"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127.2</w:t>
            </w:r>
          </w:p>
        </w:tc>
        <w:tc>
          <w:tcPr>
            <w:tcW w:w="1418" w:type="dxa"/>
            <w:noWrap/>
            <w:vAlign w:val="center"/>
          </w:tcPr>
          <w:p w14:paraId="02ABA333" w14:textId="49AC028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72.2</w:t>
            </w:r>
          </w:p>
        </w:tc>
        <w:tc>
          <w:tcPr>
            <w:tcW w:w="1559" w:type="dxa"/>
            <w:vAlign w:val="center"/>
          </w:tcPr>
          <w:p w14:paraId="0DA07A8D"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608A2E57" w14:textId="66E9B28F"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12.7</w:t>
            </w:r>
          </w:p>
        </w:tc>
        <w:tc>
          <w:tcPr>
            <w:tcW w:w="1559" w:type="dxa"/>
            <w:noWrap/>
            <w:vAlign w:val="center"/>
          </w:tcPr>
          <w:p w14:paraId="3020BC83" w14:textId="2E73F6A9"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190.8</w:t>
            </w:r>
          </w:p>
        </w:tc>
        <w:tc>
          <w:tcPr>
            <w:tcW w:w="1276" w:type="dxa"/>
            <w:noWrap/>
            <w:vAlign w:val="center"/>
          </w:tcPr>
          <w:p w14:paraId="72ECBF8F" w14:textId="31CA7BA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106.9</w:t>
            </w:r>
          </w:p>
        </w:tc>
        <w:tc>
          <w:tcPr>
            <w:tcW w:w="1559" w:type="dxa"/>
            <w:noWrap/>
            <w:vAlign w:val="center"/>
          </w:tcPr>
          <w:p w14:paraId="7F7DC635" w14:textId="3FF6695E"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203.5</w:t>
            </w:r>
          </w:p>
        </w:tc>
        <w:tc>
          <w:tcPr>
            <w:tcW w:w="1418" w:type="dxa"/>
            <w:noWrap/>
            <w:vAlign w:val="center"/>
          </w:tcPr>
          <w:p w14:paraId="1729E9C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72CBF110"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2F15584"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5F6AA6C2"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Mallee (Renmark Group)</w:t>
            </w:r>
          </w:p>
        </w:tc>
        <w:tc>
          <w:tcPr>
            <w:tcW w:w="992" w:type="dxa"/>
          </w:tcPr>
          <w:p w14:paraId="198C3958"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GS3c</w:t>
            </w:r>
          </w:p>
        </w:tc>
        <w:tc>
          <w:tcPr>
            <w:tcW w:w="851" w:type="dxa"/>
            <w:vAlign w:val="center"/>
          </w:tcPr>
          <w:p w14:paraId="3380A8C8"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2.00</w:t>
            </w:r>
          </w:p>
        </w:tc>
        <w:tc>
          <w:tcPr>
            <w:tcW w:w="1134" w:type="dxa"/>
            <w:vAlign w:val="center"/>
          </w:tcPr>
          <w:p w14:paraId="69D7C2E4"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2.00</w:t>
            </w:r>
          </w:p>
        </w:tc>
        <w:tc>
          <w:tcPr>
            <w:tcW w:w="992" w:type="dxa"/>
            <w:vAlign w:val="center"/>
          </w:tcPr>
          <w:p w14:paraId="155C948D"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0.00</w:t>
            </w:r>
          </w:p>
        </w:tc>
        <w:tc>
          <w:tcPr>
            <w:tcW w:w="1559" w:type="dxa"/>
            <w:noWrap/>
            <w:vAlign w:val="center"/>
          </w:tcPr>
          <w:p w14:paraId="1BBB9208"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4.00</w:t>
            </w:r>
          </w:p>
        </w:tc>
        <w:tc>
          <w:tcPr>
            <w:tcW w:w="1418" w:type="dxa"/>
            <w:noWrap/>
            <w:vAlign w:val="center"/>
          </w:tcPr>
          <w:p w14:paraId="05DE083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vAlign w:val="center"/>
          </w:tcPr>
          <w:p w14:paraId="31EDC82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0A242D0E"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0.40</w:t>
            </w:r>
          </w:p>
        </w:tc>
        <w:tc>
          <w:tcPr>
            <w:tcW w:w="1559" w:type="dxa"/>
            <w:noWrap/>
            <w:vAlign w:val="center"/>
          </w:tcPr>
          <w:p w14:paraId="28E11DF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6.00</w:t>
            </w:r>
          </w:p>
        </w:tc>
        <w:tc>
          <w:tcPr>
            <w:tcW w:w="1276" w:type="dxa"/>
            <w:noWrap/>
            <w:vAlign w:val="center"/>
          </w:tcPr>
          <w:p w14:paraId="5F48840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noWrap/>
            <w:vAlign w:val="center"/>
          </w:tcPr>
          <w:p w14:paraId="7BFE93FA"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6.40</w:t>
            </w:r>
          </w:p>
        </w:tc>
        <w:tc>
          <w:tcPr>
            <w:tcW w:w="1418" w:type="dxa"/>
            <w:noWrap/>
            <w:vAlign w:val="center"/>
          </w:tcPr>
          <w:p w14:paraId="707FD2EE"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3ED1B053"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4EBF5B7"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lastRenderedPageBreak/>
              <w:t>SA</w:t>
            </w:r>
          </w:p>
        </w:tc>
        <w:tc>
          <w:tcPr>
            <w:tcW w:w="3544" w:type="dxa"/>
            <w:noWrap/>
            <w:vAlign w:val="center"/>
            <w:hideMark/>
          </w:tcPr>
          <w:p w14:paraId="3B3E2D8B"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Peake–Roby–Sherlock (unconfined)</w:t>
            </w:r>
          </w:p>
        </w:tc>
        <w:tc>
          <w:tcPr>
            <w:tcW w:w="992" w:type="dxa"/>
          </w:tcPr>
          <w:p w14:paraId="5B6612F3"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GS5a</w:t>
            </w:r>
          </w:p>
        </w:tc>
        <w:tc>
          <w:tcPr>
            <w:tcW w:w="851" w:type="dxa"/>
            <w:vAlign w:val="center"/>
          </w:tcPr>
          <w:p w14:paraId="75F1CBDE"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3.41</w:t>
            </w:r>
          </w:p>
        </w:tc>
        <w:tc>
          <w:tcPr>
            <w:tcW w:w="1134" w:type="dxa"/>
            <w:vAlign w:val="center"/>
          </w:tcPr>
          <w:p w14:paraId="5826EA73"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3.41</w:t>
            </w:r>
          </w:p>
        </w:tc>
        <w:tc>
          <w:tcPr>
            <w:tcW w:w="992" w:type="dxa"/>
            <w:vAlign w:val="center"/>
          </w:tcPr>
          <w:p w14:paraId="67FD1FB5"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0.19</w:t>
            </w:r>
          </w:p>
        </w:tc>
        <w:tc>
          <w:tcPr>
            <w:tcW w:w="1559" w:type="dxa"/>
            <w:noWrap/>
            <w:vAlign w:val="center"/>
          </w:tcPr>
          <w:p w14:paraId="74B64C1A"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6.82</w:t>
            </w:r>
          </w:p>
        </w:tc>
        <w:tc>
          <w:tcPr>
            <w:tcW w:w="1418" w:type="dxa"/>
            <w:noWrap/>
            <w:vAlign w:val="center"/>
          </w:tcPr>
          <w:p w14:paraId="10926A20"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0.38</w:t>
            </w:r>
          </w:p>
        </w:tc>
        <w:tc>
          <w:tcPr>
            <w:tcW w:w="1559" w:type="dxa"/>
            <w:vAlign w:val="center"/>
          </w:tcPr>
          <w:p w14:paraId="5BFDF7A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3912E46A"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0.68</w:t>
            </w:r>
          </w:p>
        </w:tc>
        <w:tc>
          <w:tcPr>
            <w:tcW w:w="1559" w:type="dxa"/>
            <w:noWrap/>
            <w:vAlign w:val="center"/>
          </w:tcPr>
          <w:p w14:paraId="24D17E11" w14:textId="6B3521B9"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10.2</w:t>
            </w:r>
          </w:p>
        </w:tc>
        <w:tc>
          <w:tcPr>
            <w:tcW w:w="1276" w:type="dxa"/>
            <w:noWrap/>
            <w:vAlign w:val="center"/>
          </w:tcPr>
          <w:p w14:paraId="13DE1790"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0.57</w:t>
            </w:r>
          </w:p>
        </w:tc>
        <w:tc>
          <w:tcPr>
            <w:tcW w:w="1559" w:type="dxa"/>
            <w:noWrap/>
            <w:vAlign w:val="center"/>
          </w:tcPr>
          <w:p w14:paraId="4A3AAA6E" w14:textId="705BA998"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10.9</w:t>
            </w:r>
          </w:p>
        </w:tc>
        <w:tc>
          <w:tcPr>
            <w:tcW w:w="1418" w:type="dxa"/>
            <w:noWrap/>
            <w:vAlign w:val="center"/>
          </w:tcPr>
          <w:p w14:paraId="47A923D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1571EB00"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D662E3B"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24084B40"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Peake–Roby–Sherlock (confined)</w:t>
            </w:r>
          </w:p>
        </w:tc>
        <w:tc>
          <w:tcPr>
            <w:tcW w:w="992" w:type="dxa"/>
          </w:tcPr>
          <w:p w14:paraId="6D3BAA78"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GS5b</w:t>
            </w:r>
          </w:p>
        </w:tc>
        <w:tc>
          <w:tcPr>
            <w:tcW w:w="851" w:type="dxa"/>
            <w:vAlign w:val="center"/>
          </w:tcPr>
          <w:p w14:paraId="25079DB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2.58</w:t>
            </w:r>
          </w:p>
        </w:tc>
        <w:tc>
          <w:tcPr>
            <w:tcW w:w="1134" w:type="dxa"/>
            <w:vAlign w:val="center"/>
          </w:tcPr>
          <w:p w14:paraId="303AC43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2.58</w:t>
            </w:r>
          </w:p>
        </w:tc>
        <w:tc>
          <w:tcPr>
            <w:tcW w:w="992" w:type="dxa"/>
            <w:vAlign w:val="center"/>
          </w:tcPr>
          <w:p w14:paraId="598604B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0.92</w:t>
            </w:r>
          </w:p>
        </w:tc>
        <w:tc>
          <w:tcPr>
            <w:tcW w:w="1559" w:type="dxa"/>
            <w:noWrap/>
            <w:vAlign w:val="center"/>
          </w:tcPr>
          <w:p w14:paraId="056FA3B2"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5.16</w:t>
            </w:r>
          </w:p>
        </w:tc>
        <w:tc>
          <w:tcPr>
            <w:tcW w:w="1418" w:type="dxa"/>
            <w:noWrap/>
            <w:vAlign w:val="center"/>
          </w:tcPr>
          <w:p w14:paraId="26E7948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1.99</w:t>
            </w:r>
          </w:p>
        </w:tc>
        <w:tc>
          <w:tcPr>
            <w:tcW w:w="1559" w:type="dxa"/>
            <w:vAlign w:val="center"/>
          </w:tcPr>
          <w:p w14:paraId="1D39764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407B51F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0.52</w:t>
            </w:r>
          </w:p>
        </w:tc>
        <w:tc>
          <w:tcPr>
            <w:tcW w:w="1559" w:type="dxa"/>
            <w:noWrap/>
            <w:vAlign w:val="center"/>
          </w:tcPr>
          <w:p w14:paraId="5604583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7.74</w:t>
            </w:r>
          </w:p>
        </w:tc>
        <w:tc>
          <w:tcPr>
            <w:tcW w:w="1276" w:type="dxa"/>
            <w:noWrap/>
            <w:vAlign w:val="center"/>
          </w:tcPr>
          <w:p w14:paraId="7FB8BD2C"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2.91</w:t>
            </w:r>
          </w:p>
        </w:tc>
        <w:tc>
          <w:tcPr>
            <w:tcW w:w="1559" w:type="dxa"/>
            <w:noWrap/>
            <w:vAlign w:val="center"/>
          </w:tcPr>
          <w:p w14:paraId="6D3E2B9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8.26</w:t>
            </w:r>
          </w:p>
        </w:tc>
        <w:tc>
          <w:tcPr>
            <w:tcW w:w="1418" w:type="dxa"/>
            <w:noWrap/>
            <w:vAlign w:val="center"/>
          </w:tcPr>
          <w:p w14:paraId="051BC56F"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3155EE6F"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E5110E7"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170246B6"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SA Murray</w:t>
            </w:r>
          </w:p>
        </w:tc>
        <w:tc>
          <w:tcPr>
            <w:tcW w:w="992" w:type="dxa"/>
          </w:tcPr>
          <w:p w14:paraId="4D5F70F5"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GS6</w:t>
            </w:r>
          </w:p>
        </w:tc>
        <w:tc>
          <w:tcPr>
            <w:tcW w:w="851" w:type="dxa"/>
            <w:vAlign w:val="center"/>
          </w:tcPr>
          <w:p w14:paraId="617D53B9" w14:textId="078621EF"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64.8</w:t>
            </w:r>
          </w:p>
        </w:tc>
        <w:tc>
          <w:tcPr>
            <w:tcW w:w="1134" w:type="dxa"/>
            <w:vAlign w:val="center"/>
          </w:tcPr>
          <w:p w14:paraId="2001CF8E" w14:textId="3FD08F16"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64.8</w:t>
            </w:r>
          </w:p>
        </w:tc>
        <w:tc>
          <w:tcPr>
            <w:tcW w:w="992" w:type="dxa"/>
            <w:vAlign w:val="center"/>
          </w:tcPr>
          <w:p w14:paraId="00842AEB"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1.80</w:t>
            </w:r>
          </w:p>
        </w:tc>
        <w:tc>
          <w:tcPr>
            <w:tcW w:w="1559" w:type="dxa"/>
            <w:noWrap/>
            <w:vAlign w:val="center"/>
          </w:tcPr>
          <w:p w14:paraId="696F32EA" w14:textId="3F0E20D9"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129.6</w:t>
            </w:r>
          </w:p>
        </w:tc>
        <w:tc>
          <w:tcPr>
            <w:tcW w:w="1418" w:type="dxa"/>
            <w:noWrap/>
            <w:vAlign w:val="center"/>
          </w:tcPr>
          <w:p w14:paraId="6A012807"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3.60</w:t>
            </w:r>
          </w:p>
        </w:tc>
        <w:tc>
          <w:tcPr>
            <w:tcW w:w="1559" w:type="dxa"/>
            <w:vAlign w:val="center"/>
          </w:tcPr>
          <w:p w14:paraId="496984D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701AD079" w14:textId="1C0F073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13.0</w:t>
            </w:r>
          </w:p>
        </w:tc>
        <w:tc>
          <w:tcPr>
            <w:tcW w:w="1559" w:type="dxa"/>
            <w:noWrap/>
            <w:vAlign w:val="center"/>
          </w:tcPr>
          <w:p w14:paraId="4FBCA904" w14:textId="07948F6B"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194.4</w:t>
            </w:r>
          </w:p>
        </w:tc>
        <w:tc>
          <w:tcPr>
            <w:tcW w:w="1276" w:type="dxa"/>
            <w:noWrap/>
            <w:vAlign w:val="center"/>
          </w:tcPr>
          <w:p w14:paraId="13ACF06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5.40</w:t>
            </w:r>
          </w:p>
        </w:tc>
        <w:tc>
          <w:tcPr>
            <w:tcW w:w="1559" w:type="dxa"/>
            <w:noWrap/>
            <w:vAlign w:val="center"/>
          </w:tcPr>
          <w:p w14:paraId="6C901D46" w14:textId="694EA574"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207.4</w:t>
            </w:r>
          </w:p>
        </w:tc>
        <w:tc>
          <w:tcPr>
            <w:tcW w:w="1418" w:type="dxa"/>
            <w:noWrap/>
            <w:vAlign w:val="center"/>
          </w:tcPr>
          <w:p w14:paraId="6FBFEF8D"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17231427"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8A8D5B1"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101AB814"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SA Murray Salt Interception Schemes</w:t>
            </w:r>
          </w:p>
        </w:tc>
        <w:tc>
          <w:tcPr>
            <w:tcW w:w="992" w:type="dxa"/>
          </w:tcPr>
          <w:p w14:paraId="6C148365"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GS7</w:t>
            </w:r>
          </w:p>
        </w:tc>
        <w:tc>
          <w:tcPr>
            <w:tcW w:w="851" w:type="dxa"/>
            <w:vAlign w:val="center"/>
          </w:tcPr>
          <w:p w14:paraId="6A01B95E" w14:textId="092E4C1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28.6</w:t>
            </w:r>
          </w:p>
        </w:tc>
        <w:tc>
          <w:tcPr>
            <w:tcW w:w="1134" w:type="dxa"/>
            <w:vAlign w:val="center"/>
          </w:tcPr>
          <w:p w14:paraId="5F3138C4" w14:textId="5029552F"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28.6</w:t>
            </w:r>
          </w:p>
        </w:tc>
        <w:tc>
          <w:tcPr>
            <w:tcW w:w="992" w:type="dxa"/>
            <w:vAlign w:val="center"/>
          </w:tcPr>
          <w:p w14:paraId="7E5BAD70" w14:textId="5CB5D592"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13.2</w:t>
            </w:r>
          </w:p>
        </w:tc>
        <w:tc>
          <w:tcPr>
            <w:tcW w:w="1559" w:type="dxa"/>
            <w:noWrap/>
            <w:vAlign w:val="center"/>
          </w:tcPr>
          <w:p w14:paraId="1E1993A8" w14:textId="46CF38A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57.2</w:t>
            </w:r>
          </w:p>
        </w:tc>
        <w:tc>
          <w:tcPr>
            <w:tcW w:w="1418" w:type="dxa"/>
            <w:noWrap/>
            <w:vAlign w:val="center"/>
          </w:tcPr>
          <w:p w14:paraId="56425225" w14:textId="16BD26C0"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28.6</w:t>
            </w:r>
          </w:p>
        </w:tc>
        <w:tc>
          <w:tcPr>
            <w:tcW w:w="1559" w:type="dxa"/>
            <w:vAlign w:val="center"/>
          </w:tcPr>
          <w:p w14:paraId="49564589"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0DB6686C"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5.72</w:t>
            </w:r>
          </w:p>
        </w:tc>
        <w:tc>
          <w:tcPr>
            <w:tcW w:w="1559" w:type="dxa"/>
            <w:noWrap/>
            <w:vAlign w:val="center"/>
          </w:tcPr>
          <w:p w14:paraId="29D0ADEF" w14:textId="7184638C"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85.8</w:t>
            </w:r>
          </w:p>
        </w:tc>
        <w:tc>
          <w:tcPr>
            <w:tcW w:w="1276" w:type="dxa"/>
            <w:noWrap/>
            <w:vAlign w:val="center"/>
          </w:tcPr>
          <w:p w14:paraId="45AD743A" w14:textId="7EEBDCDA"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41.8</w:t>
            </w:r>
          </w:p>
        </w:tc>
        <w:tc>
          <w:tcPr>
            <w:tcW w:w="1559" w:type="dxa"/>
            <w:noWrap/>
            <w:vAlign w:val="center"/>
          </w:tcPr>
          <w:p w14:paraId="2A50BD13" w14:textId="3984A616"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91.5</w:t>
            </w:r>
          </w:p>
        </w:tc>
        <w:tc>
          <w:tcPr>
            <w:tcW w:w="1418" w:type="dxa"/>
            <w:noWrap/>
            <w:vAlign w:val="center"/>
          </w:tcPr>
          <w:p w14:paraId="767239DF"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4104B382"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7C8E4A0"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30F79A67"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Angas Bremer (Quaternary Sediments)</w:t>
            </w:r>
          </w:p>
        </w:tc>
        <w:tc>
          <w:tcPr>
            <w:tcW w:w="992" w:type="dxa"/>
          </w:tcPr>
          <w:p w14:paraId="25EB37D0"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GS1a</w:t>
            </w:r>
          </w:p>
        </w:tc>
        <w:tc>
          <w:tcPr>
            <w:tcW w:w="851" w:type="dxa"/>
            <w:vAlign w:val="center"/>
          </w:tcPr>
          <w:p w14:paraId="4BC8EA9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1.09</w:t>
            </w:r>
          </w:p>
        </w:tc>
        <w:tc>
          <w:tcPr>
            <w:tcW w:w="1134" w:type="dxa"/>
            <w:vAlign w:val="center"/>
          </w:tcPr>
          <w:p w14:paraId="75DCC6B8"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0.25</w:t>
            </w:r>
          </w:p>
        </w:tc>
        <w:tc>
          <w:tcPr>
            <w:tcW w:w="992" w:type="dxa"/>
            <w:vAlign w:val="center"/>
          </w:tcPr>
          <w:p w14:paraId="31C08A90"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0.00</w:t>
            </w:r>
          </w:p>
        </w:tc>
        <w:tc>
          <w:tcPr>
            <w:tcW w:w="1559" w:type="dxa"/>
            <w:noWrap/>
            <w:vAlign w:val="center"/>
          </w:tcPr>
          <w:p w14:paraId="42908AC2"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0.50</w:t>
            </w:r>
          </w:p>
        </w:tc>
        <w:tc>
          <w:tcPr>
            <w:tcW w:w="1418" w:type="dxa"/>
            <w:noWrap/>
            <w:vAlign w:val="center"/>
          </w:tcPr>
          <w:p w14:paraId="3E280327"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vAlign w:val="center"/>
          </w:tcPr>
          <w:p w14:paraId="200DBE5F"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4A4CF5C3"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0.22</w:t>
            </w:r>
          </w:p>
        </w:tc>
        <w:tc>
          <w:tcPr>
            <w:tcW w:w="1559" w:type="dxa"/>
            <w:noWrap/>
            <w:vAlign w:val="center"/>
          </w:tcPr>
          <w:p w14:paraId="057D1CF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0.75</w:t>
            </w:r>
          </w:p>
        </w:tc>
        <w:tc>
          <w:tcPr>
            <w:tcW w:w="1276" w:type="dxa"/>
            <w:noWrap/>
            <w:vAlign w:val="center"/>
          </w:tcPr>
          <w:p w14:paraId="2BCD3BD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noWrap/>
            <w:vAlign w:val="center"/>
          </w:tcPr>
          <w:p w14:paraId="7B7DC0EE"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0.97</w:t>
            </w:r>
          </w:p>
        </w:tc>
        <w:tc>
          <w:tcPr>
            <w:tcW w:w="1418" w:type="dxa"/>
            <w:noWrap/>
            <w:vAlign w:val="center"/>
          </w:tcPr>
          <w:p w14:paraId="225F6725"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700BE79C"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C675D7D"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547A6764"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Angas Bremer (Murray Group Limestone)</w:t>
            </w:r>
          </w:p>
        </w:tc>
        <w:tc>
          <w:tcPr>
            <w:tcW w:w="992" w:type="dxa"/>
          </w:tcPr>
          <w:p w14:paraId="76DD3F37"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GS1b</w:t>
            </w:r>
          </w:p>
        </w:tc>
        <w:tc>
          <w:tcPr>
            <w:tcW w:w="851" w:type="dxa"/>
            <w:vAlign w:val="center"/>
          </w:tcPr>
          <w:p w14:paraId="20CF23A8"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6.57</w:t>
            </w:r>
          </w:p>
        </w:tc>
        <w:tc>
          <w:tcPr>
            <w:tcW w:w="1134" w:type="dxa"/>
            <w:vAlign w:val="center"/>
          </w:tcPr>
          <w:p w14:paraId="4597B57A"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6.57</w:t>
            </w:r>
          </w:p>
        </w:tc>
        <w:tc>
          <w:tcPr>
            <w:tcW w:w="992" w:type="dxa"/>
            <w:vAlign w:val="center"/>
          </w:tcPr>
          <w:p w14:paraId="6819F42A"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0.95</w:t>
            </w:r>
          </w:p>
        </w:tc>
        <w:tc>
          <w:tcPr>
            <w:tcW w:w="1559" w:type="dxa"/>
            <w:noWrap/>
            <w:vAlign w:val="center"/>
          </w:tcPr>
          <w:p w14:paraId="46B8F036" w14:textId="30E45C74"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13.1</w:t>
            </w:r>
          </w:p>
        </w:tc>
        <w:tc>
          <w:tcPr>
            <w:tcW w:w="1418" w:type="dxa"/>
            <w:noWrap/>
            <w:vAlign w:val="center"/>
          </w:tcPr>
          <w:p w14:paraId="3FE4123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2.56</w:t>
            </w:r>
          </w:p>
        </w:tc>
        <w:tc>
          <w:tcPr>
            <w:tcW w:w="1559" w:type="dxa"/>
            <w:vAlign w:val="center"/>
          </w:tcPr>
          <w:p w14:paraId="2B9CD16E"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3A1B3AE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1.31</w:t>
            </w:r>
          </w:p>
        </w:tc>
        <w:tc>
          <w:tcPr>
            <w:tcW w:w="1559" w:type="dxa"/>
            <w:noWrap/>
            <w:vAlign w:val="center"/>
          </w:tcPr>
          <w:p w14:paraId="41B0B1B9" w14:textId="43BBAC6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19.7</w:t>
            </w:r>
          </w:p>
        </w:tc>
        <w:tc>
          <w:tcPr>
            <w:tcW w:w="1276" w:type="dxa"/>
            <w:noWrap/>
            <w:vAlign w:val="center"/>
          </w:tcPr>
          <w:p w14:paraId="329EEA50"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3.52</w:t>
            </w:r>
          </w:p>
        </w:tc>
        <w:tc>
          <w:tcPr>
            <w:tcW w:w="1559" w:type="dxa"/>
            <w:noWrap/>
            <w:vAlign w:val="center"/>
          </w:tcPr>
          <w:p w14:paraId="158FCC51" w14:textId="11D1B23A"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21.0</w:t>
            </w:r>
          </w:p>
        </w:tc>
        <w:tc>
          <w:tcPr>
            <w:tcW w:w="1418" w:type="dxa"/>
            <w:noWrap/>
            <w:vAlign w:val="center"/>
          </w:tcPr>
          <w:p w14:paraId="489DFD51"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4C025707"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3C14E0D"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79DBFE4B"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Eastern Mount Lofty Ranges</w:t>
            </w:r>
          </w:p>
        </w:tc>
        <w:tc>
          <w:tcPr>
            <w:tcW w:w="992" w:type="dxa"/>
          </w:tcPr>
          <w:p w14:paraId="07B77E95"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GS2</w:t>
            </w:r>
          </w:p>
        </w:tc>
        <w:tc>
          <w:tcPr>
            <w:tcW w:w="851" w:type="dxa"/>
            <w:vAlign w:val="center"/>
          </w:tcPr>
          <w:p w14:paraId="257FCD02" w14:textId="34AF2780"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38.5</w:t>
            </w:r>
          </w:p>
        </w:tc>
        <w:tc>
          <w:tcPr>
            <w:tcW w:w="1134" w:type="dxa"/>
            <w:vAlign w:val="center"/>
          </w:tcPr>
          <w:p w14:paraId="32E88604" w14:textId="3E8B1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38.5</w:t>
            </w:r>
          </w:p>
        </w:tc>
        <w:tc>
          <w:tcPr>
            <w:tcW w:w="992" w:type="dxa"/>
            <w:vAlign w:val="center"/>
          </w:tcPr>
          <w:p w14:paraId="1D6A1B73" w14:textId="79101262"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11.2</w:t>
            </w:r>
          </w:p>
        </w:tc>
        <w:tc>
          <w:tcPr>
            <w:tcW w:w="1559" w:type="dxa"/>
            <w:noWrap/>
            <w:vAlign w:val="center"/>
          </w:tcPr>
          <w:p w14:paraId="0AABD602" w14:textId="789E37DA"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77.0</w:t>
            </w:r>
          </w:p>
        </w:tc>
        <w:tc>
          <w:tcPr>
            <w:tcW w:w="1418" w:type="dxa"/>
            <w:noWrap/>
            <w:vAlign w:val="center"/>
          </w:tcPr>
          <w:p w14:paraId="7D3DCC49" w14:textId="68D1A8F1"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20.4</w:t>
            </w:r>
          </w:p>
        </w:tc>
        <w:tc>
          <w:tcPr>
            <w:tcW w:w="1559" w:type="dxa"/>
            <w:vAlign w:val="center"/>
          </w:tcPr>
          <w:p w14:paraId="46D30A40"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293D0B4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7.70</w:t>
            </w:r>
          </w:p>
        </w:tc>
        <w:tc>
          <w:tcPr>
            <w:tcW w:w="1559" w:type="dxa"/>
            <w:noWrap/>
            <w:vAlign w:val="center"/>
          </w:tcPr>
          <w:p w14:paraId="25E7387B" w14:textId="4E4B246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115.5</w:t>
            </w:r>
          </w:p>
        </w:tc>
        <w:tc>
          <w:tcPr>
            <w:tcW w:w="1276" w:type="dxa"/>
            <w:noWrap/>
            <w:vAlign w:val="center"/>
          </w:tcPr>
          <w:p w14:paraId="326E804E" w14:textId="33C0711D"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31.6</w:t>
            </w:r>
          </w:p>
        </w:tc>
        <w:tc>
          <w:tcPr>
            <w:tcW w:w="1559" w:type="dxa"/>
            <w:noWrap/>
            <w:vAlign w:val="center"/>
          </w:tcPr>
          <w:p w14:paraId="543CFDF6" w14:textId="78C03C60"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123.2</w:t>
            </w:r>
          </w:p>
        </w:tc>
        <w:tc>
          <w:tcPr>
            <w:tcW w:w="1418" w:type="dxa"/>
            <w:noWrap/>
            <w:vAlign w:val="center"/>
          </w:tcPr>
          <w:p w14:paraId="42E7A71A"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6409FB36"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0D1856E"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50F8974A"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Marne Saunders (Fractured Rock)</w:t>
            </w:r>
          </w:p>
        </w:tc>
        <w:tc>
          <w:tcPr>
            <w:tcW w:w="992" w:type="dxa"/>
          </w:tcPr>
          <w:p w14:paraId="6BD0D2EA"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GS4a</w:t>
            </w:r>
          </w:p>
        </w:tc>
        <w:tc>
          <w:tcPr>
            <w:tcW w:w="851" w:type="dxa"/>
            <w:vAlign w:val="center"/>
          </w:tcPr>
          <w:p w14:paraId="45383D7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2.09</w:t>
            </w:r>
          </w:p>
        </w:tc>
        <w:tc>
          <w:tcPr>
            <w:tcW w:w="1134" w:type="dxa"/>
            <w:vAlign w:val="center"/>
          </w:tcPr>
          <w:p w14:paraId="199ACBC9"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2.09</w:t>
            </w:r>
          </w:p>
        </w:tc>
        <w:tc>
          <w:tcPr>
            <w:tcW w:w="992" w:type="dxa"/>
            <w:vAlign w:val="center"/>
          </w:tcPr>
          <w:p w14:paraId="6288916B"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0.45</w:t>
            </w:r>
          </w:p>
        </w:tc>
        <w:tc>
          <w:tcPr>
            <w:tcW w:w="1559" w:type="dxa"/>
            <w:noWrap/>
            <w:vAlign w:val="center"/>
          </w:tcPr>
          <w:p w14:paraId="2C3FA6F0"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4.18</w:t>
            </w:r>
          </w:p>
        </w:tc>
        <w:tc>
          <w:tcPr>
            <w:tcW w:w="1418" w:type="dxa"/>
            <w:noWrap/>
            <w:vAlign w:val="center"/>
          </w:tcPr>
          <w:p w14:paraId="20F422B3"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1.07</w:t>
            </w:r>
          </w:p>
        </w:tc>
        <w:tc>
          <w:tcPr>
            <w:tcW w:w="1559" w:type="dxa"/>
            <w:vAlign w:val="center"/>
          </w:tcPr>
          <w:p w14:paraId="50E3FAE1"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551C5903"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0.42</w:t>
            </w:r>
          </w:p>
        </w:tc>
        <w:tc>
          <w:tcPr>
            <w:tcW w:w="1559" w:type="dxa"/>
            <w:noWrap/>
            <w:vAlign w:val="center"/>
          </w:tcPr>
          <w:p w14:paraId="3B8FA8AC"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6.27</w:t>
            </w:r>
          </w:p>
        </w:tc>
        <w:tc>
          <w:tcPr>
            <w:tcW w:w="1276" w:type="dxa"/>
            <w:noWrap/>
            <w:vAlign w:val="center"/>
          </w:tcPr>
          <w:p w14:paraId="1146AD7F"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1.53</w:t>
            </w:r>
          </w:p>
        </w:tc>
        <w:tc>
          <w:tcPr>
            <w:tcW w:w="1559" w:type="dxa"/>
            <w:noWrap/>
            <w:vAlign w:val="center"/>
          </w:tcPr>
          <w:p w14:paraId="5F7AA0E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6.69</w:t>
            </w:r>
          </w:p>
        </w:tc>
        <w:tc>
          <w:tcPr>
            <w:tcW w:w="1418" w:type="dxa"/>
            <w:noWrap/>
            <w:vAlign w:val="center"/>
          </w:tcPr>
          <w:p w14:paraId="7E7B877E"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1A0D450E" w14:textId="77777777" w:rsidTr="00AA51F8">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DF72BFE"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3E5FA643" w14:textId="77777777" w:rsidR="00E76358" w:rsidRPr="00642BE9" w:rsidRDefault="00AD6FA7" w:rsidP="00E76358">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color w:val="000000"/>
                <w:sz w:val="18"/>
                <w:szCs w:val="18"/>
              </w:rPr>
              <w:t xml:space="preserve">Marne Saunders (Murray Group Limestone) </w:t>
            </w:r>
          </w:p>
        </w:tc>
        <w:tc>
          <w:tcPr>
            <w:tcW w:w="992" w:type="dxa"/>
          </w:tcPr>
          <w:p w14:paraId="767A1CE5"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sz w:val="18"/>
                <w:szCs w:val="18"/>
              </w:rPr>
              <w:t>GS4b</w:t>
            </w:r>
          </w:p>
        </w:tc>
        <w:tc>
          <w:tcPr>
            <w:tcW w:w="851" w:type="dxa"/>
            <w:vAlign w:val="center"/>
          </w:tcPr>
          <w:p w14:paraId="45B3851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2.38</w:t>
            </w:r>
          </w:p>
        </w:tc>
        <w:tc>
          <w:tcPr>
            <w:tcW w:w="1134" w:type="dxa"/>
            <w:vAlign w:val="center"/>
          </w:tcPr>
          <w:p w14:paraId="13067032"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2.34</w:t>
            </w:r>
          </w:p>
        </w:tc>
        <w:tc>
          <w:tcPr>
            <w:tcW w:w="992" w:type="dxa"/>
            <w:vAlign w:val="center"/>
          </w:tcPr>
          <w:p w14:paraId="790AECA7"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2BE9">
              <w:rPr>
                <w:rFonts w:cs="Arial"/>
                <w:color w:val="000000"/>
                <w:sz w:val="18"/>
                <w:szCs w:val="18"/>
              </w:rPr>
              <w:t>1.19</w:t>
            </w:r>
          </w:p>
        </w:tc>
        <w:tc>
          <w:tcPr>
            <w:tcW w:w="1559" w:type="dxa"/>
            <w:noWrap/>
            <w:vAlign w:val="center"/>
          </w:tcPr>
          <w:p w14:paraId="3325AF3D"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4.68</w:t>
            </w:r>
          </w:p>
        </w:tc>
        <w:tc>
          <w:tcPr>
            <w:tcW w:w="1418" w:type="dxa"/>
            <w:noWrap/>
            <w:vAlign w:val="center"/>
          </w:tcPr>
          <w:p w14:paraId="47C098A4"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2.51</w:t>
            </w:r>
          </w:p>
        </w:tc>
        <w:tc>
          <w:tcPr>
            <w:tcW w:w="1559" w:type="dxa"/>
            <w:vAlign w:val="center"/>
          </w:tcPr>
          <w:p w14:paraId="42ACB17B"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762196B8"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0.48</w:t>
            </w:r>
          </w:p>
        </w:tc>
        <w:tc>
          <w:tcPr>
            <w:tcW w:w="1559" w:type="dxa"/>
            <w:noWrap/>
            <w:vAlign w:val="center"/>
          </w:tcPr>
          <w:p w14:paraId="01A00549"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7.02</w:t>
            </w:r>
          </w:p>
        </w:tc>
        <w:tc>
          <w:tcPr>
            <w:tcW w:w="1276" w:type="dxa"/>
            <w:noWrap/>
            <w:vAlign w:val="center"/>
          </w:tcPr>
          <w:p w14:paraId="72F77F7C"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3.69</w:t>
            </w:r>
          </w:p>
        </w:tc>
        <w:tc>
          <w:tcPr>
            <w:tcW w:w="1559" w:type="dxa"/>
            <w:noWrap/>
            <w:vAlign w:val="center"/>
          </w:tcPr>
          <w:p w14:paraId="1BE29A35" w14:textId="77777777" w:rsidR="00E76358" w:rsidRPr="00642BE9" w:rsidRDefault="00AD6FA7" w:rsidP="00CC76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7.50</w:t>
            </w:r>
          </w:p>
        </w:tc>
        <w:tc>
          <w:tcPr>
            <w:tcW w:w="1418" w:type="dxa"/>
            <w:noWrap/>
            <w:vAlign w:val="center"/>
          </w:tcPr>
          <w:p w14:paraId="5F42A052" w14:textId="77777777" w:rsidR="00E76358" w:rsidRPr="00642BE9" w:rsidRDefault="00AD6FA7" w:rsidP="00E7635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tr w:rsidR="004C4006" w14:paraId="5020B2A6" w14:textId="77777777" w:rsidTr="00AA51F8">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A1EE6B5" w14:textId="77777777" w:rsidR="00E76358" w:rsidRPr="00642BE9" w:rsidRDefault="00AD6FA7" w:rsidP="00E76358">
            <w:pPr>
              <w:jc w:val="center"/>
              <w:rPr>
                <w:rFonts w:eastAsia="Times New Roman"/>
                <w:b w:val="0"/>
                <w:color w:val="000000"/>
                <w:sz w:val="18"/>
                <w:szCs w:val="18"/>
                <w:lang w:eastAsia="en-AU"/>
              </w:rPr>
            </w:pPr>
            <w:r w:rsidRPr="00642BE9">
              <w:rPr>
                <w:color w:val="000000"/>
                <w:sz w:val="18"/>
                <w:szCs w:val="18"/>
              </w:rPr>
              <w:t>SA</w:t>
            </w:r>
          </w:p>
        </w:tc>
        <w:tc>
          <w:tcPr>
            <w:tcW w:w="3544" w:type="dxa"/>
            <w:noWrap/>
            <w:vAlign w:val="center"/>
            <w:hideMark/>
          </w:tcPr>
          <w:p w14:paraId="5E855F34" w14:textId="77777777" w:rsidR="00E76358" w:rsidRPr="00642BE9" w:rsidRDefault="00AD6FA7" w:rsidP="00E76358">
            <w:pP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color w:val="000000"/>
                <w:sz w:val="18"/>
                <w:szCs w:val="18"/>
              </w:rPr>
              <w:t>Marne Saunders (Renmark Group)</w:t>
            </w:r>
          </w:p>
        </w:tc>
        <w:tc>
          <w:tcPr>
            <w:tcW w:w="992" w:type="dxa"/>
          </w:tcPr>
          <w:p w14:paraId="3DA24999"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sz w:val="18"/>
                <w:szCs w:val="18"/>
              </w:rPr>
              <w:t>GS4c</w:t>
            </w:r>
          </w:p>
        </w:tc>
        <w:tc>
          <w:tcPr>
            <w:tcW w:w="851" w:type="dxa"/>
            <w:vAlign w:val="center"/>
          </w:tcPr>
          <w:p w14:paraId="15EE482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0.50</w:t>
            </w:r>
          </w:p>
        </w:tc>
        <w:tc>
          <w:tcPr>
            <w:tcW w:w="1134" w:type="dxa"/>
            <w:vAlign w:val="center"/>
          </w:tcPr>
          <w:p w14:paraId="7152C44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0.50</w:t>
            </w:r>
          </w:p>
        </w:tc>
        <w:tc>
          <w:tcPr>
            <w:tcW w:w="992" w:type="dxa"/>
            <w:vAlign w:val="center"/>
          </w:tcPr>
          <w:p w14:paraId="0F40B5E8"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2BE9">
              <w:rPr>
                <w:rFonts w:cs="Arial"/>
                <w:color w:val="000000"/>
                <w:sz w:val="18"/>
                <w:szCs w:val="18"/>
              </w:rPr>
              <w:t>0.00</w:t>
            </w:r>
          </w:p>
        </w:tc>
        <w:tc>
          <w:tcPr>
            <w:tcW w:w="1559" w:type="dxa"/>
            <w:noWrap/>
            <w:vAlign w:val="center"/>
          </w:tcPr>
          <w:p w14:paraId="408F3E2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1.00</w:t>
            </w:r>
          </w:p>
        </w:tc>
        <w:tc>
          <w:tcPr>
            <w:tcW w:w="1418" w:type="dxa"/>
            <w:noWrap/>
            <w:vAlign w:val="center"/>
          </w:tcPr>
          <w:p w14:paraId="525032D6"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vAlign w:val="center"/>
          </w:tcPr>
          <w:p w14:paraId="69BB1F52"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992" w:type="dxa"/>
            <w:noWrap/>
            <w:vAlign w:val="center"/>
          </w:tcPr>
          <w:p w14:paraId="4AAD75FD"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0.10</w:t>
            </w:r>
          </w:p>
        </w:tc>
        <w:tc>
          <w:tcPr>
            <w:tcW w:w="1559" w:type="dxa"/>
            <w:noWrap/>
            <w:vAlign w:val="center"/>
          </w:tcPr>
          <w:p w14:paraId="7B9445A5"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1.50</w:t>
            </w:r>
          </w:p>
        </w:tc>
        <w:tc>
          <w:tcPr>
            <w:tcW w:w="1276" w:type="dxa"/>
            <w:noWrap/>
            <w:vAlign w:val="center"/>
          </w:tcPr>
          <w:p w14:paraId="0240C9E0"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0.00</w:t>
            </w:r>
          </w:p>
        </w:tc>
        <w:tc>
          <w:tcPr>
            <w:tcW w:w="1559" w:type="dxa"/>
            <w:noWrap/>
            <w:vAlign w:val="center"/>
          </w:tcPr>
          <w:p w14:paraId="0A8D3E77" w14:textId="77777777" w:rsidR="00E76358" w:rsidRPr="00642BE9" w:rsidRDefault="00AD6FA7" w:rsidP="00CC763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lang w:eastAsia="en-AU"/>
              </w:rPr>
            </w:pPr>
            <w:r w:rsidRPr="00642BE9">
              <w:rPr>
                <w:rFonts w:cs="Arial"/>
                <w:color w:val="000000"/>
                <w:sz w:val="18"/>
                <w:szCs w:val="18"/>
              </w:rPr>
              <w:t>1.60</w:t>
            </w:r>
          </w:p>
        </w:tc>
        <w:tc>
          <w:tcPr>
            <w:tcW w:w="1418" w:type="dxa"/>
            <w:noWrap/>
            <w:vAlign w:val="center"/>
          </w:tcPr>
          <w:p w14:paraId="67A21586" w14:textId="77777777" w:rsidR="00E76358" w:rsidRPr="00642BE9" w:rsidRDefault="00AD6FA7" w:rsidP="00E7635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42BE9">
              <w:rPr>
                <w:rFonts w:cs="Arial"/>
                <w:color w:val="000000"/>
                <w:sz w:val="18"/>
                <w:szCs w:val="18"/>
              </w:rPr>
              <w:t>No</w:t>
            </w:r>
          </w:p>
        </w:tc>
      </w:tr>
      <w:bookmarkEnd w:id="10"/>
    </w:tbl>
    <w:p w14:paraId="6FCB8AD5" w14:textId="77777777" w:rsidR="00D47D27" w:rsidRDefault="00D47D27" w:rsidP="00C94F4C">
      <w:pPr>
        <w:sectPr w:rsidR="00D47D27" w:rsidSect="004E0EB0">
          <w:pgSz w:w="23808" w:h="16840" w:orient="landscape"/>
          <w:pgMar w:top="1418" w:right="1418" w:bottom="2546" w:left="1134" w:header="425" w:footer="998" w:gutter="0"/>
          <w:cols w:space="708"/>
          <w:titlePg/>
          <w:docGrid w:linePitch="360"/>
        </w:sectPr>
      </w:pPr>
    </w:p>
    <w:p w14:paraId="1994A807" w14:textId="23B85A85" w:rsidR="00055589" w:rsidRDefault="007C33C9" w:rsidP="00DB0A7A">
      <w:pPr>
        <w:pStyle w:val="Heading1"/>
      </w:pPr>
      <w:bookmarkStart w:id="11" w:name="_Ref139977876"/>
      <w:bookmarkStart w:id="12" w:name="_Toc140834586"/>
      <w:bookmarkStart w:id="13" w:name="_Hlk141435215"/>
      <w:r>
        <w:lastRenderedPageBreak/>
        <w:t>A</w:t>
      </w:r>
      <w:r w:rsidR="00AD6FA7">
        <w:t>ppendix</w:t>
      </w:r>
      <w:bookmarkEnd w:id="11"/>
      <w:bookmarkEnd w:id="12"/>
      <w:r w:rsidR="00736851">
        <w:t xml:space="preserve"> 1</w:t>
      </w:r>
    </w:p>
    <w:bookmarkEnd w:id="13"/>
    <w:p w14:paraId="76FEC685" w14:textId="45BA1150" w:rsidR="007935B6" w:rsidRDefault="0069583D" w:rsidP="00DB0A7A">
      <w:pPr>
        <w:pStyle w:val="Heading2"/>
      </w:pPr>
      <w:r>
        <w:t>SDL compliance in New South Wales</w:t>
      </w:r>
    </w:p>
    <w:p w14:paraId="05044F26" w14:textId="77777777" w:rsidR="003E1AA2" w:rsidRDefault="003E1AA2" w:rsidP="003E1AA2">
      <w:r>
        <w:t>Compliance with SDLs commenced on 1 July 2019. It was expected, through the Basin Plan, that all Basin States would have the 33 water resource plans accredited and operating before this time to manage and comply with the 109 SDLs.</w:t>
      </w:r>
    </w:p>
    <w:p w14:paraId="5E27A51E" w14:textId="5081AC92" w:rsidR="0064586A" w:rsidRDefault="009708EE" w:rsidP="009708EE">
      <w:r>
        <w:t>By end of June 2022 New South Wales ha</w:t>
      </w:r>
      <w:r w:rsidR="003C5829">
        <w:t>d</w:t>
      </w:r>
      <w:r>
        <w:t xml:space="preserve"> not achieved accreditation for their 20 water resource plans, despite several proposed water resource plans being submitted, withdrawn and deadlines continuously missed. </w:t>
      </w:r>
    </w:p>
    <w:p w14:paraId="27385145" w14:textId="4A8DD3C3" w:rsidR="009708EE" w:rsidRDefault="0064586A" w:rsidP="009708EE">
      <w:r>
        <w:t>F</w:t>
      </w:r>
      <w:r w:rsidR="009708EE">
        <w:t>or the second year in a row</w:t>
      </w:r>
      <w:r w:rsidR="00B042C1">
        <w:t xml:space="preserve"> since the establishment of the Inspector-General</w:t>
      </w:r>
      <w:r w:rsidR="009708EE">
        <w:t xml:space="preserve">, SDL compliance, </w:t>
      </w:r>
      <w:r w:rsidR="003821D4">
        <w:t xml:space="preserve">SDL </w:t>
      </w:r>
      <w:r w:rsidR="009708EE">
        <w:t>non-compliance or claims for reasonable excuse in New South Wales</w:t>
      </w:r>
      <w:r w:rsidR="009C474F">
        <w:t xml:space="preserve"> cannot be assessed</w:t>
      </w:r>
      <w:r w:rsidR="009708EE">
        <w:t xml:space="preserve">. Consequently, there </w:t>
      </w:r>
      <w:r w:rsidR="00353EA2">
        <w:t>is</w:t>
      </w:r>
      <w:r w:rsidR="009708EE">
        <w:t xml:space="preserve"> no </w:t>
      </w:r>
      <w:r w:rsidR="00353EA2">
        <w:t xml:space="preserve">ability to </w:t>
      </w:r>
      <w:r w:rsidR="009708EE">
        <w:t>formal</w:t>
      </w:r>
      <w:r w:rsidR="00353EA2">
        <w:t>ly respond to</w:t>
      </w:r>
      <w:r w:rsidR="009708EE">
        <w:t xml:space="preserve"> action plans</w:t>
      </w:r>
      <w:r w:rsidR="00B37FB7">
        <w:t xml:space="preserve"> as they relate </w:t>
      </w:r>
      <w:r w:rsidR="009708EE">
        <w:t xml:space="preserve">to water take </w:t>
      </w:r>
      <w:proofErr w:type="gramStart"/>
      <w:r w:rsidR="009708EE">
        <w:t>in excess of</w:t>
      </w:r>
      <w:proofErr w:type="gramEnd"/>
      <w:r w:rsidR="009708EE">
        <w:t xml:space="preserve"> SDL compliance thresholds and there is no ability to enforce SDLs in New South Wales.</w:t>
      </w:r>
    </w:p>
    <w:p w14:paraId="6B8953B3" w14:textId="597191F9" w:rsidR="005C0F55" w:rsidRDefault="00406AFC" w:rsidP="00F44115">
      <w:r>
        <w:t>T</w:t>
      </w:r>
      <w:r w:rsidR="00D01262">
        <w:t xml:space="preserve">he </w:t>
      </w:r>
      <w:r w:rsidR="004E40F1">
        <w:t>MDBA</w:t>
      </w:r>
      <w:r w:rsidR="00D01262">
        <w:t xml:space="preserve"> has prepared interim </w:t>
      </w:r>
      <w:r w:rsidR="000C3F8D">
        <w:t>Registers of Take</w:t>
      </w:r>
      <w:r w:rsidR="00A079A5">
        <w:rPr>
          <w:rStyle w:val="FootnoteReference"/>
        </w:rPr>
        <w:footnoteReference w:id="4"/>
      </w:r>
      <w:r w:rsidR="000C3F8D">
        <w:t xml:space="preserve"> </w:t>
      </w:r>
      <w:r w:rsidR="00D01262">
        <w:t>for the 54 SDL resource units</w:t>
      </w:r>
      <w:r w:rsidR="00CC76EC">
        <w:t>, through a bilateral agreement with</w:t>
      </w:r>
      <w:r w:rsidR="00892AB5">
        <w:t xml:space="preserve"> New South Wales</w:t>
      </w:r>
      <w:r w:rsidR="00D01262">
        <w:t xml:space="preserve">, as was the case in 2020-2021 and 2019-2020. </w:t>
      </w:r>
      <w:r w:rsidR="006164BE">
        <w:t xml:space="preserve">Although </w:t>
      </w:r>
      <w:r w:rsidR="00F8177B">
        <w:t>the</w:t>
      </w:r>
      <w:r w:rsidR="009C0294">
        <w:t>se</w:t>
      </w:r>
      <w:r w:rsidR="00F8177B">
        <w:t xml:space="preserve"> interim </w:t>
      </w:r>
      <w:r w:rsidR="00CA5D59">
        <w:t xml:space="preserve">registers </w:t>
      </w:r>
      <w:r w:rsidR="00AE30CB">
        <w:t>provide</w:t>
      </w:r>
      <w:r w:rsidR="00876CAF">
        <w:t xml:space="preserve"> some insight</w:t>
      </w:r>
      <w:r w:rsidR="00B36A8F">
        <w:t xml:space="preserve"> to how New South Wales </w:t>
      </w:r>
      <w:r w:rsidR="00C0297C">
        <w:t>may be</w:t>
      </w:r>
      <w:r w:rsidR="00B36A8F">
        <w:t xml:space="preserve"> tracking with SDLs</w:t>
      </w:r>
      <w:r w:rsidR="006164BE">
        <w:t xml:space="preserve">, </w:t>
      </w:r>
      <w:r w:rsidR="00790E34">
        <w:t xml:space="preserve">the bilateral agreement </w:t>
      </w:r>
      <w:r w:rsidR="006164BE">
        <w:t xml:space="preserve">is not </w:t>
      </w:r>
      <w:r w:rsidR="00790E34">
        <w:t>the</w:t>
      </w:r>
      <w:r w:rsidR="006164BE">
        <w:t xml:space="preserve"> legislative tool </w:t>
      </w:r>
      <w:r w:rsidR="008A681D">
        <w:t xml:space="preserve">which </w:t>
      </w:r>
      <w:r w:rsidR="00347B91">
        <w:t>can be used</w:t>
      </w:r>
      <w:r w:rsidR="008A681D">
        <w:t xml:space="preserve"> </w:t>
      </w:r>
      <w:r w:rsidR="006164BE">
        <w:t xml:space="preserve">to determine </w:t>
      </w:r>
      <w:r w:rsidR="006D6D93">
        <w:t>and</w:t>
      </w:r>
      <w:r w:rsidR="006164BE">
        <w:t xml:space="preserve"> enforce </w:t>
      </w:r>
      <w:r w:rsidR="001747DA">
        <w:t xml:space="preserve">SDL </w:t>
      </w:r>
      <w:r w:rsidR="006164BE">
        <w:t>compliance</w:t>
      </w:r>
      <w:r w:rsidR="001747DA">
        <w:t xml:space="preserve"> </w:t>
      </w:r>
      <w:r w:rsidR="00091734">
        <w:t xml:space="preserve">in </w:t>
      </w:r>
      <w:r w:rsidR="00AF0089">
        <w:t>New South Wales</w:t>
      </w:r>
      <w:r w:rsidR="00091734">
        <w:t>.</w:t>
      </w:r>
    </w:p>
    <w:p w14:paraId="3EEF851E" w14:textId="3099FC2F" w:rsidR="006A25FF" w:rsidRDefault="006A25FF" w:rsidP="00F44115">
      <w:r>
        <w:rPr>
          <w:rFonts w:cs="Roc Grotesk"/>
          <w:color w:val="000000"/>
          <w:szCs w:val="20"/>
        </w:rPr>
        <w:t xml:space="preserve">Determining compliance with the Basin Plan occurs by considering rules contained inside </w:t>
      </w:r>
      <w:r w:rsidR="008E6599">
        <w:rPr>
          <w:rFonts w:cs="Roc Grotesk"/>
          <w:color w:val="000000"/>
          <w:szCs w:val="20"/>
        </w:rPr>
        <w:t xml:space="preserve">an </w:t>
      </w:r>
      <w:r>
        <w:rPr>
          <w:rFonts w:cs="Roc Grotesk"/>
          <w:color w:val="000000"/>
          <w:szCs w:val="20"/>
        </w:rPr>
        <w:t xml:space="preserve">accredited water resource plan. When a water resource plan is in place, the full legal suite of monitoring, risk assessment, and compliance tools such as inquiries, audits, and investigations </w:t>
      </w:r>
      <w:r w:rsidR="007B7A00">
        <w:rPr>
          <w:rFonts w:cs="Roc Grotesk"/>
          <w:color w:val="000000"/>
          <w:szCs w:val="20"/>
        </w:rPr>
        <w:t xml:space="preserve">are </w:t>
      </w:r>
      <w:r>
        <w:rPr>
          <w:rFonts w:cs="Roc Grotesk"/>
          <w:color w:val="000000"/>
          <w:szCs w:val="20"/>
        </w:rPr>
        <w:t>available to undertake compliance and enforcement.</w:t>
      </w:r>
    </w:p>
    <w:p w14:paraId="25CA1219" w14:textId="114C0D68" w:rsidR="0053547D" w:rsidRDefault="009141CF" w:rsidP="00F44115">
      <w:r>
        <w:t xml:space="preserve">It is acknowledged that New South Wales </w:t>
      </w:r>
      <w:r w:rsidR="00870E44">
        <w:t xml:space="preserve">has state-based </w:t>
      </w:r>
      <w:r>
        <w:t xml:space="preserve">water sharing plans </w:t>
      </w:r>
      <w:r w:rsidR="00870E44">
        <w:t xml:space="preserve">that </w:t>
      </w:r>
      <w:r>
        <w:t xml:space="preserve">are progressively being updated, to </w:t>
      </w:r>
      <w:r w:rsidR="001056E0">
        <w:t>include</w:t>
      </w:r>
      <w:r>
        <w:t xml:space="preserve"> an assessment of compliance with the SDLs, but without the </w:t>
      </w:r>
      <w:r w:rsidR="00F508F1">
        <w:t xml:space="preserve">accredited </w:t>
      </w:r>
      <w:r>
        <w:t>water resource plan</w:t>
      </w:r>
      <w:r w:rsidR="00D00063">
        <w:t xml:space="preserve"> </w:t>
      </w:r>
      <w:r>
        <w:t xml:space="preserve">there is no assurance the </w:t>
      </w:r>
      <w:r w:rsidR="008F0214">
        <w:t xml:space="preserve">suggested </w:t>
      </w:r>
      <w:r>
        <w:t>state</w:t>
      </w:r>
      <w:r w:rsidR="00C61F50">
        <w:t>-based</w:t>
      </w:r>
      <w:r>
        <w:t xml:space="preserve"> </w:t>
      </w:r>
      <w:r w:rsidR="008B43A0">
        <w:t>rules</w:t>
      </w:r>
      <w:r>
        <w:t xml:space="preserve"> are </w:t>
      </w:r>
      <w:r w:rsidR="00C962F2">
        <w:t>all encompassing and</w:t>
      </w:r>
      <w:r>
        <w:t xml:space="preserve"> </w:t>
      </w:r>
      <w:r w:rsidR="00C61F50">
        <w:t xml:space="preserve">able to be </w:t>
      </w:r>
      <w:r>
        <w:t xml:space="preserve">implemented to ensure SDLs can be met over the long-term. </w:t>
      </w:r>
    </w:p>
    <w:p w14:paraId="0D8EDEC3" w14:textId="4354C303" w:rsidR="00D16E8C" w:rsidRPr="00DC508B" w:rsidRDefault="00AD6FA7" w:rsidP="00F44115">
      <w:r>
        <w:t xml:space="preserve">The </w:t>
      </w:r>
      <w:r w:rsidR="00091734">
        <w:t>N</w:t>
      </w:r>
      <w:r w:rsidR="00260643">
        <w:t xml:space="preserve">ew </w:t>
      </w:r>
      <w:r w:rsidR="00091734">
        <w:t>S</w:t>
      </w:r>
      <w:r w:rsidR="00260643">
        <w:t xml:space="preserve">outh </w:t>
      </w:r>
      <w:r w:rsidR="00091734">
        <w:t>W</w:t>
      </w:r>
      <w:r w:rsidR="00260643">
        <w:t>ales</w:t>
      </w:r>
      <w:r>
        <w:t xml:space="preserve"> Department of Planning and Environment</w:t>
      </w:r>
      <w:r w:rsidR="000472CF">
        <w:t xml:space="preserve"> have indicated </w:t>
      </w:r>
      <w:r w:rsidR="00BD667C">
        <w:t xml:space="preserve">the amendments required </w:t>
      </w:r>
      <w:r w:rsidR="00F659AD">
        <w:t xml:space="preserve">for their water </w:t>
      </w:r>
      <w:r w:rsidR="00AE4F61">
        <w:t>resource plan</w:t>
      </w:r>
      <w:r w:rsidR="00FC5DD9">
        <w:t>s</w:t>
      </w:r>
      <w:r w:rsidR="00F659AD">
        <w:t xml:space="preserve"> and the </w:t>
      </w:r>
      <w:r w:rsidR="00BD667C">
        <w:t xml:space="preserve">proposed resubmission dates </w:t>
      </w:r>
      <w:r w:rsidR="00657A5D">
        <w:t xml:space="preserve">on their website </w:t>
      </w:r>
      <w:r w:rsidR="00E27264">
        <w:t xml:space="preserve">at </w:t>
      </w:r>
      <w:hyperlink r:id="rId25" w:history="1">
        <w:r w:rsidR="00AB266E">
          <w:rPr>
            <w:rStyle w:val="Hyperlink"/>
          </w:rPr>
          <w:t>Water Resource Plans - status - Water in New South Wales (nsw.gov.au)</w:t>
        </w:r>
      </w:hyperlink>
      <w:r w:rsidR="00AB266E">
        <w:t>.</w:t>
      </w:r>
      <w:r w:rsidR="0079510D">
        <w:t xml:space="preserve"> </w:t>
      </w:r>
    </w:p>
    <w:p w14:paraId="384A7DDF" w14:textId="7A19D313" w:rsidR="00605EE8" w:rsidRPr="001602F0" w:rsidRDefault="00453826" w:rsidP="00605EE8">
      <w:pPr>
        <w:rPr>
          <w:b/>
          <w:bCs/>
        </w:rPr>
      </w:pPr>
      <w:r>
        <w:t xml:space="preserve">Seven </w:t>
      </w:r>
      <w:r w:rsidR="00605EE8">
        <w:t xml:space="preserve">groundwater water resource plans have been accredited in New South Wales. </w:t>
      </w:r>
      <w:r w:rsidR="00742282">
        <w:t xml:space="preserve">Five </w:t>
      </w:r>
      <w:r w:rsidR="00605EE8">
        <w:t xml:space="preserve">water resource plans were accredited </w:t>
      </w:r>
      <w:r w:rsidR="00742282">
        <w:t xml:space="preserve">during </w:t>
      </w:r>
      <w:r w:rsidR="00605EE8">
        <w:t>the 2022-2023 year</w:t>
      </w:r>
      <w:r w:rsidR="00742282">
        <w:t xml:space="preserve"> and two during the 2023-2024 year</w:t>
      </w:r>
      <w:r w:rsidR="00605EE8">
        <w:t xml:space="preserve">, </w:t>
      </w:r>
      <w:r w:rsidR="00E56347">
        <w:t xml:space="preserve">and </w:t>
      </w:r>
      <w:r w:rsidR="00605EE8">
        <w:t xml:space="preserve">therefore not included in the 2021-2022 SDL compliance assessment. Refer to </w:t>
      </w:r>
      <w:r w:rsidR="00511815">
        <w:fldChar w:fldCharType="begin"/>
      </w:r>
      <w:r w:rsidR="00511815">
        <w:instrText xml:space="preserve"> REF _Ref139979756  \* MERGEFORMAT </w:instrText>
      </w:r>
      <w:r w:rsidR="00511815">
        <w:fldChar w:fldCharType="separate"/>
      </w:r>
      <w:r w:rsidR="0010165E" w:rsidRPr="0010165E">
        <w:t xml:space="preserve">Table </w:t>
      </w:r>
      <w:r w:rsidR="0010165E" w:rsidRPr="0010165E">
        <w:rPr>
          <w:noProof/>
        </w:rPr>
        <w:t>5.</w:t>
      </w:r>
      <w:r w:rsidR="0010165E" w:rsidRPr="0010165E">
        <w:t xml:space="preserve"> New South Wales accredited water resource plans</w:t>
      </w:r>
      <w:r w:rsidR="00511815">
        <w:fldChar w:fldCharType="end"/>
      </w:r>
      <w:r w:rsidR="00605EE8" w:rsidRPr="001602F0">
        <w:t>.</w:t>
      </w:r>
    </w:p>
    <w:p w14:paraId="165505AE" w14:textId="0815F5B8" w:rsidR="0053063F" w:rsidRDefault="00AD6FA7" w:rsidP="00E17CED">
      <w:r w:rsidRPr="000E668B">
        <w:t>Th</w:t>
      </w:r>
      <w:r w:rsidR="00FE28DC">
        <w:t>e</w:t>
      </w:r>
      <w:r w:rsidRPr="000E668B">
        <w:t xml:space="preserve"> situation in New South Wales is </w:t>
      </w:r>
      <w:r w:rsidR="005E1803">
        <w:t xml:space="preserve">deeply </w:t>
      </w:r>
      <w:r w:rsidRPr="000E668B">
        <w:t xml:space="preserve">concerning, particularly as there are an increasing number of areas </w:t>
      </w:r>
      <w:r w:rsidR="0069227B">
        <w:t xml:space="preserve">on </w:t>
      </w:r>
      <w:r w:rsidRPr="000E668B">
        <w:t xml:space="preserve">the </w:t>
      </w:r>
      <w:r w:rsidR="00B7407A">
        <w:t xml:space="preserve">interim </w:t>
      </w:r>
      <w:r w:rsidR="006007B0">
        <w:t xml:space="preserve">SDL </w:t>
      </w:r>
      <w:r w:rsidR="00B7407A">
        <w:t>account</w:t>
      </w:r>
      <w:r w:rsidR="00934342">
        <w:t>s</w:t>
      </w:r>
      <w:r w:rsidR="00B7407A">
        <w:t xml:space="preserve"> </w:t>
      </w:r>
      <w:r w:rsidRPr="000E668B">
        <w:t>point</w:t>
      </w:r>
      <w:r w:rsidR="00A0359D">
        <w:t>ing to</w:t>
      </w:r>
      <w:r w:rsidRPr="000E668B">
        <w:t xml:space="preserve"> an SDL excess</w:t>
      </w:r>
      <w:r w:rsidR="00ED00FF">
        <w:t xml:space="preserve"> beyond the SDL compliance threshold</w:t>
      </w:r>
      <w:r w:rsidR="00933F75">
        <w:t>, specifically</w:t>
      </w:r>
      <w:r w:rsidR="00C11CC0">
        <w:t>,</w:t>
      </w:r>
      <w:r w:rsidR="00A61097">
        <w:t xml:space="preserve"> the</w:t>
      </w:r>
      <w:r w:rsidR="00A61097" w:rsidRPr="000E668B">
        <w:t xml:space="preserve"> </w:t>
      </w:r>
      <w:r w:rsidRPr="000E668B">
        <w:t xml:space="preserve">Barwon-Darling watercourse </w:t>
      </w:r>
      <w:r w:rsidR="00C11CC0">
        <w:t>by</w:t>
      </w:r>
      <w:r w:rsidRPr="000E668B">
        <w:t xml:space="preserve"> 40%</w:t>
      </w:r>
      <w:r w:rsidR="00655D51">
        <w:t xml:space="preserve">, </w:t>
      </w:r>
      <w:r w:rsidRPr="000E668B">
        <w:t xml:space="preserve">Gwydir surface water </w:t>
      </w:r>
      <w:r w:rsidR="00C11CC0">
        <w:t>by</w:t>
      </w:r>
      <w:r w:rsidR="00381CF9">
        <w:t xml:space="preserve"> </w:t>
      </w:r>
      <w:r w:rsidRPr="000E668B">
        <w:t>21%</w:t>
      </w:r>
      <w:r w:rsidR="00064CE9">
        <w:t xml:space="preserve"> and </w:t>
      </w:r>
      <w:r w:rsidR="001631B9">
        <w:t xml:space="preserve">the </w:t>
      </w:r>
      <w:r w:rsidR="00064CE9">
        <w:t xml:space="preserve">Murrumbidgee is </w:t>
      </w:r>
      <w:r w:rsidR="003B45F6">
        <w:t>trending</w:t>
      </w:r>
      <w:r w:rsidR="00064CE9">
        <w:t xml:space="preserve"> toward the SDL </w:t>
      </w:r>
      <w:r w:rsidR="00D11B26">
        <w:t>c</w:t>
      </w:r>
      <w:r w:rsidR="00064CE9">
        <w:t>ompliance threshold at 18% SDL</w:t>
      </w:r>
      <w:r w:rsidR="0062357A">
        <w:t xml:space="preserve"> exce</w:t>
      </w:r>
      <w:r w:rsidR="0048411E">
        <w:t>edance.</w:t>
      </w:r>
      <w:r w:rsidR="001F2051" w:rsidRPr="00B22563">
        <w:t xml:space="preserve"> </w:t>
      </w:r>
    </w:p>
    <w:p w14:paraId="10620C2D" w14:textId="77777777" w:rsidR="00341CF3" w:rsidRDefault="00341CF3">
      <w:pPr>
        <w:spacing w:after="0"/>
        <w:rPr>
          <w:color w:val="4C6968" w:themeColor="accent1"/>
          <w:szCs w:val="20"/>
        </w:rPr>
      </w:pPr>
      <w:r>
        <w:rPr>
          <w:i/>
          <w:iCs/>
          <w:color w:val="4C6968" w:themeColor="accent1"/>
          <w:szCs w:val="20"/>
        </w:rPr>
        <w:br w:type="page"/>
      </w:r>
    </w:p>
    <w:p w14:paraId="347E95A2" w14:textId="2B2BBFE8" w:rsidR="00945862" w:rsidRPr="00257C3D" w:rsidRDefault="00FE64A2" w:rsidP="00257C3D">
      <w:pPr>
        <w:pStyle w:val="Caption"/>
        <w:keepNext/>
        <w:rPr>
          <w:i w:val="0"/>
          <w:iCs w:val="0"/>
          <w:color w:val="4C6968" w:themeColor="accent1"/>
          <w:sz w:val="20"/>
          <w:szCs w:val="20"/>
        </w:rPr>
      </w:pPr>
      <w:r w:rsidRPr="001E3473">
        <w:rPr>
          <w:i w:val="0"/>
          <w:iCs w:val="0"/>
          <w:color w:val="4C6968" w:themeColor="accent1"/>
          <w:sz w:val="20"/>
          <w:szCs w:val="20"/>
        </w:rPr>
        <w:lastRenderedPageBreak/>
        <w:t xml:space="preserve">Table </w:t>
      </w:r>
      <w:r w:rsidRPr="001E3473">
        <w:rPr>
          <w:i w:val="0"/>
          <w:iCs w:val="0"/>
          <w:color w:val="4C6968" w:themeColor="accent1"/>
          <w:sz w:val="20"/>
          <w:szCs w:val="20"/>
        </w:rPr>
        <w:fldChar w:fldCharType="begin"/>
      </w:r>
      <w:r w:rsidRPr="001E3473">
        <w:rPr>
          <w:i w:val="0"/>
          <w:iCs w:val="0"/>
          <w:color w:val="4C6968" w:themeColor="accent1"/>
          <w:sz w:val="20"/>
          <w:szCs w:val="20"/>
        </w:rPr>
        <w:instrText xml:space="preserve"> SEQ Table \* ARABIC </w:instrText>
      </w:r>
      <w:r w:rsidRPr="001E3473">
        <w:rPr>
          <w:i w:val="0"/>
          <w:iCs w:val="0"/>
          <w:color w:val="4C6968" w:themeColor="accent1"/>
          <w:sz w:val="20"/>
          <w:szCs w:val="20"/>
        </w:rPr>
        <w:fldChar w:fldCharType="separate"/>
      </w:r>
      <w:r w:rsidR="0010165E">
        <w:rPr>
          <w:i w:val="0"/>
          <w:iCs w:val="0"/>
          <w:noProof/>
          <w:color w:val="4C6968" w:themeColor="accent1"/>
          <w:sz w:val="20"/>
          <w:szCs w:val="20"/>
        </w:rPr>
        <w:t>3</w:t>
      </w:r>
      <w:r w:rsidRPr="001E3473">
        <w:rPr>
          <w:i w:val="0"/>
          <w:iCs w:val="0"/>
          <w:color w:val="4C6968" w:themeColor="accent1"/>
          <w:sz w:val="20"/>
          <w:szCs w:val="20"/>
        </w:rPr>
        <w:fldChar w:fldCharType="end"/>
      </w:r>
      <w:r w:rsidRPr="001E3473">
        <w:rPr>
          <w:i w:val="0"/>
          <w:iCs w:val="0"/>
          <w:color w:val="4C6968" w:themeColor="accent1"/>
          <w:sz w:val="20"/>
          <w:szCs w:val="20"/>
        </w:rPr>
        <w:t xml:space="preserve"> Summary of </w:t>
      </w:r>
      <w:r w:rsidR="001E3473" w:rsidRPr="001E3473">
        <w:rPr>
          <w:i w:val="0"/>
          <w:iCs w:val="0"/>
          <w:color w:val="4C6968" w:themeColor="accent1"/>
          <w:sz w:val="20"/>
          <w:szCs w:val="20"/>
        </w:rPr>
        <w:t>cumulative</w:t>
      </w:r>
      <w:r w:rsidRPr="001E3473">
        <w:rPr>
          <w:i w:val="0"/>
          <w:iCs w:val="0"/>
          <w:color w:val="4C6968" w:themeColor="accent1"/>
          <w:sz w:val="20"/>
          <w:szCs w:val="20"/>
        </w:rPr>
        <w:t xml:space="preserve"> balances in the interim </w:t>
      </w:r>
      <w:r w:rsidR="00A928BC">
        <w:rPr>
          <w:i w:val="0"/>
          <w:iCs w:val="0"/>
          <w:color w:val="4C6968" w:themeColor="accent1"/>
          <w:sz w:val="20"/>
          <w:szCs w:val="20"/>
        </w:rPr>
        <w:t>R</w:t>
      </w:r>
      <w:r w:rsidRPr="001E3473">
        <w:rPr>
          <w:i w:val="0"/>
          <w:iCs w:val="0"/>
          <w:color w:val="4C6968" w:themeColor="accent1"/>
          <w:sz w:val="20"/>
          <w:szCs w:val="20"/>
        </w:rPr>
        <w:t xml:space="preserve">egisters of </w:t>
      </w:r>
      <w:r w:rsidR="00A928BC">
        <w:rPr>
          <w:i w:val="0"/>
          <w:iCs w:val="0"/>
          <w:color w:val="4C6968" w:themeColor="accent1"/>
          <w:sz w:val="20"/>
          <w:szCs w:val="20"/>
        </w:rPr>
        <w:t>T</w:t>
      </w:r>
      <w:r w:rsidRPr="001E3473">
        <w:rPr>
          <w:i w:val="0"/>
          <w:iCs w:val="0"/>
          <w:color w:val="4C6968" w:themeColor="accent1"/>
          <w:sz w:val="20"/>
          <w:szCs w:val="20"/>
        </w:rPr>
        <w:t>ake for the Barwon-Darling watercourse SDL resource unit since 2019-2020</w:t>
      </w:r>
      <w:r w:rsidR="00763126">
        <w:rPr>
          <w:rStyle w:val="FootnoteReference"/>
          <w:i w:val="0"/>
          <w:iCs w:val="0"/>
          <w:color w:val="4C6968" w:themeColor="accent1"/>
          <w:sz w:val="20"/>
          <w:szCs w:val="20"/>
        </w:rPr>
        <w:footnoteReference w:id="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2407"/>
        <w:gridCol w:w="2407"/>
        <w:gridCol w:w="2407"/>
      </w:tblGrid>
      <w:tr w:rsidR="00945862" w:rsidRPr="00945862" w14:paraId="1E8E905B" w14:textId="77777777" w:rsidTr="00D934C9">
        <w:trPr>
          <w:trHeight w:val="119"/>
        </w:trPr>
        <w:tc>
          <w:tcPr>
            <w:tcW w:w="1250" w:type="pct"/>
          </w:tcPr>
          <w:p w14:paraId="773F3387" w14:textId="77777777" w:rsidR="00945862" w:rsidRPr="00945862" w:rsidRDefault="00945862" w:rsidP="00945862">
            <w:pPr>
              <w:spacing w:before="100" w:beforeAutospacing="1" w:after="100" w:afterAutospacing="1"/>
            </w:pPr>
            <w:r w:rsidRPr="00945862">
              <w:rPr>
                <w:b/>
                <w:bCs/>
              </w:rPr>
              <w:t xml:space="preserve">Barwon-Darling </w:t>
            </w:r>
          </w:p>
        </w:tc>
        <w:tc>
          <w:tcPr>
            <w:tcW w:w="1250" w:type="pct"/>
          </w:tcPr>
          <w:p w14:paraId="4EA8AD6A" w14:textId="1231CA8B" w:rsidR="00945862" w:rsidRPr="00945862" w:rsidRDefault="00945862" w:rsidP="003C4CFB">
            <w:pPr>
              <w:spacing w:before="100" w:beforeAutospacing="1" w:after="100" w:afterAutospacing="1"/>
              <w:jc w:val="center"/>
            </w:pPr>
            <w:r w:rsidRPr="00945862">
              <w:rPr>
                <w:b/>
                <w:bCs/>
              </w:rPr>
              <w:t>2019-20</w:t>
            </w:r>
            <w:r w:rsidR="00ED00FF">
              <w:rPr>
                <w:b/>
                <w:bCs/>
              </w:rPr>
              <w:t>20</w:t>
            </w:r>
          </w:p>
        </w:tc>
        <w:tc>
          <w:tcPr>
            <w:tcW w:w="1250" w:type="pct"/>
          </w:tcPr>
          <w:p w14:paraId="3811A096" w14:textId="34BA4391" w:rsidR="00945862" w:rsidRPr="00945862" w:rsidRDefault="00945862" w:rsidP="003C4CFB">
            <w:pPr>
              <w:spacing w:before="100" w:beforeAutospacing="1" w:after="100" w:afterAutospacing="1"/>
              <w:jc w:val="center"/>
            </w:pPr>
            <w:r w:rsidRPr="00945862">
              <w:rPr>
                <w:b/>
                <w:bCs/>
              </w:rPr>
              <w:t>2020-</w:t>
            </w:r>
            <w:r w:rsidR="00ED00FF">
              <w:rPr>
                <w:b/>
                <w:bCs/>
              </w:rPr>
              <w:t>20</w:t>
            </w:r>
            <w:r w:rsidRPr="00945862">
              <w:rPr>
                <w:b/>
                <w:bCs/>
              </w:rPr>
              <w:t>21</w:t>
            </w:r>
          </w:p>
        </w:tc>
        <w:tc>
          <w:tcPr>
            <w:tcW w:w="1250" w:type="pct"/>
            <w:shd w:val="clear" w:color="auto" w:fill="auto"/>
          </w:tcPr>
          <w:p w14:paraId="174A759C" w14:textId="7C307D39" w:rsidR="00945862" w:rsidRPr="00945862" w:rsidRDefault="00945862" w:rsidP="003C4CFB">
            <w:pPr>
              <w:spacing w:before="100" w:beforeAutospacing="1" w:after="100" w:afterAutospacing="1"/>
              <w:jc w:val="center"/>
            </w:pPr>
            <w:r w:rsidRPr="00945862">
              <w:rPr>
                <w:b/>
                <w:bCs/>
              </w:rPr>
              <w:t>2021-</w:t>
            </w:r>
            <w:r w:rsidR="00ED00FF">
              <w:rPr>
                <w:b/>
                <w:bCs/>
              </w:rPr>
              <w:t>20</w:t>
            </w:r>
            <w:r w:rsidRPr="00945862">
              <w:rPr>
                <w:b/>
                <w:bCs/>
              </w:rPr>
              <w:t>22</w:t>
            </w:r>
          </w:p>
        </w:tc>
      </w:tr>
      <w:tr w:rsidR="00945862" w:rsidRPr="00945862" w14:paraId="007C6F13" w14:textId="77777777" w:rsidTr="00D934C9">
        <w:trPr>
          <w:trHeight w:val="670"/>
        </w:trPr>
        <w:tc>
          <w:tcPr>
            <w:tcW w:w="1250" w:type="pct"/>
          </w:tcPr>
          <w:p w14:paraId="5E44ACC0" w14:textId="77777777" w:rsidR="00945862" w:rsidRPr="00945862" w:rsidRDefault="00945862" w:rsidP="00945862">
            <w:pPr>
              <w:spacing w:before="100" w:beforeAutospacing="1" w:after="100" w:afterAutospacing="1"/>
            </w:pPr>
            <w:r w:rsidRPr="00945862">
              <w:rPr>
                <w:b/>
                <w:bCs/>
              </w:rPr>
              <w:t xml:space="preserve">Cumulative balance </w:t>
            </w:r>
          </w:p>
        </w:tc>
        <w:tc>
          <w:tcPr>
            <w:tcW w:w="1250" w:type="pct"/>
          </w:tcPr>
          <w:p w14:paraId="0BA43CB6" w14:textId="0C09594B" w:rsidR="00945862" w:rsidRPr="00945862" w:rsidRDefault="00945862" w:rsidP="003C4CFB">
            <w:pPr>
              <w:spacing w:before="100" w:beforeAutospacing="1" w:after="100" w:afterAutospacing="1"/>
              <w:jc w:val="center"/>
            </w:pPr>
            <w:r w:rsidRPr="00945862">
              <w:t>-49.2 GL (-28%)</w:t>
            </w:r>
          </w:p>
        </w:tc>
        <w:tc>
          <w:tcPr>
            <w:tcW w:w="1250" w:type="pct"/>
          </w:tcPr>
          <w:p w14:paraId="36B9C85E" w14:textId="5DB33D67" w:rsidR="00945862" w:rsidRPr="00945862" w:rsidRDefault="00945862" w:rsidP="003C4CFB">
            <w:pPr>
              <w:spacing w:before="100" w:beforeAutospacing="1" w:after="100" w:afterAutospacing="1"/>
              <w:jc w:val="center"/>
            </w:pPr>
            <w:r w:rsidRPr="00945862">
              <w:t>-66.9 GL (-38%)</w:t>
            </w:r>
          </w:p>
        </w:tc>
        <w:tc>
          <w:tcPr>
            <w:tcW w:w="1250" w:type="pct"/>
            <w:shd w:val="clear" w:color="auto" w:fill="auto"/>
          </w:tcPr>
          <w:p w14:paraId="1048851C" w14:textId="40478A3C" w:rsidR="00945862" w:rsidRPr="00945862" w:rsidRDefault="00945862" w:rsidP="003C4CFB">
            <w:pPr>
              <w:spacing w:before="100" w:beforeAutospacing="1" w:after="100" w:afterAutospacing="1"/>
              <w:jc w:val="center"/>
            </w:pPr>
            <w:r w:rsidRPr="00945862">
              <w:t>-71.1 GL (-40%)</w:t>
            </w:r>
          </w:p>
          <w:p w14:paraId="4927372C" w14:textId="13DB6D44" w:rsidR="00945862" w:rsidRPr="00945862" w:rsidRDefault="00945862" w:rsidP="003C4CFB">
            <w:pPr>
              <w:spacing w:before="100" w:beforeAutospacing="1" w:after="100" w:afterAutospacing="1"/>
              <w:jc w:val="center"/>
              <w:rPr>
                <w:b/>
                <w:bCs/>
              </w:rPr>
            </w:pPr>
          </w:p>
        </w:tc>
      </w:tr>
    </w:tbl>
    <w:p w14:paraId="40BDE872" w14:textId="6C9CD395" w:rsidR="00945862" w:rsidRPr="00945862" w:rsidRDefault="00945862" w:rsidP="00945862">
      <w:pPr>
        <w:spacing w:before="100" w:beforeAutospacing="1" w:after="100" w:afterAutospacing="1"/>
      </w:pPr>
      <w:r w:rsidRPr="00945862">
        <w:t xml:space="preserve">For the third consecutive year the Barwon-Darling </w:t>
      </w:r>
      <w:r w:rsidR="00872B92">
        <w:t>w</w:t>
      </w:r>
      <w:r w:rsidRPr="00945862">
        <w:t xml:space="preserve">atercourse SDL resource unit </w:t>
      </w:r>
      <w:r w:rsidR="00F75189">
        <w:t>had</w:t>
      </w:r>
      <w:r w:rsidRPr="00945862">
        <w:t xml:space="preserve"> </w:t>
      </w:r>
      <w:r w:rsidR="00427E57">
        <w:t>an SDL excess beyond</w:t>
      </w:r>
      <w:r w:rsidRPr="00945862">
        <w:t xml:space="preserve"> the SDL compliance </w:t>
      </w:r>
      <w:r w:rsidR="00F759C2">
        <w:t>threshold</w:t>
      </w:r>
      <w:r w:rsidR="00F759C2" w:rsidRPr="00945862">
        <w:t xml:space="preserve"> </w:t>
      </w:r>
      <w:r w:rsidRPr="00945862">
        <w:t>(-20%)</w:t>
      </w:r>
      <w:r w:rsidR="00EC307A">
        <w:t xml:space="preserve"> based on </w:t>
      </w:r>
      <w:r w:rsidR="008A5D89" w:rsidRPr="008A5D89">
        <w:t xml:space="preserve">interim </w:t>
      </w:r>
      <w:r w:rsidR="001B02F1">
        <w:t>registers</w:t>
      </w:r>
      <w:r w:rsidRPr="00945862">
        <w:t xml:space="preserve">. If a </w:t>
      </w:r>
      <w:r w:rsidR="00BB6401">
        <w:t>w</w:t>
      </w:r>
      <w:r w:rsidRPr="00945862">
        <w:t xml:space="preserve">ater </w:t>
      </w:r>
      <w:r w:rsidR="00BB6401">
        <w:t>r</w:t>
      </w:r>
      <w:r w:rsidRPr="00945862">
        <w:t xml:space="preserve">esource </w:t>
      </w:r>
      <w:r w:rsidR="00BB6401">
        <w:t>p</w:t>
      </w:r>
      <w:r w:rsidRPr="00945862">
        <w:t xml:space="preserve">lan </w:t>
      </w:r>
      <w:r w:rsidR="00343B44" w:rsidRPr="00945862">
        <w:t>was</w:t>
      </w:r>
      <w:r w:rsidRPr="00945862">
        <w:t xml:space="preserve"> in place for this area</w:t>
      </w:r>
      <w:r w:rsidR="00E54C9E">
        <w:t>,</w:t>
      </w:r>
      <w:r w:rsidRPr="00945862">
        <w:t xml:space="preserve"> then a reasonable excuse </w:t>
      </w:r>
      <w:r w:rsidR="002A6B15">
        <w:t xml:space="preserve">and action plan </w:t>
      </w:r>
      <w:r w:rsidRPr="00945862">
        <w:t xml:space="preserve">would </w:t>
      </w:r>
      <w:r w:rsidR="00E54C9E">
        <w:t>be expected</w:t>
      </w:r>
      <w:r w:rsidR="002A6B15">
        <w:t xml:space="preserve"> </w:t>
      </w:r>
      <w:r w:rsidRPr="00945862">
        <w:t xml:space="preserve">for </w:t>
      </w:r>
      <w:r w:rsidR="00DB1302">
        <w:t>assessment</w:t>
      </w:r>
      <w:r w:rsidR="00DB1302" w:rsidRPr="00945862">
        <w:t xml:space="preserve"> </w:t>
      </w:r>
      <w:r w:rsidR="00BF6DA6">
        <w:t xml:space="preserve">by the Inspector-General </w:t>
      </w:r>
      <w:r w:rsidRPr="00945862">
        <w:t>and an enforcement response</w:t>
      </w:r>
      <w:r w:rsidR="001517F4">
        <w:t xml:space="preserve"> would be considered</w:t>
      </w:r>
      <w:r w:rsidRPr="00945862">
        <w:t>.</w:t>
      </w:r>
    </w:p>
    <w:p w14:paraId="508B2E43" w14:textId="71658F15" w:rsidR="00945862" w:rsidRPr="00D934C9" w:rsidRDefault="0095287B" w:rsidP="0095287B">
      <w:pPr>
        <w:pStyle w:val="Caption"/>
        <w:keepNext/>
      </w:pPr>
      <w:r w:rsidRPr="0095287B">
        <w:rPr>
          <w:i w:val="0"/>
          <w:iCs w:val="0"/>
          <w:color w:val="4C6968" w:themeColor="accent1"/>
          <w:sz w:val="20"/>
          <w:szCs w:val="20"/>
        </w:rPr>
        <w:t xml:space="preserve">Table </w:t>
      </w:r>
      <w:r w:rsidRPr="0095287B">
        <w:rPr>
          <w:i w:val="0"/>
          <w:iCs w:val="0"/>
          <w:color w:val="4C6968" w:themeColor="accent1"/>
          <w:sz w:val="20"/>
          <w:szCs w:val="20"/>
        </w:rPr>
        <w:fldChar w:fldCharType="begin"/>
      </w:r>
      <w:r w:rsidRPr="0095287B">
        <w:rPr>
          <w:i w:val="0"/>
          <w:iCs w:val="0"/>
          <w:color w:val="4C6968" w:themeColor="accent1"/>
          <w:sz w:val="20"/>
          <w:szCs w:val="20"/>
        </w:rPr>
        <w:instrText xml:space="preserve"> SEQ Table \* ARABIC </w:instrText>
      </w:r>
      <w:r w:rsidRPr="0095287B">
        <w:rPr>
          <w:i w:val="0"/>
          <w:iCs w:val="0"/>
          <w:color w:val="4C6968" w:themeColor="accent1"/>
          <w:sz w:val="20"/>
          <w:szCs w:val="20"/>
        </w:rPr>
        <w:fldChar w:fldCharType="separate"/>
      </w:r>
      <w:r w:rsidR="0010165E">
        <w:rPr>
          <w:i w:val="0"/>
          <w:iCs w:val="0"/>
          <w:noProof/>
          <w:color w:val="4C6968" w:themeColor="accent1"/>
          <w:sz w:val="20"/>
          <w:szCs w:val="20"/>
        </w:rPr>
        <w:t>4</w:t>
      </w:r>
      <w:r w:rsidRPr="0095287B">
        <w:rPr>
          <w:i w:val="0"/>
          <w:iCs w:val="0"/>
          <w:color w:val="4C6968" w:themeColor="accent1"/>
          <w:sz w:val="20"/>
          <w:szCs w:val="20"/>
        </w:rPr>
        <w:fldChar w:fldCharType="end"/>
      </w:r>
      <w:r w:rsidRPr="0095287B">
        <w:rPr>
          <w:i w:val="0"/>
          <w:iCs w:val="0"/>
          <w:color w:val="4C6968" w:themeColor="accent1"/>
          <w:sz w:val="20"/>
          <w:szCs w:val="20"/>
        </w:rPr>
        <w:t xml:space="preserve"> Summary of cumulative balances in the interim Registers of Take for the Gwydir surface water SDL resource unit since 2019-2020</w:t>
      </w:r>
      <w:r w:rsidR="007F76CB">
        <w:rPr>
          <w:rStyle w:val="FootnoteReference"/>
          <w:i w:val="0"/>
          <w:iCs w:val="0"/>
          <w:color w:val="4C6968" w:themeColor="accent1"/>
          <w:sz w:val="20"/>
          <w:szCs w:val="20"/>
        </w:rPr>
        <w:footnoteReference w:id="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2407"/>
        <w:gridCol w:w="2407"/>
        <w:gridCol w:w="2407"/>
      </w:tblGrid>
      <w:tr w:rsidR="00945862" w:rsidRPr="00945862" w14:paraId="403132DD" w14:textId="77777777" w:rsidTr="00D934C9">
        <w:trPr>
          <w:trHeight w:val="119"/>
        </w:trPr>
        <w:tc>
          <w:tcPr>
            <w:tcW w:w="1250" w:type="pct"/>
          </w:tcPr>
          <w:p w14:paraId="067AA546" w14:textId="77777777" w:rsidR="00945862" w:rsidRPr="00945862" w:rsidRDefault="00945862" w:rsidP="00945862">
            <w:pPr>
              <w:spacing w:before="100" w:beforeAutospacing="1" w:after="100" w:afterAutospacing="1"/>
            </w:pPr>
            <w:r w:rsidRPr="00945862">
              <w:rPr>
                <w:b/>
                <w:bCs/>
              </w:rPr>
              <w:t xml:space="preserve">Gwydir </w:t>
            </w:r>
          </w:p>
        </w:tc>
        <w:tc>
          <w:tcPr>
            <w:tcW w:w="1250" w:type="pct"/>
          </w:tcPr>
          <w:p w14:paraId="2A23153F" w14:textId="32564BF2" w:rsidR="00945862" w:rsidRPr="00945862" w:rsidRDefault="00945862" w:rsidP="003C4CFB">
            <w:pPr>
              <w:spacing w:before="100" w:beforeAutospacing="1" w:after="100" w:afterAutospacing="1"/>
              <w:jc w:val="center"/>
            </w:pPr>
            <w:r w:rsidRPr="00945862">
              <w:rPr>
                <w:b/>
                <w:bCs/>
              </w:rPr>
              <w:t>2019-20</w:t>
            </w:r>
            <w:r w:rsidR="00ED00FF">
              <w:rPr>
                <w:b/>
                <w:bCs/>
              </w:rPr>
              <w:t>20</w:t>
            </w:r>
          </w:p>
        </w:tc>
        <w:tc>
          <w:tcPr>
            <w:tcW w:w="1250" w:type="pct"/>
          </w:tcPr>
          <w:p w14:paraId="1EF2C8D0" w14:textId="764CAB56" w:rsidR="00945862" w:rsidRPr="00945862" w:rsidRDefault="00945862" w:rsidP="003C4CFB">
            <w:pPr>
              <w:spacing w:before="100" w:beforeAutospacing="1" w:after="100" w:afterAutospacing="1"/>
              <w:jc w:val="center"/>
            </w:pPr>
            <w:r w:rsidRPr="00945862">
              <w:rPr>
                <w:b/>
                <w:bCs/>
              </w:rPr>
              <w:t>2020-</w:t>
            </w:r>
            <w:r w:rsidR="00ED00FF">
              <w:rPr>
                <w:b/>
                <w:bCs/>
              </w:rPr>
              <w:t>20</w:t>
            </w:r>
            <w:r w:rsidRPr="00945862">
              <w:rPr>
                <w:b/>
                <w:bCs/>
              </w:rPr>
              <w:t>21</w:t>
            </w:r>
          </w:p>
        </w:tc>
        <w:tc>
          <w:tcPr>
            <w:tcW w:w="1250" w:type="pct"/>
            <w:shd w:val="clear" w:color="auto" w:fill="auto"/>
          </w:tcPr>
          <w:p w14:paraId="630E8C82" w14:textId="138EF644" w:rsidR="00945862" w:rsidRPr="00945862" w:rsidRDefault="00945862" w:rsidP="003C4CFB">
            <w:pPr>
              <w:spacing w:before="100" w:beforeAutospacing="1" w:after="100" w:afterAutospacing="1"/>
              <w:jc w:val="center"/>
            </w:pPr>
            <w:r w:rsidRPr="00945862">
              <w:rPr>
                <w:b/>
                <w:bCs/>
              </w:rPr>
              <w:t>2021-</w:t>
            </w:r>
            <w:r w:rsidR="00ED00FF">
              <w:rPr>
                <w:b/>
                <w:bCs/>
              </w:rPr>
              <w:t>20</w:t>
            </w:r>
            <w:r w:rsidRPr="00945862">
              <w:rPr>
                <w:b/>
                <w:bCs/>
              </w:rPr>
              <w:t>22</w:t>
            </w:r>
          </w:p>
        </w:tc>
      </w:tr>
      <w:tr w:rsidR="00945862" w:rsidRPr="00945862" w14:paraId="7C45A69C" w14:textId="77777777" w:rsidTr="00D934C9">
        <w:trPr>
          <w:trHeight w:val="110"/>
        </w:trPr>
        <w:tc>
          <w:tcPr>
            <w:tcW w:w="1250" w:type="pct"/>
          </w:tcPr>
          <w:p w14:paraId="3A7927BF" w14:textId="77777777" w:rsidR="00945862" w:rsidRPr="00945862" w:rsidRDefault="00945862" w:rsidP="00945862">
            <w:pPr>
              <w:spacing w:before="100" w:beforeAutospacing="1" w:after="100" w:afterAutospacing="1"/>
            </w:pPr>
            <w:r w:rsidRPr="00945862">
              <w:rPr>
                <w:b/>
                <w:bCs/>
              </w:rPr>
              <w:t xml:space="preserve">Cumulative balance </w:t>
            </w:r>
          </w:p>
        </w:tc>
        <w:tc>
          <w:tcPr>
            <w:tcW w:w="1250" w:type="pct"/>
          </w:tcPr>
          <w:p w14:paraId="54F68D99" w14:textId="6E8A59B4" w:rsidR="00945862" w:rsidRPr="00945862" w:rsidRDefault="00945862" w:rsidP="003C4CFB">
            <w:pPr>
              <w:spacing w:before="100" w:beforeAutospacing="1" w:after="100" w:afterAutospacing="1"/>
              <w:jc w:val="center"/>
            </w:pPr>
            <w:r w:rsidRPr="00945862">
              <w:t>-5.19 GL (-1 %)</w:t>
            </w:r>
          </w:p>
        </w:tc>
        <w:tc>
          <w:tcPr>
            <w:tcW w:w="1250" w:type="pct"/>
          </w:tcPr>
          <w:p w14:paraId="11A2FDCD" w14:textId="4CA047C6" w:rsidR="00945862" w:rsidRPr="00945862" w:rsidRDefault="00945862" w:rsidP="003C4CFB">
            <w:pPr>
              <w:spacing w:before="100" w:beforeAutospacing="1" w:after="100" w:afterAutospacing="1"/>
              <w:jc w:val="center"/>
            </w:pPr>
            <w:r w:rsidRPr="00945862">
              <w:t>-61.1 GL (-12%)</w:t>
            </w:r>
          </w:p>
        </w:tc>
        <w:tc>
          <w:tcPr>
            <w:tcW w:w="1250" w:type="pct"/>
            <w:shd w:val="clear" w:color="auto" w:fill="auto"/>
          </w:tcPr>
          <w:p w14:paraId="34EF656F" w14:textId="3BEE5AA9" w:rsidR="00945862" w:rsidRPr="00945862" w:rsidRDefault="00945862" w:rsidP="003C4CFB">
            <w:pPr>
              <w:spacing w:before="100" w:beforeAutospacing="1" w:after="100" w:afterAutospacing="1"/>
              <w:jc w:val="center"/>
            </w:pPr>
            <w:r w:rsidRPr="00945862">
              <w:t>-111.8 GL (-21%)</w:t>
            </w:r>
          </w:p>
          <w:p w14:paraId="5F13237F" w14:textId="0F5C21C4" w:rsidR="00945862" w:rsidRPr="00945862" w:rsidRDefault="00945862" w:rsidP="003C4CFB">
            <w:pPr>
              <w:spacing w:before="100" w:beforeAutospacing="1" w:after="100" w:afterAutospacing="1"/>
              <w:jc w:val="center"/>
            </w:pPr>
          </w:p>
        </w:tc>
      </w:tr>
    </w:tbl>
    <w:p w14:paraId="1715A8F5" w14:textId="2B541622" w:rsidR="00945862" w:rsidRPr="00945862" w:rsidRDefault="00945862" w:rsidP="00945862">
      <w:pPr>
        <w:spacing w:before="100" w:beforeAutospacing="1" w:after="100" w:afterAutospacing="1"/>
      </w:pPr>
      <w:r w:rsidRPr="00945862">
        <w:t xml:space="preserve">The Gwydir SDL resource unit is, for the first time, also </w:t>
      </w:r>
      <w:proofErr w:type="gramStart"/>
      <w:r w:rsidRPr="00945862">
        <w:t xml:space="preserve">in </w:t>
      </w:r>
      <w:r w:rsidR="001E1B61" w:rsidRPr="00945862">
        <w:t>exce</w:t>
      </w:r>
      <w:r w:rsidR="001E1B61">
        <w:t>ss</w:t>
      </w:r>
      <w:r w:rsidRPr="00945862">
        <w:t xml:space="preserve"> of</w:t>
      </w:r>
      <w:proofErr w:type="gramEnd"/>
      <w:r w:rsidRPr="00945862">
        <w:t xml:space="preserve"> the SDL compliance </w:t>
      </w:r>
      <w:r w:rsidR="0097091B">
        <w:t>threshold</w:t>
      </w:r>
      <w:r w:rsidR="0097091B" w:rsidRPr="00945862">
        <w:t xml:space="preserve"> </w:t>
      </w:r>
      <w:r w:rsidR="009B02A1" w:rsidRPr="009B02A1">
        <w:t xml:space="preserve">based on interim </w:t>
      </w:r>
      <w:r w:rsidR="00BE25D4">
        <w:t>registers</w:t>
      </w:r>
      <w:r w:rsidRPr="00945862">
        <w:t xml:space="preserve">. If a </w:t>
      </w:r>
      <w:r w:rsidR="001E1B61">
        <w:t>w</w:t>
      </w:r>
      <w:r w:rsidRPr="00945862">
        <w:t xml:space="preserve">ater </w:t>
      </w:r>
      <w:r w:rsidR="001E1B61">
        <w:t>r</w:t>
      </w:r>
      <w:r w:rsidRPr="00945862">
        <w:t xml:space="preserve">esource </w:t>
      </w:r>
      <w:r w:rsidR="001E1B61">
        <w:t>p</w:t>
      </w:r>
      <w:r w:rsidRPr="00945862">
        <w:t xml:space="preserve">lan </w:t>
      </w:r>
      <w:r w:rsidR="002A7BF2" w:rsidRPr="00945862">
        <w:t>was</w:t>
      </w:r>
      <w:r w:rsidRPr="00945862">
        <w:t xml:space="preserve"> in place for this area, then a reasonable excuse </w:t>
      </w:r>
      <w:r w:rsidR="007375C0">
        <w:t xml:space="preserve">and action plan </w:t>
      </w:r>
      <w:r w:rsidRPr="00945862">
        <w:t xml:space="preserve">would be </w:t>
      </w:r>
      <w:r w:rsidR="007375C0">
        <w:t>expected</w:t>
      </w:r>
      <w:r w:rsidR="007375C0" w:rsidRPr="00945862">
        <w:t xml:space="preserve"> </w:t>
      </w:r>
      <w:r w:rsidR="00CA0329">
        <w:t xml:space="preserve">to assess SDL compliance </w:t>
      </w:r>
      <w:r w:rsidR="00B45DCF">
        <w:t xml:space="preserve">and appropriateness of the action plan. </w:t>
      </w:r>
      <w:r w:rsidR="00B45DCF" w:rsidRPr="00410F8E" w:rsidDel="00B45DCF">
        <w:t xml:space="preserve"> </w:t>
      </w:r>
    </w:p>
    <w:p w14:paraId="7F1C9E77" w14:textId="298D66F4" w:rsidR="002614A3" w:rsidRDefault="002614A3" w:rsidP="002614A3">
      <w:r w:rsidRPr="00083A9E">
        <w:t xml:space="preserve">If there was an accredited </w:t>
      </w:r>
      <w:r w:rsidR="00C53BFA">
        <w:t>water resource plan</w:t>
      </w:r>
      <w:r w:rsidRPr="00083A9E">
        <w:t xml:space="preserve"> in the Barwon-Darling</w:t>
      </w:r>
      <w:r>
        <w:t xml:space="preserve"> or the Gwydir</w:t>
      </w:r>
      <w:r w:rsidRPr="00083A9E">
        <w:t>, N</w:t>
      </w:r>
      <w:r w:rsidR="00C53BFA">
        <w:t xml:space="preserve">ew </w:t>
      </w:r>
      <w:r w:rsidRPr="00083A9E">
        <w:t>S</w:t>
      </w:r>
      <w:r w:rsidR="00C53BFA">
        <w:t xml:space="preserve">outh </w:t>
      </w:r>
      <w:r w:rsidRPr="00083A9E">
        <w:t>W</w:t>
      </w:r>
      <w:r w:rsidR="00C53BFA">
        <w:t>ales</w:t>
      </w:r>
      <w:r w:rsidRPr="00083A9E">
        <w:t xml:space="preserve"> would have to demonstrate that th</w:t>
      </w:r>
      <w:r w:rsidR="001174C7">
        <w:t>e</w:t>
      </w:r>
      <w:r w:rsidRPr="00083A9E">
        <w:t xml:space="preserve"> </w:t>
      </w:r>
      <w:r w:rsidR="004B6B60">
        <w:t xml:space="preserve">rules for </w:t>
      </w:r>
      <w:r w:rsidR="00097FDE">
        <w:t xml:space="preserve">annual water </w:t>
      </w:r>
      <w:r w:rsidR="004B6B60">
        <w:t xml:space="preserve">take have been applied </w:t>
      </w:r>
      <w:r w:rsidR="007F1BA2">
        <w:t>consistent with</w:t>
      </w:r>
      <w:r w:rsidR="00677607">
        <w:t xml:space="preserve"> </w:t>
      </w:r>
      <w:r w:rsidR="00C53BFA">
        <w:t xml:space="preserve">the </w:t>
      </w:r>
      <w:r w:rsidR="007F1BA2">
        <w:t xml:space="preserve">operation of the </w:t>
      </w:r>
      <w:r w:rsidR="00C53BFA">
        <w:t>water resource plan</w:t>
      </w:r>
      <w:r w:rsidRPr="00083A9E">
        <w:t xml:space="preserve">, </w:t>
      </w:r>
      <w:r w:rsidR="00AF5D62">
        <w:t xml:space="preserve">any </w:t>
      </w:r>
      <w:r w:rsidRPr="00083A9E">
        <w:t xml:space="preserve">growth in use </w:t>
      </w:r>
      <w:r w:rsidR="00627350">
        <w:t xml:space="preserve">is </w:t>
      </w:r>
      <w:r w:rsidR="002A2078">
        <w:t xml:space="preserve">being </w:t>
      </w:r>
      <w:r w:rsidR="00627350">
        <w:t>managed</w:t>
      </w:r>
      <w:r w:rsidR="00025D1D">
        <w:t>,</w:t>
      </w:r>
      <w:r w:rsidR="00627350" w:rsidRPr="00083A9E" w:rsidDel="00627350">
        <w:t xml:space="preserve"> </w:t>
      </w:r>
      <w:r w:rsidR="00AC4EA9" w:rsidRPr="00083A9E">
        <w:t>and</w:t>
      </w:r>
      <w:r w:rsidR="00025D1D">
        <w:t xml:space="preserve"> </w:t>
      </w:r>
      <w:r w:rsidRPr="00083A9E">
        <w:t>provide a</w:t>
      </w:r>
      <w:r w:rsidR="000B2ED9">
        <w:t>n action plan</w:t>
      </w:r>
      <w:r w:rsidRPr="00083A9E">
        <w:t xml:space="preserve"> to </w:t>
      </w:r>
      <w:r w:rsidR="00774F6D">
        <w:t xml:space="preserve">reduce any excess to </w:t>
      </w:r>
      <w:r w:rsidRPr="00083A9E">
        <w:t xml:space="preserve">sustainable levels. As it currently stands, </w:t>
      </w:r>
      <w:r w:rsidR="004A43B6">
        <w:t>the</w:t>
      </w:r>
      <w:r w:rsidR="00456D24">
        <w:t xml:space="preserve">re is inequity in the level of scrutiny that applies to </w:t>
      </w:r>
      <w:r w:rsidRPr="00083A9E">
        <w:t>N</w:t>
      </w:r>
      <w:r w:rsidR="001E2129">
        <w:t xml:space="preserve">ew </w:t>
      </w:r>
      <w:r w:rsidRPr="00083A9E">
        <w:t>S</w:t>
      </w:r>
      <w:r w:rsidR="001E2129">
        <w:t xml:space="preserve">outh </w:t>
      </w:r>
      <w:r w:rsidR="00AC4EA9" w:rsidRPr="00083A9E">
        <w:t>W</w:t>
      </w:r>
      <w:r w:rsidR="00AC4EA9">
        <w:t>ales</w:t>
      </w:r>
      <w:r w:rsidR="00AC4EA9" w:rsidRPr="00083A9E">
        <w:t xml:space="preserve"> </w:t>
      </w:r>
      <w:r w:rsidR="00AC4EA9">
        <w:t>because</w:t>
      </w:r>
      <w:r w:rsidRPr="00083A9E">
        <w:t xml:space="preserve"> they are late with their </w:t>
      </w:r>
      <w:r w:rsidR="0028713C">
        <w:t xml:space="preserve">water resource </w:t>
      </w:r>
      <w:r w:rsidRPr="00083A9E">
        <w:t xml:space="preserve">plans. It isn’t a fair playing field across the Basin until all </w:t>
      </w:r>
      <w:r w:rsidR="00380CB7">
        <w:t>water resource plans</w:t>
      </w:r>
      <w:r w:rsidRPr="00083A9E">
        <w:t xml:space="preserve"> are accredited.</w:t>
      </w:r>
    </w:p>
    <w:p w14:paraId="55A6A171" w14:textId="60BD3571" w:rsidR="00A434BA" w:rsidRDefault="001E0FEC" w:rsidP="00A434BA">
      <w:r>
        <w:t xml:space="preserve">During </w:t>
      </w:r>
      <w:r w:rsidR="00ED3AFA">
        <w:t xml:space="preserve">2021-2022 </w:t>
      </w:r>
      <w:r w:rsidR="00FF3AE2">
        <w:t>New South Wales</w:t>
      </w:r>
      <w:r w:rsidR="000244B9">
        <w:t xml:space="preserve"> </w:t>
      </w:r>
      <w:r w:rsidR="007F75E7">
        <w:t>enacted state</w:t>
      </w:r>
      <w:r w:rsidR="000244B9">
        <w:t xml:space="preserve"> </w:t>
      </w:r>
      <w:r w:rsidR="004E71CD">
        <w:t xml:space="preserve">compliance </w:t>
      </w:r>
      <w:r w:rsidR="00ED3AFA">
        <w:t xml:space="preserve">mechanisms </w:t>
      </w:r>
      <w:r w:rsidR="00065CB7">
        <w:t>to curtail water use i</w:t>
      </w:r>
      <w:r w:rsidR="00ED3AFA">
        <w:t xml:space="preserve">n the </w:t>
      </w:r>
      <w:r w:rsidR="00C27BD3">
        <w:t>Gwydir</w:t>
      </w:r>
      <w:r w:rsidR="00ED3AFA">
        <w:t xml:space="preserve"> surface water </w:t>
      </w:r>
      <w:r w:rsidR="00FD69F3">
        <w:t xml:space="preserve">area </w:t>
      </w:r>
      <w:r w:rsidR="00CC647D">
        <w:t xml:space="preserve">(namely </w:t>
      </w:r>
      <w:hyperlink r:id="rId26" w:history="1">
        <w:r w:rsidR="009A6BD4" w:rsidRPr="009A6BD4">
          <w:rPr>
            <w:rStyle w:val="Hyperlink"/>
          </w:rPr>
          <w:t>LTAAEL compliance</w:t>
        </w:r>
      </w:hyperlink>
      <w:r w:rsidR="009A6BD4">
        <w:t>)</w:t>
      </w:r>
      <w:r w:rsidR="000257F7">
        <w:t>. D</w:t>
      </w:r>
      <w:r w:rsidR="00474394">
        <w:t>espite this approach</w:t>
      </w:r>
      <w:r w:rsidR="0007797E">
        <w:t xml:space="preserve"> </w:t>
      </w:r>
      <w:r w:rsidR="00E848F0">
        <w:t xml:space="preserve">an excess </w:t>
      </w:r>
      <w:r w:rsidR="00474394">
        <w:t xml:space="preserve">was indicated </w:t>
      </w:r>
      <w:r w:rsidR="00E848F0">
        <w:t xml:space="preserve">on the interim </w:t>
      </w:r>
      <w:r w:rsidR="003C707F">
        <w:t>r</w:t>
      </w:r>
      <w:r w:rsidR="00E848F0">
        <w:t>egisters</w:t>
      </w:r>
      <w:r w:rsidR="00B0471F">
        <w:t>.</w:t>
      </w:r>
      <w:r w:rsidR="00A434BA" w:rsidRPr="00A434BA">
        <w:t xml:space="preserve"> </w:t>
      </w:r>
    </w:p>
    <w:p w14:paraId="1DB74328" w14:textId="6BA67E60" w:rsidR="00E00757" w:rsidRDefault="00DB0EC5" w:rsidP="002614A3">
      <w:r>
        <w:t>Following</w:t>
      </w:r>
      <w:r w:rsidR="00A434BA">
        <w:t xml:space="preserve"> the 2021-2022 compliance year, New South Wales commenced floodplain harvesting licensing reforms to assist </w:t>
      </w:r>
      <w:r w:rsidR="00F75189">
        <w:t xml:space="preserve">with </w:t>
      </w:r>
      <w:r w:rsidR="00A434BA">
        <w:t>the management of growth in water use</w:t>
      </w:r>
      <w:r w:rsidR="00E92B60">
        <w:t>. A</w:t>
      </w:r>
      <w:r w:rsidR="00A434BA">
        <w:t xml:space="preserve">lthough the effects of these reforms </w:t>
      </w:r>
      <w:r w:rsidR="00E92B60">
        <w:t xml:space="preserve">are not likely to be seen </w:t>
      </w:r>
      <w:r w:rsidR="00A434BA">
        <w:t>on the SDL accounts until the 2023-2024 water accounting year.</w:t>
      </w:r>
    </w:p>
    <w:p w14:paraId="4B369319" w14:textId="343A3C74" w:rsidR="009E67F7" w:rsidRDefault="00945862" w:rsidP="00E14DC6">
      <w:pPr>
        <w:spacing w:before="100" w:beforeAutospacing="1" w:after="100" w:afterAutospacing="1"/>
      </w:pPr>
      <w:r w:rsidRPr="00945862">
        <w:t>The Murrumbidgee SDL resource unit is, for the first time, in exceedance of the SDL with a reported -1</w:t>
      </w:r>
      <w:r w:rsidR="00173CA7">
        <w:t>8</w:t>
      </w:r>
      <w:r w:rsidRPr="00945862">
        <w:t>% cumulative balance</w:t>
      </w:r>
      <w:r w:rsidR="000A1D25" w:rsidRPr="000A1D25">
        <w:t xml:space="preserve"> based on</w:t>
      </w:r>
      <w:r w:rsidR="005870AF">
        <w:t xml:space="preserve"> the</w:t>
      </w:r>
      <w:r w:rsidR="000A1D25" w:rsidRPr="000A1D25">
        <w:t xml:space="preserve"> interim </w:t>
      </w:r>
      <w:r w:rsidR="00DB0EC5">
        <w:t>register</w:t>
      </w:r>
      <w:r w:rsidRPr="00945862">
        <w:t xml:space="preserve">. While not </w:t>
      </w:r>
      <w:proofErr w:type="gramStart"/>
      <w:r w:rsidRPr="00945862">
        <w:t>in exce</w:t>
      </w:r>
      <w:r w:rsidR="005C16F3">
        <w:t>ss</w:t>
      </w:r>
      <w:r w:rsidRPr="00945862">
        <w:t xml:space="preserve"> of</w:t>
      </w:r>
      <w:proofErr w:type="gramEnd"/>
      <w:r w:rsidRPr="00945862">
        <w:t xml:space="preserve"> the </w:t>
      </w:r>
      <w:r w:rsidR="006E1974">
        <w:t xml:space="preserve">SDL </w:t>
      </w:r>
      <w:r w:rsidRPr="00945862">
        <w:t xml:space="preserve">compliance </w:t>
      </w:r>
      <w:r w:rsidR="005C16F3">
        <w:t>threshold</w:t>
      </w:r>
      <w:r w:rsidR="005C16F3" w:rsidRPr="00945862">
        <w:t xml:space="preserve"> </w:t>
      </w:r>
      <w:r w:rsidRPr="00945862">
        <w:t xml:space="preserve">(-20%), it is currently very close. The Murrumbidgee is the largest water using SDL resource unit in the Murray-Darling Basin. If a </w:t>
      </w:r>
      <w:r w:rsidR="003077EF">
        <w:t>w</w:t>
      </w:r>
      <w:r w:rsidRPr="00945862">
        <w:t xml:space="preserve">ater </w:t>
      </w:r>
      <w:r w:rsidR="003077EF">
        <w:t>r</w:t>
      </w:r>
      <w:r w:rsidRPr="00945862">
        <w:t xml:space="preserve">esource </w:t>
      </w:r>
      <w:r w:rsidR="003077EF">
        <w:t>p</w:t>
      </w:r>
      <w:r w:rsidRPr="00945862">
        <w:t xml:space="preserve">lan were in place for this area, then </w:t>
      </w:r>
      <w:r w:rsidR="00C90AAA">
        <w:t>further explanation</w:t>
      </w:r>
      <w:r w:rsidR="00D46436">
        <w:t xml:space="preserve"> </w:t>
      </w:r>
      <w:r w:rsidRPr="00945862">
        <w:t>would</w:t>
      </w:r>
      <w:r w:rsidR="00D46436">
        <w:t xml:space="preserve"> be </w:t>
      </w:r>
      <w:r w:rsidR="0091450D">
        <w:t>expected</w:t>
      </w:r>
      <w:r w:rsidR="0091450D" w:rsidRPr="00945862" w:rsidDel="0091450D">
        <w:t xml:space="preserve"> </w:t>
      </w:r>
      <w:r w:rsidR="00E975DE">
        <w:t xml:space="preserve">to understand the drivers </w:t>
      </w:r>
      <w:r w:rsidR="00B173BE">
        <w:t>of the exceedance</w:t>
      </w:r>
      <w:r w:rsidR="00232FF9">
        <w:t xml:space="preserve">. </w:t>
      </w:r>
      <w:r w:rsidR="003B48EB">
        <w:t>E</w:t>
      </w:r>
      <w:r w:rsidR="0004252F">
        <w:t>xceedance</w:t>
      </w:r>
      <w:r w:rsidR="00232FF9">
        <w:t>s are expected to</w:t>
      </w:r>
      <w:r w:rsidR="00DB6B32">
        <w:t xml:space="preserve"> be monitored and proactively managed, where possible</w:t>
      </w:r>
      <w:r w:rsidR="00A759CC">
        <w:t xml:space="preserve">, </w:t>
      </w:r>
      <w:r w:rsidR="00C27BD3">
        <w:t xml:space="preserve">before reaching </w:t>
      </w:r>
      <w:r w:rsidR="00DB6B32">
        <w:t>an SDL excess</w:t>
      </w:r>
      <w:r w:rsidRPr="00945862">
        <w:t>.</w:t>
      </w:r>
      <w:r w:rsidR="005220C4">
        <w:t xml:space="preserve"> </w:t>
      </w:r>
    </w:p>
    <w:p w14:paraId="6584257E" w14:textId="21D00C64" w:rsidR="00945862" w:rsidRPr="00B22563" w:rsidRDefault="00684C24" w:rsidP="0064237C">
      <w:r>
        <w:lastRenderedPageBreak/>
        <w:t>T</w:t>
      </w:r>
      <w:r w:rsidR="00F67998">
        <w:t xml:space="preserve">he Basin Plan </w:t>
      </w:r>
      <w:r w:rsidR="007247E8">
        <w:t xml:space="preserve">currently </w:t>
      </w:r>
      <w:r w:rsidR="00F67998">
        <w:t xml:space="preserve">requires that once a water resource plan is accredited and operational, the </w:t>
      </w:r>
      <w:r w:rsidR="00766120">
        <w:t xml:space="preserve">register of take commences with a </w:t>
      </w:r>
      <w:r w:rsidR="00F67998">
        <w:t xml:space="preserve">cumulative balance </w:t>
      </w:r>
      <w:r w:rsidR="00766120">
        <w:t xml:space="preserve">of </w:t>
      </w:r>
      <w:r w:rsidR="00F67998">
        <w:t xml:space="preserve">zero. This means that any debits or credits </w:t>
      </w:r>
      <w:r w:rsidR="003F089F">
        <w:t>o</w:t>
      </w:r>
      <w:r w:rsidR="00F67998">
        <w:t>n</w:t>
      </w:r>
      <w:r w:rsidR="003F089F">
        <w:t xml:space="preserve"> the interim </w:t>
      </w:r>
      <w:r w:rsidR="00336432">
        <w:t>r</w:t>
      </w:r>
      <w:r w:rsidR="003F089F">
        <w:t>egisters for</w:t>
      </w:r>
      <w:r w:rsidR="00F67998">
        <w:t xml:space="preserve"> N</w:t>
      </w:r>
      <w:r w:rsidR="00941956">
        <w:t xml:space="preserve">ew </w:t>
      </w:r>
      <w:r w:rsidR="00F67998">
        <w:t>S</w:t>
      </w:r>
      <w:r w:rsidR="00941956">
        <w:t xml:space="preserve">outh </w:t>
      </w:r>
      <w:r w:rsidR="00F67998">
        <w:t>W</w:t>
      </w:r>
      <w:r w:rsidR="00941956">
        <w:t>ales</w:t>
      </w:r>
      <w:r w:rsidR="00F67998">
        <w:t xml:space="preserve"> </w:t>
      </w:r>
      <w:r w:rsidR="00766120">
        <w:t>are not carried forward</w:t>
      </w:r>
      <w:r w:rsidR="0084281B" w:rsidRPr="00A321FF">
        <w:t>.</w:t>
      </w:r>
    </w:p>
    <w:p w14:paraId="247B7782" w14:textId="2F044D66" w:rsidR="0000143C" w:rsidRDefault="00A91714" w:rsidP="00C567E5">
      <w:r>
        <w:t xml:space="preserve">The absence of accredited water resource plans </w:t>
      </w:r>
      <w:r w:rsidR="00600AE2">
        <w:t xml:space="preserve">and the </w:t>
      </w:r>
      <w:r w:rsidR="00C24FD8">
        <w:t>cumulative level of take</w:t>
      </w:r>
      <w:r>
        <w:t xml:space="preserve"> is not a reflection on any individual N</w:t>
      </w:r>
      <w:r w:rsidR="00F61AB4">
        <w:t xml:space="preserve">ew </w:t>
      </w:r>
      <w:r>
        <w:t>S</w:t>
      </w:r>
      <w:r w:rsidR="00F61AB4">
        <w:t xml:space="preserve">outh </w:t>
      </w:r>
      <w:r>
        <w:t>W</w:t>
      </w:r>
      <w:r w:rsidR="00F61AB4">
        <w:t>ales</w:t>
      </w:r>
      <w:r>
        <w:t xml:space="preserve"> water user or their level of individual water licence compliance. Nor is it a reflection of the individual water use compliance and enforcement activities of the independent N</w:t>
      </w:r>
      <w:r w:rsidR="00247DE3">
        <w:t xml:space="preserve">ew </w:t>
      </w:r>
      <w:r>
        <w:t>S</w:t>
      </w:r>
      <w:r w:rsidR="00247DE3">
        <w:t xml:space="preserve">outh </w:t>
      </w:r>
      <w:r>
        <w:t>W</w:t>
      </w:r>
      <w:r w:rsidR="00247DE3">
        <w:t>ales</w:t>
      </w:r>
      <w:r>
        <w:t xml:space="preserve"> Natural Resources Access Regulator. Throughout the Basin, water access right holders are lawfully able to take water within the conditions of their water access</w:t>
      </w:r>
      <w:r w:rsidR="008216DC">
        <w:t xml:space="preserve"> </w:t>
      </w:r>
      <w:r>
        <w:t>entitlements</w:t>
      </w:r>
      <w:r w:rsidR="00A83085">
        <w:t>.</w:t>
      </w:r>
      <w:r w:rsidR="006B503D">
        <w:t xml:space="preserve"> </w:t>
      </w:r>
      <w:r w:rsidR="0047652C">
        <w:t>T</w:t>
      </w:r>
      <w:r w:rsidR="006B503D">
        <w:t xml:space="preserve">he responsibility </w:t>
      </w:r>
      <w:r w:rsidR="0047652C">
        <w:t>lies with the</w:t>
      </w:r>
      <w:r w:rsidR="006B503D">
        <w:t xml:space="preserve"> </w:t>
      </w:r>
      <w:r w:rsidR="00395B25">
        <w:t xml:space="preserve">Basin </w:t>
      </w:r>
      <w:r w:rsidR="004632E2">
        <w:t>S</w:t>
      </w:r>
      <w:r w:rsidR="00395B25">
        <w:t>tate agency to manage all forms of water use and diversions within the SDLs</w:t>
      </w:r>
      <w:r w:rsidR="002F01A0">
        <w:t xml:space="preserve">. </w:t>
      </w:r>
    </w:p>
    <w:p w14:paraId="4555E81A" w14:textId="48B43335" w:rsidR="00736851" w:rsidRDefault="00102CC7" w:rsidP="00C567E5">
      <w:r>
        <w:t>The Inspector-General</w:t>
      </w:r>
      <w:r w:rsidR="004E330A">
        <w:t xml:space="preserve"> </w:t>
      </w:r>
      <w:r w:rsidR="00436581">
        <w:t>strongly recommend</w:t>
      </w:r>
      <w:r>
        <w:t>s</w:t>
      </w:r>
      <w:r w:rsidR="00436581">
        <w:t xml:space="preserve"> that the</w:t>
      </w:r>
      <w:r w:rsidR="006F4568">
        <w:t xml:space="preserve"> N</w:t>
      </w:r>
      <w:r w:rsidR="00554FA5">
        <w:t xml:space="preserve">ew </w:t>
      </w:r>
      <w:r w:rsidR="006F4568">
        <w:t>S</w:t>
      </w:r>
      <w:r w:rsidR="00554FA5">
        <w:t xml:space="preserve">outh </w:t>
      </w:r>
      <w:r w:rsidR="006F4568">
        <w:t>W</w:t>
      </w:r>
      <w:r w:rsidR="00554FA5">
        <w:t>ales</w:t>
      </w:r>
      <w:r w:rsidR="006F4568">
        <w:t xml:space="preserve"> </w:t>
      </w:r>
      <w:r w:rsidR="00436581">
        <w:t>Minister</w:t>
      </w:r>
      <w:r w:rsidR="006F4568">
        <w:t>:</w:t>
      </w:r>
    </w:p>
    <w:p w14:paraId="271EBB9D" w14:textId="10B388A3" w:rsidR="00581D2D" w:rsidRDefault="00996C64">
      <w:pPr>
        <w:pStyle w:val="ListParagraph"/>
        <w:numPr>
          <w:ilvl w:val="0"/>
          <w:numId w:val="15"/>
        </w:numPr>
        <w:spacing w:before="120" w:after="120"/>
        <w:ind w:left="714" w:hanging="357"/>
        <w:contextualSpacing w:val="0"/>
        <w:rPr>
          <w:rFonts w:ascii="Verdana" w:hAnsi="Verdana"/>
          <w:sz w:val="20"/>
          <w:szCs w:val="20"/>
        </w:rPr>
      </w:pPr>
      <w:r>
        <w:rPr>
          <w:rFonts w:ascii="Verdana" w:hAnsi="Verdana"/>
          <w:sz w:val="20"/>
          <w:szCs w:val="20"/>
        </w:rPr>
        <w:t xml:space="preserve">Ensure </w:t>
      </w:r>
      <w:r w:rsidRPr="00996C64">
        <w:rPr>
          <w:rFonts w:ascii="Verdana" w:hAnsi="Verdana"/>
          <w:sz w:val="20"/>
          <w:szCs w:val="20"/>
        </w:rPr>
        <w:t xml:space="preserve">the use of water </w:t>
      </w:r>
      <w:r w:rsidR="00E536B1">
        <w:rPr>
          <w:rFonts w:ascii="Verdana" w:hAnsi="Verdana"/>
          <w:sz w:val="20"/>
          <w:szCs w:val="20"/>
        </w:rPr>
        <w:t>is a</w:t>
      </w:r>
      <w:r w:rsidR="00581D2D" w:rsidRPr="00581D2D">
        <w:rPr>
          <w:rFonts w:ascii="Verdana" w:hAnsi="Verdana"/>
          <w:sz w:val="20"/>
          <w:szCs w:val="20"/>
        </w:rPr>
        <w:t>uthorise</w:t>
      </w:r>
      <w:r w:rsidR="00E536B1">
        <w:rPr>
          <w:rFonts w:ascii="Verdana" w:hAnsi="Verdana"/>
          <w:sz w:val="20"/>
          <w:szCs w:val="20"/>
        </w:rPr>
        <w:t>d</w:t>
      </w:r>
      <w:r w:rsidR="00581D2D" w:rsidRPr="00581D2D">
        <w:rPr>
          <w:rFonts w:ascii="Verdana" w:hAnsi="Verdana"/>
          <w:sz w:val="20"/>
          <w:szCs w:val="20"/>
        </w:rPr>
        <w:t xml:space="preserve"> within the S</w:t>
      </w:r>
      <w:r w:rsidR="00AC4BC4">
        <w:rPr>
          <w:rFonts w:ascii="Verdana" w:hAnsi="Verdana"/>
          <w:sz w:val="20"/>
          <w:szCs w:val="20"/>
        </w:rPr>
        <w:t>DLs</w:t>
      </w:r>
      <w:r w:rsidR="00581D2D" w:rsidRPr="00581D2D">
        <w:rPr>
          <w:rFonts w:ascii="Verdana" w:hAnsi="Verdana"/>
          <w:sz w:val="20"/>
          <w:szCs w:val="20"/>
        </w:rPr>
        <w:t xml:space="preserve"> set by the Basin </w:t>
      </w:r>
      <w:proofErr w:type="gramStart"/>
      <w:r w:rsidR="00581D2D" w:rsidRPr="00581D2D">
        <w:rPr>
          <w:rFonts w:ascii="Verdana" w:hAnsi="Verdana"/>
          <w:sz w:val="20"/>
          <w:szCs w:val="20"/>
        </w:rPr>
        <w:t>Plan</w:t>
      </w:r>
      <w:r w:rsidR="006A2F9F">
        <w:rPr>
          <w:rFonts w:ascii="Verdana" w:hAnsi="Verdana"/>
          <w:sz w:val="20"/>
          <w:szCs w:val="20"/>
        </w:rPr>
        <w:t>;</w:t>
      </w:r>
      <w:proofErr w:type="gramEnd"/>
      <w:r w:rsidR="006A2F9F">
        <w:rPr>
          <w:rFonts w:ascii="Verdana" w:hAnsi="Verdana"/>
          <w:sz w:val="20"/>
          <w:szCs w:val="20"/>
        </w:rPr>
        <w:t xml:space="preserve"> </w:t>
      </w:r>
    </w:p>
    <w:p w14:paraId="425DB957" w14:textId="6C3DD6D9" w:rsidR="006F4568" w:rsidRDefault="00495077" w:rsidP="00C74123">
      <w:pPr>
        <w:pStyle w:val="ListParagraph"/>
        <w:numPr>
          <w:ilvl w:val="0"/>
          <w:numId w:val="15"/>
        </w:numPr>
        <w:spacing w:before="120" w:after="120"/>
        <w:ind w:left="714" w:hanging="357"/>
        <w:contextualSpacing w:val="0"/>
        <w:rPr>
          <w:rFonts w:ascii="Verdana" w:hAnsi="Verdana"/>
          <w:sz w:val="20"/>
          <w:szCs w:val="20"/>
        </w:rPr>
      </w:pPr>
      <w:r>
        <w:rPr>
          <w:rFonts w:ascii="Verdana" w:hAnsi="Verdana"/>
          <w:sz w:val="20"/>
          <w:szCs w:val="20"/>
        </w:rPr>
        <w:t>Ensure d</w:t>
      </w:r>
      <w:r w:rsidR="00145936">
        <w:rPr>
          <w:rFonts w:ascii="Verdana" w:hAnsi="Verdana"/>
          <w:sz w:val="20"/>
          <w:szCs w:val="20"/>
        </w:rPr>
        <w:t>eliver</w:t>
      </w:r>
      <w:r>
        <w:rPr>
          <w:rFonts w:ascii="Verdana" w:hAnsi="Verdana"/>
          <w:sz w:val="20"/>
          <w:szCs w:val="20"/>
        </w:rPr>
        <w:t>y of</w:t>
      </w:r>
      <w:r w:rsidR="00145936">
        <w:rPr>
          <w:rFonts w:ascii="Verdana" w:hAnsi="Verdana"/>
          <w:sz w:val="20"/>
          <w:szCs w:val="20"/>
        </w:rPr>
        <w:t xml:space="preserve"> w</w:t>
      </w:r>
      <w:r w:rsidR="005F6366" w:rsidRPr="00C74123">
        <w:rPr>
          <w:rFonts w:ascii="Verdana" w:hAnsi="Verdana"/>
          <w:sz w:val="20"/>
          <w:szCs w:val="20"/>
        </w:rPr>
        <w:t xml:space="preserve">ater </w:t>
      </w:r>
      <w:r w:rsidR="00145936">
        <w:rPr>
          <w:rFonts w:ascii="Verdana" w:hAnsi="Verdana"/>
          <w:sz w:val="20"/>
          <w:szCs w:val="20"/>
        </w:rPr>
        <w:t>r</w:t>
      </w:r>
      <w:r w:rsidR="005F6366" w:rsidRPr="00C74123">
        <w:rPr>
          <w:rFonts w:ascii="Verdana" w:hAnsi="Verdana"/>
          <w:sz w:val="20"/>
          <w:szCs w:val="20"/>
        </w:rPr>
        <w:t xml:space="preserve">esource </w:t>
      </w:r>
      <w:r w:rsidR="00145936">
        <w:rPr>
          <w:rFonts w:ascii="Verdana" w:hAnsi="Verdana"/>
          <w:sz w:val="20"/>
          <w:szCs w:val="20"/>
        </w:rPr>
        <w:t>p</w:t>
      </w:r>
      <w:r w:rsidR="005F6366" w:rsidRPr="00C74123">
        <w:rPr>
          <w:rFonts w:ascii="Verdana" w:hAnsi="Verdana"/>
          <w:sz w:val="20"/>
          <w:szCs w:val="20"/>
        </w:rPr>
        <w:t xml:space="preserve">lans capable of accreditation </w:t>
      </w:r>
      <w:r w:rsidR="00145936">
        <w:rPr>
          <w:rFonts w:ascii="Verdana" w:hAnsi="Verdana"/>
          <w:sz w:val="20"/>
          <w:szCs w:val="20"/>
        </w:rPr>
        <w:t>as</w:t>
      </w:r>
      <w:r w:rsidR="005F6366" w:rsidRPr="00C74123">
        <w:rPr>
          <w:rFonts w:ascii="Verdana" w:hAnsi="Verdana"/>
          <w:sz w:val="20"/>
          <w:szCs w:val="20"/>
        </w:rPr>
        <w:t xml:space="preserve"> an </w:t>
      </w:r>
      <w:r w:rsidR="0071194B">
        <w:rPr>
          <w:rFonts w:ascii="Verdana" w:hAnsi="Verdana"/>
          <w:sz w:val="20"/>
          <w:szCs w:val="20"/>
        </w:rPr>
        <w:t xml:space="preserve">absolute </w:t>
      </w:r>
      <w:r w:rsidR="005F6366" w:rsidRPr="00C74123">
        <w:rPr>
          <w:rFonts w:ascii="Verdana" w:hAnsi="Verdana"/>
          <w:sz w:val="20"/>
          <w:szCs w:val="20"/>
        </w:rPr>
        <w:t xml:space="preserve">urgent priority. This includes arrangements for managing floodplain harvesting within the </w:t>
      </w:r>
      <w:r w:rsidR="003343E0">
        <w:rPr>
          <w:rFonts w:ascii="Verdana" w:hAnsi="Verdana"/>
          <w:sz w:val="20"/>
          <w:szCs w:val="20"/>
        </w:rPr>
        <w:t>sustainable limit</w:t>
      </w:r>
      <w:r w:rsidR="005F6366" w:rsidRPr="00C74123">
        <w:rPr>
          <w:rFonts w:ascii="Verdana" w:hAnsi="Verdana"/>
          <w:sz w:val="20"/>
          <w:szCs w:val="20"/>
        </w:rPr>
        <w:t xml:space="preserve">. Taking a risk-based approach, the Barwon Darling, Gwydir and Murrumbidgee surface water areas are prioritised for submission to the </w:t>
      </w:r>
      <w:r w:rsidR="008B409E">
        <w:rPr>
          <w:rFonts w:ascii="Verdana" w:hAnsi="Verdana"/>
          <w:sz w:val="20"/>
          <w:szCs w:val="20"/>
        </w:rPr>
        <w:t>MDBA</w:t>
      </w:r>
      <w:r w:rsidR="008B409E" w:rsidRPr="00C74123">
        <w:rPr>
          <w:rFonts w:ascii="Verdana" w:hAnsi="Verdana"/>
          <w:sz w:val="20"/>
          <w:szCs w:val="20"/>
        </w:rPr>
        <w:t xml:space="preserve"> </w:t>
      </w:r>
      <w:r w:rsidR="005F6366" w:rsidRPr="00C74123">
        <w:rPr>
          <w:rFonts w:ascii="Verdana" w:hAnsi="Verdana"/>
          <w:sz w:val="20"/>
          <w:szCs w:val="20"/>
        </w:rPr>
        <w:t xml:space="preserve">for </w:t>
      </w:r>
      <w:proofErr w:type="gramStart"/>
      <w:r w:rsidR="005F6366" w:rsidRPr="00C74123">
        <w:rPr>
          <w:rFonts w:ascii="Verdana" w:hAnsi="Verdana"/>
          <w:sz w:val="20"/>
          <w:szCs w:val="20"/>
        </w:rPr>
        <w:t>assessment</w:t>
      </w:r>
      <w:r w:rsidR="007B5483">
        <w:rPr>
          <w:rFonts w:ascii="Verdana" w:hAnsi="Verdana"/>
          <w:sz w:val="20"/>
          <w:szCs w:val="20"/>
        </w:rPr>
        <w:t>;</w:t>
      </w:r>
      <w:proofErr w:type="gramEnd"/>
      <w:r w:rsidR="007B5483">
        <w:rPr>
          <w:rFonts w:ascii="Verdana" w:hAnsi="Verdana"/>
          <w:sz w:val="20"/>
          <w:szCs w:val="20"/>
        </w:rPr>
        <w:t xml:space="preserve"> </w:t>
      </w:r>
    </w:p>
    <w:p w14:paraId="029E901E" w14:textId="3688C819" w:rsidR="00DF0A81" w:rsidRDefault="00842F85" w:rsidP="00C74123">
      <w:pPr>
        <w:pStyle w:val="ListParagraph"/>
        <w:numPr>
          <w:ilvl w:val="0"/>
          <w:numId w:val="15"/>
        </w:numPr>
        <w:spacing w:before="120" w:after="120"/>
        <w:ind w:left="714" w:hanging="357"/>
        <w:contextualSpacing w:val="0"/>
        <w:rPr>
          <w:rFonts w:ascii="Verdana" w:hAnsi="Verdana"/>
          <w:sz w:val="20"/>
          <w:szCs w:val="20"/>
        </w:rPr>
      </w:pPr>
      <w:r>
        <w:rPr>
          <w:rFonts w:ascii="Verdana" w:hAnsi="Verdana"/>
          <w:sz w:val="20"/>
          <w:szCs w:val="20"/>
        </w:rPr>
        <w:t>R</w:t>
      </w:r>
      <w:r w:rsidR="00436581" w:rsidRPr="00436581">
        <w:rPr>
          <w:rFonts w:ascii="Verdana" w:hAnsi="Verdana"/>
          <w:sz w:val="20"/>
          <w:szCs w:val="20"/>
        </w:rPr>
        <w:t xml:space="preserve">igorously assess and enforce New South Wales </w:t>
      </w:r>
      <w:r w:rsidR="00BA3D9D">
        <w:rPr>
          <w:rFonts w:ascii="Verdana" w:hAnsi="Verdana"/>
          <w:sz w:val="20"/>
          <w:szCs w:val="20"/>
        </w:rPr>
        <w:t>w</w:t>
      </w:r>
      <w:r w:rsidR="00436581" w:rsidRPr="00436581">
        <w:rPr>
          <w:rFonts w:ascii="Verdana" w:hAnsi="Verdana"/>
          <w:sz w:val="20"/>
          <w:szCs w:val="20"/>
        </w:rPr>
        <w:t xml:space="preserve">ater </w:t>
      </w:r>
      <w:r w:rsidR="00BA3D9D">
        <w:rPr>
          <w:rFonts w:ascii="Verdana" w:hAnsi="Verdana"/>
          <w:sz w:val="20"/>
          <w:szCs w:val="20"/>
        </w:rPr>
        <w:t>s</w:t>
      </w:r>
      <w:r w:rsidR="00436581" w:rsidRPr="00436581">
        <w:rPr>
          <w:rFonts w:ascii="Verdana" w:hAnsi="Verdana"/>
          <w:sz w:val="20"/>
          <w:szCs w:val="20"/>
        </w:rPr>
        <w:t xml:space="preserve">haring </w:t>
      </w:r>
      <w:r w:rsidR="00BA3D9D">
        <w:rPr>
          <w:rFonts w:ascii="Verdana" w:hAnsi="Verdana"/>
          <w:sz w:val="20"/>
          <w:szCs w:val="20"/>
        </w:rPr>
        <w:t>p</w:t>
      </w:r>
      <w:r w:rsidR="00436581" w:rsidRPr="00436581">
        <w:rPr>
          <w:rFonts w:ascii="Verdana" w:hAnsi="Verdana"/>
          <w:sz w:val="20"/>
          <w:szCs w:val="20"/>
        </w:rPr>
        <w:t>lan take limits</w:t>
      </w:r>
      <w:r w:rsidR="004957AB">
        <w:rPr>
          <w:rFonts w:ascii="Verdana" w:hAnsi="Verdana"/>
          <w:sz w:val="20"/>
          <w:szCs w:val="20"/>
        </w:rPr>
        <w:t xml:space="preserve"> in accordance with N</w:t>
      </w:r>
      <w:r w:rsidR="00A75EBD">
        <w:rPr>
          <w:rFonts w:ascii="Verdana" w:hAnsi="Verdana"/>
          <w:sz w:val="20"/>
          <w:szCs w:val="20"/>
        </w:rPr>
        <w:t xml:space="preserve">ew </w:t>
      </w:r>
      <w:r w:rsidR="004957AB">
        <w:rPr>
          <w:rFonts w:ascii="Verdana" w:hAnsi="Verdana"/>
          <w:sz w:val="20"/>
          <w:szCs w:val="20"/>
        </w:rPr>
        <w:t>S</w:t>
      </w:r>
      <w:r w:rsidR="00A75EBD">
        <w:rPr>
          <w:rFonts w:ascii="Verdana" w:hAnsi="Verdana"/>
          <w:sz w:val="20"/>
          <w:szCs w:val="20"/>
        </w:rPr>
        <w:t xml:space="preserve">outh </w:t>
      </w:r>
      <w:r w:rsidR="004957AB">
        <w:rPr>
          <w:rFonts w:ascii="Verdana" w:hAnsi="Verdana"/>
          <w:sz w:val="20"/>
          <w:szCs w:val="20"/>
        </w:rPr>
        <w:t>W</w:t>
      </w:r>
      <w:r w:rsidR="00A75EBD">
        <w:rPr>
          <w:rFonts w:ascii="Verdana" w:hAnsi="Verdana"/>
          <w:sz w:val="20"/>
          <w:szCs w:val="20"/>
        </w:rPr>
        <w:t>ales</w:t>
      </w:r>
      <w:r w:rsidR="004957AB">
        <w:rPr>
          <w:rFonts w:ascii="Verdana" w:hAnsi="Verdana"/>
          <w:sz w:val="20"/>
          <w:szCs w:val="20"/>
        </w:rPr>
        <w:t xml:space="preserve"> water management law</w:t>
      </w:r>
      <w:r w:rsidR="00436581" w:rsidRPr="00436581">
        <w:rPr>
          <w:rFonts w:ascii="Verdana" w:hAnsi="Verdana"/>
          <w:sz w:val="20"/>
          <w:szCs w:val="20"/>
        </w:rPr>
        <w:t xml:space="preserve">. LTAAELs are an important </w:t>
      </w:r>
      <w:r w:rsidR="00B854E6">
        <w:rPr>
          <w:rFonts w:ascii="Verdana" w:hAnsi="Verdana"/>
          <w:sz w:val="20"/>
          <w:szCs w:val="20"/>
        </w:rPr>
        <w:t>water management tool</w:t>
      </w:r>
      <w:r w:rsidR="00712A00">
        <w:rPr>
          <w:rFonts w:ascii="Verdana" w:hAnsi="Verdana"/>
          <w:sz w:val="20"/>
          <w:szCs w:val="20"/>
        </w:rPr>
        <w:t>, particularly</w:t>
      </w:r>
      <w:r w:rsidR="00436581" w:rsidRPr="00436581">
        <w:rPr>
          <w:rFonts w:ascii="Verdana" w:hAnsi="Verdana"/>
          <w:sz w:val="20"/>
          <w:szCs w:val="20"/>
        </w:rPr>
        <w:t xml:space="preserve"> in the absence of accredited water resource plans</w:t>
      </w:r>
      <w:r w:rsidR="00712A00">
        <w:rPr>
          <w:rFonts w:ascii="Verdana" w:hAnsi="Verdana"/>
          <w:sz w:val="20"/>
          <w:szCs w:val="20"/>
        </w:rPr>
        <w:t xml:space="preserve"> </w:t>
      </w:r>
      <w:r w:rsidR="002168DB">
        <w:rPr>
          <w:rFonts w:ascii="Verdana" w:hAnsi="Verdana"/>
          <w:sz w:val="20"/>
          <w:szCs w:val="20"/>
        </w:rPr>
        <w:t>and</w:t>
      </w:r>
      <w:r w:rsidR="00712A00">
        <w:rPr>
          <w:rFonts w:ascii="Verdana" w:hAnsi="Verdana"/>
          <w:sz w:val="20"/>
          <w:szCs w:val="20"/>
        </w:rPr>
        <w:t xml:space="preserve"> SDL compliance</w:t>
      </w:r>
      <w:r w:rsidR="007F0BE1">
        <w:rPr>
          <w:rFonts w:ascii="Verdana" w:hAnsi="Verdana"/>
          <w:sz w:val="20"/>
          <w:szCs w:val="20"/>
        </w:rPr>
        <w:t xml:space="preserve"> assessment</w:t>
      </w:r>
      <w:r w:rsidR="00436581" w:rsidRPr="00436581">
        <w:rPr>
          <w:rFonts w:ascii="Verdana" w:hAnsi="Verdana"/>
          <w:sz w:val="20"/>
          <w:szCs w:val="20"/>
        </w:rPr>
        <w:t>. To add rigour to th</w:t>
      </w:r>
      <w:r w:rsidR="00AC5ECF">
        <w:rPr>
          <w:rFonts w:ascii="Verdana" w:hAnsi="Verdana"/>
          <w:sz w:val="20"/>
          <w:szCs w:val="20"/>
        </w:rPr>
        <w:t xml:space="preserve">e LTAAEL compliance </w:t>
      </w:r>
      <w:r w:rsidR="00436581" w:rsidRPr="00436581">
        <w:rPr>
          <w:rFonts w:ascii="Verdana" w:hAnsi="Verdana"/>
          <w:sz w:val="20"/>
          <w:szCs w:val="20"/>
        </w:rPr>
        <w:t xml:space="preserve">process, </w:t>
      </w:r>
      <w:r w:rsidR="00813E95">
        <w:rPr>
          <w:rFonts w:ascii="Verdana" w:hAnsi="Verdana"/>
          <w:sz w:val="20"/>
          <w:szCs w:val="20"/>
        </w:rPr>
        <w:t>the process</w:t>
      </w:r>
      <w:r w:rsidR="00E30251">
        <w:rPr>
          <w:rFonts w:ascii="Verdana" w:hAnsi="Verdana"/>
          <w:sz w:val="20"/>
          <w:szCs w:val="20"/>
        </w:rPr>
        <w:t xml:space="preserve"> </w:t>
      </w:r>
      <w:r w:rsidR="00161186">
        <w:rPr>
          <w:rFonts w:ascii="Verdana" w:hAnsi="Verdana"/>
          <w:sz w:val="20"/>
          <w:szCs w:val="20"/>
        </w:rPr>
        <w:t>c</w:t>
      </w:r>
      <w:r w:rsidR="00436581" w:rsidRPr="00436581">
        <w:rPr>
          <w:rFonts w:ascii="Verdana" w:hAnsi="Verdana"/>
          <w:sz w:val="20"/>
          <w:szCs w:val="20"/>
        </w:rPr>
        <w:t xml:space="preserve">ould be actively </w:t>
      </w:r>
      <w:r w:rsidR="00DD4821">
        <w:rPr>
          <w:rFonts w:ascii="Verdana" w:hAnsi="Verdana"/>
          <w:sz w:val="20"/>
          <w:szCs w:val="20"/>
        </w:rPr>
        <w:t xml:space="preserve">and </w:t>
      </w:r>
      <w:r w:rsidR="00436581" w:rsidRPr="00436581">
        <w:rPr>
          <w:rFonts w:ascii="Verdana" w:hAnsi="Verdana"/>
          <w:sz w:val="20"/>
          <w:szCs w:val="20"/>
        </w:rPr>
        <w:t xml:space="preserve">independently overseen and </w:t>
      </w:r>
      <w:proofErr w:type="gramStart"/>
      <w:r w:rsidR="00436581" w:rsidRPr="00436581">
        <w:rPr>
          <w:rFonts w:ascii="Verdana" w:hAnsi="Verdana"/>
          <w:sz w:val="20"/>
          <w:szCs w:val="20"/>
        </w:rPr>
        <w:t>assured</w:t>
      </w:r>
      <w:r w:rsidR="007B5483">
        <w:rPr>
          <w:rFonts w:ascii="Verdana" w:hAnsi="Verdana"/>
          <w:sz w:val="20"/>
          <w:szCs w:val="20"/>
        </w:rPr>
        <w:t>;</w:t>
      </w:r>
      <w:proofErr w:type="gramEnd"/>
      <w:r w:rsidR="007B5483">
        <w:rPr>
          <w:rFonts w:ascii="Verdana" w:hAnsi="Verdana"/>
          <w:sz w:val="20"/>
          <w:szCs w:val="20"/>
        </w:rPr>
        <w:t xml:space="preserve"> </w:t>
      </w:r>
    </w:p>
    <w:p w14:paraId="65FE9B36" w14:textId="2B88BA7E" w:rsidR="00E02CE1" w:rsidRDefault="00813E95" w:rsidP="00C74123">
      <w:pPr>
        <w:pStyle w:val="ListParagraph"/>
        <w:numPr>
          <w:ilvl w:val="0"/>
          <w:numId w:val="15"/>
        </w:numPr>
        <w:spacing w:before="120" w:after="120"/>
        <w:ind w:left="714" w:hanging="357"/>
        <w:contextualSpacing w:val="0"/>
        <w:rPr>
          <w:rFonts w:ascii="Verdana" w:hAnsi="Verdana"/>
          <w:sz w:val="20"/>
          <w:szCs w:val="20"/>
        </w:rPr>
      </w:pPr>
      <w:r>
        <w:rPr>
          <w:rFonts w:ascii="Verdana" w:hAnsi="Verdana"/>
          <w:sz w:val="20"/>
          <w:szCs w:val="20"/>
        </w:rPr>
        <w:t>Direct u</w:t>
      </w:r>
      <w:r w:rsidR="00DB4ACE">
        <w:rPr>
          <w:rFonts w:ascii="Verdana" w:hAnsi="Verdana"/>
          <w:sz w:val="20"/>
          <w:szCs w:val="20"/>
        </w:rPr>
        <w:t>rgent r</w:t>
      </w:r>
      <w:r w:rsidR="00E02CE1" w:rsidRPr="00E02CE1">
        <w:rPr>
          <w:rFonts w:ascii="Verdana" w:hAnsi="Verdana"/>
          <w:sz w:val="20"/>
          <w:szCs w:val="20"/>
        </w:rPr>
        <w:t>esol</w:t>
      </w:r>
      <w:r>
        <w:rPr>
          <w:rFonts w:ascii="Verdana" w:hAnsi="Verdana"/>
          <w:sz w:val="20"/>
          <w:szCs w:val="20"/>
        </w:rPr>
        <w:t>ution to</w:t>
      </w:r>
      <w:r w:rsidR="00E02CE1" w:rsidRPr="00E02CE1">
        <w:rPr>
          <w:rFonts w:ascii="Verdana" w:hAnsi="Verdana"/>
          <w:sz w:val="20"/>
          <w:szCs w:val="20"/>
        </w:rPr>
        <w:t xml:space="preserve"> the </w:t>
      </w:r>
      <w:r w:rsidR="00FD46C0">
        <w:rPr>
          <w:rFonts w:ascii="Verdana" w:hAnsi="Verdana"/>
          <w:sz w:val="20"/>
          <w:szCs w:val="20"/>
        </w:rPr>
        <w:t xml:space="preserve">meter calibration </w:t>
      </w:r>
      <w:r w:rsidR="00E02CE1" w:rsidRPr="00E02CE1">
        <w:rPr>
          <w:rFonts w:ascii="Verdana" w:hAnsi="Verdana"/>
          <w:sz w:val="20"/>
          <w:szCs w:val="20"/>
        </w:rPr>
        <w:t>issues affecting Barwon-Darling water take measurement accuracy</w:t>
      </w:r>
      <w:r w:rsidR="00765D17">
        <w:rPr>
          <w:rFonts w:ascii="Verdana" w:hAnsi="Verdana"/>
          <w:sz w:val="20"/>
          <w:szCs w:val="20"/>
        </w:rPr>
        <w:t xml:space="preserve">, </w:t>
      </w:r>
      <w:r w:rsidR="00DB4ACE">
        <w:rPr>
          <w:rFonts w:ascii="Verdana" w:hAnsi="Verdana"/>
          <w:sz w:val="20"/>
          <w:szCs w:val="20"/>
        </w:rPr>
        <w:t xml:space="preserve">as </w:t>
      </w:r>
      <w:r w:rsidR="008B3C40">
        <w:rPr>
          <w:rFonts w:ascii="Verdana" w:hAnsi="Verdana"/>
          <w:sz w:val="20"/>
          <w:szCs w:val="20"/>
        </w:rPr>
        <w:t>promised</w:t>
      </w:r>
      <w:r w:rsidR="00E870EB">
        <w:rPr>
          <w:rStyle w:val="FootnoteReference"/>
          <w:rFonts w:ascii="Verdana" w:hAnsi="Verdana"/>
          <w:sz w:val="20"/>
          <w:szCs w:val="20"/>
        </w:rPr>
        <w:footnoteReference w:id="7"/>
      </w:r>
      <w:r w:rsidR="00857CEC">
        <w:rPr>
          <w:rFonts w:ascii="Verdana" w:hAnsi="Verdana"/>
          <w:sz w:val="20"/>
          <w:szCs w:val="20"/>
        </w:rPr>
        <w:t xml:space="preserve"> </w:t>
      </w:r>
      <w:r w:rsidR="005F51AE">
        <w:rPr>
          <w:rFonts w:ascii="Verdana" w:hAnsi="Verdana"/>
          <w:sz w:val="20"/>
          <w:szCs w:val="20"/>
        </w:rPr>
        <w:t xml:space="preserve">in </w:t>
      </w:r>
      <w:r w:rsidR="00857CEC">
        <w:rPr>
          <w:rFonts w:ascii="Verdana" w:hAnsi="Verdana"/>
          <w:sz w:val="20"/>
          <w:szCs w:val="20"/>
        </w:rPr>
        <w:t>20</w:t>
      </w:r>
      <w:r w:rsidR="00D46821">
        <w:rPr>
          <w:rFonts w:ascii="Verdana" w:hAnsi="Verdana"/>
          <w:sz w:val="20"/>
          <w:szCs w:val="20"/>
        </w:rPr>
        <w:t xml:space="preserve">21 and 2022 </w:t>
      </w:r>
      <w:r w:rsidR="004F793E">
        <w:rPr>
          <w:rFonts w:ascii="Verdana" w:hAnsi="Verdana"/>
          <w:sz w:val="20"/>
          <w:szCs w:val="20"/>
        </w:rPr>
        <w:t xml:space="preserve">by </w:t>
      </w:r>
      <w:r w:rsidR="00807B6C">
        <w:rPr>
          <w:rFonts w:ascii="Verdana" w:hAnsi="Verdana"/>
          <w:sz w:val="20"/>
          <w:szCs w:val="20"/>
        </w:rPr>
        <w:t xml:space="preserve">the </w:t>
      </w:r>
      <w:r w:rsidR="004F793E">
        <w:rPr>
          <w:rFonts w:ascii="Verdana" w:hAnsi="Verdana"/>
          <w:sz w:val="20"/>
          <w:szCs w:val="20"/>
        </w:rPr>
        <w:t>New South Wales Department of Planning and Environment</w:t>
      </w:r>
      <w:r w:rsidR="006A2F9F">
        <w:rPr>
          <w:rFonts w:ascii="Verdana" w:hAnsi="Verdana"/>
          <w:sz w:val="20"/>
          <w:szCs w:val="20"/>
        </w:rPr>
        <w:t>;</w:t>
      </w:r>
      <w:r w:rsidR="007B5483">
        <w:rPr>
          <w:rFonts w:ascii="Verdana" w:hAnsi="Verdana"/>
          <w:sz w:val="20"/>
          <w:szCs w:val="20"/>
        </w:rPr>
        <w:t xml:space="preserve"> and</w:t>
      </w:r>
    </w:p>
    <w:p w14:paraId="7210D3C5" w14:textId="77C1CBC7" w:rsidR="001A50D0" w:rsidRPr="00102847" w:rsidRDefault="001A50D0" w:rsidP="00C74123">
      <w:pPr>
        <w:pStyle w:val="ListParagraph"/>
        <w:numPr>
          <w:ilvl w:val="0"/>
          <w:numId w:val="15"/>
        </w:numPr>
        <w:spacing w:before="120" w:after="120"/>
        <w:ind w:left="714" w:hanging="357"/>
        <w:contextualSpacing w:val="0"/>
        <w:rPr>
          <w:szCs w:val="20"/>
        </w:rPr>
      </w:pPr>
      <w:r>
        <w:rPr>
          <w:rFonts w:ascii="Verdana" w:eastAsia="Calibri" w:hAnsi="Verdana" w:cs="Times New Roman"/>
          <w:kern w:val="0"/>
          <w:sz w:val="20"/>
          <w14:ligatures w14:val="none"/>
        </w:rPr>
        <w:t>Deliver</w:t>
      </w:r>
      <w:r w:rsidRPr="008E11F9">
        <w:rPr>
          <w:rFonts w:ascii="Verdana" w:eastAsia="Calibri" w:hAnsi="Verdana" w:cs="Times New Roman"/>
          <w:kern w:val="0"/>
          <w:sz w:val="20"/>
          <w14:ligatures w14:val="none"/>
        </w:rPr>
        <w:t xml:space="preserve"> </w:t>
      </w:r>
      <w:r w:rsidRPr="00317A3B">
        <w:rPr>
          <w:rFonts w:ascii="Verdana" w:eastAsia="Calibri" w:hAnsi="Verdana" w:cs="Times New Roman"/>
          <w:kern w:val="0"/>
          <w:sz w:val="20"/>
          <w14:ligatures w14:val="none"/>
        </w:rPr>
        <w:t xml:space="preserve">on commitments made </w:t>
      </w:r>
      <w:r w:rsidR="007B5483" w:rsidRPr="007B5483">
        <w:rPr>
          <w:rFonts w:ascii="Verdana" w:eastAsia="Calibri" w:hAnsi="Verdana" w:cs="Times New Roman"/>
          <w:kern w:val="0"/>
          <w:sz w:val="20"/>
          <w14:ligatures w14:val="none"/>
        </w:rPr>
        <w:t>by the N</w:t>
      </w:r>
      <w:r w:rsidR="00554FA5">
        <w:rPr>
          <w:rFonts w:ascii="Verdana" w:eastAsia="Calibri" w:hAnsi="Verdana" w:cs="Times New Roman"/>
          <w:kern w:val="0"/>
          <w:sz w:val="20"/>
          <w14:ligatures w14:val="none"/>
        </w:rPr>
        <w:t xml:space="preserve">ew </w:t>
      </w:r>
      <w:r w:rsidR="007B5483" w:rsidRPr="007B5483">
        <w:rPr>
          <w:rFonts w:ascii="Verdana" w:eastAsia="Calibri" w:hAnsi="Verdana" w:cs="Times New Roman"/>
          <w:kern w:val="0"/>
          <w:sz w:val="20"/>
          <w14:ligatures w14:val="none"/>
        </w:rPr>
        <w:t>S</w:t>
      </w:r>
      <w:r w:rsidR="00554FA5">
        <w:rPr>
          <w:rFonts w:ascii="Verdana" w:eastAsia="Calibri" w:hAnsi="Verdana" w:cs="Times New Roman"/>
          <w:kern w:val="0"/>
          <w:sz w:val="20"/>
          <w14:ligatures w14:val="none"/>
        </w:rPr>
        <w:t xml:space="preserve">outh </w:t>
      </w:r>
      <w:r w:rsidR="007B5483" w:rsidRPr="007B5483">
        <w:rPr>
          <w:rFonts w:ascii="Verdana" w:eastAsia="Calibri" w:hAnsi="Verdana" w:cs="Times New Roman"/>
          <w:kern w:val="0"/>
          <w:sz w:val="20"/>
          <w14:ligatures w14:val="none"/>
        </w:rPr>
        <w:t>W</w:t>
      </w:r>
      <w:r w:rsidR="00554FA5">
        <w:rPr>
          <w:rFonts w:ascii="Verdana" w:eastAsia="Calibri" w:hAnsi="Verdana" w:cs="Times New Roman"/>
          <w:kern w:val="0"/>
          <w:sz w:val="20"/>
          <w14:ligatures w14:val="none"/>
        </w:rPr>
        <w:t>ales</w:t>
      </w:r>
      <w:r w:rsidR="007B5483" w:rsidRPr="007B5483">
        <w:rPr>
          <w:rFonts w:ascii="Verdana" w:eastAsia="Calibri" w:hAnsi="Verdana" w:cs="Times New Roman"/>
          <w:kern w:val="0"/>
          <w:sz w:val="20"/>
          <w14:ligatures w14:val="none"/>
        </w:rPr>
        <w:t xml:space="preserve"> government </w:t>
      </w:r>
      <w:r w:rsidRPr="00317A3B">
        <w:rPr>
          <w:rFonts w:ascii="Verdana" w:eastAsia="Calibri" w:hAnsi="Verdana" w:cs="Times New Roman"/>
          <w:kern w:val="0"/>
          <w:sz w:val="20"/>
          <w14:ligatures w14:val="none"/>
        </w:rPr>
        <w:t>to</w:t>
      </w:r>
      <w:r w:rsidR="007F6CC2">
        <w:rPr>
          <w:rFonts w:ascii="Verdana" w:eastAsia="Calibri" w:hAnsi="Verdana" w:cs="Times New Roman"/>
          <w:kern w:val="0"/>
          <w:sz w:val="20"/>
          <w14:ligatures w14:val="none"/>
        </w:rPr>
        <w:t xml:space="preserve"> the M</w:t>
      </w:r>
      <w:r w:rsidR="007C4C63">
        <w:rPr>
          <w:rFonts w:ascii="Verdana" w:eastAsia="Calibri" w:hAnsi="Verdana" w:cs="Times New Roman"/>
          <w:kern w:val="0"/>
          <w:sz w:val="20"/>
          <w14:ligatures w14:val="none"/>
        </w:rPr>
        <w:t>DBA</w:t>
      </w:r>
      <w:r w:rsidR="007F6CC2">
        <w:rPr>
          <w:rFonts w:ascii="Verdana" w:eastAsia="Calibri" w:hAnsi="Verdana" w:cs="Times New Roman"/>
          <w:kern w:val="0"/>
          <w:sz w:val="20"/>
          <w14:ligatures w14:val="none"/>
        </w:rPr>
        <w:t xml:space="preserve"> to</w:t>
      </w:r>
      <w:r w:rsidRPr="00317A3B">
        <w:rPr>
          <w:rFonts w:ascii="Verdana" w:eastAsia="Calibri" w:hAnsi="Verdana" w:cs="Times New Roman"/>
          <w:kern w:val="0"/>
          <w:sz w:val="20"/>
          <w14:ligatures w14:val="none"/>
        </w:rPr>
        <w:t xml:space="preserve"> </w:t>
      </w:r>
      <w:r w:rsidR="00BC6829">
        <w:rPr>
          <w:rFonts w:ascii="Verdana" w:eastAsia="Calibri" w:hAnsi="Verdana" w:cs="Times New Roman"/>
          <w:kern w:val="0"/>
          <w:sz w:val="20"/>
          <w14:ligatures w14:val="none"/>
        </w:rPr>
        <w:t xml:space="preserve">implement the </w:t>
      </w:r>
      <w:r w:rsidR="001D655C">
        <w:rPr>
          <w:rFonts w:ascii="Verdana" w:eastAsia="Calibri" w:hAnsi="Verdana" w:cs="Times New Roman"/>
          <w:kern w:val="0"/>
          <w:sz w:val="20"/>
          <w14:ligatures w14:val="none"/>
        </w:rPr>
        <w:t xml:space="preserve">Basin Plan and </w:t>
      </w:r>
      <w:r w:rsidR="005D07B7">
        <w:rPr>
          <w:rFonts w:ascii="Verdana" w:eastAsia="Calibri" w:hAnsi="Verdana" w:cs="Times New Roman"/>
          <w:kern w:val="0"/>
          <w:sz w:val="20"/>
          <w14:ligatures w14:val="none"/>
        </w:rPr>
        <w:t xml:space="preserve">Murray-Darling Basin </w:t>
      </w:r>
      <w:r w:rsidR="001D655C">
        <w:rPr>
          <w:rFonts w:ascii="Verdana" w:eastAsia="Calibri" w:hAnsi="Verdana" w:cs="Times New Roman"/>
          <w:kern w:val="0"/>
          <w:sz w:val="20"/>
          <w14:ligatures w14:val="none"/>
        </w:rPr>
        <w:t>water reform</w:t>
      </w:r>
      <w:r w:rsidR="00BC6829">
        <w:rPr>
          <w:rFonts w:ascii="Verdana" w:eastAsia="Calibri" w:hAnsi="Verdana" w:cs="Times New Roman"/>
          <w:kern w:val="0"/>
          <w:sz w:val="20"/>
          <w14:ligatures w14:val="none"/>
        </w:rPr>
        <w:t>s</w:t>
      </w:r>
      <w:r w:rsidR="00FF4AD3">
        <w:rPr>
          <w:rFonts w:ascii="Verdana" w:eastAsia="Calibri" w:hAnsi="Verdana" w:cs="Times New Roman"/>
          <w:kern w:val="0"/>
          <w:sz w:val="20"/>
          <w14:ligatures w14:val="none"/>
        </w:rPr>
        <w:t>, including</w:t>
      </w:r>
      <w:r w:rsidR="000B72D4">
        <w:rPr>
          <w:rFonts w:ascii="Verdana" w:eastAsia="Calibri" w:hAnsi="Verdana" w:cs="Times New Roman"/>
          <w:kern w:val="0"/>
          <w:sz w:val="20"/>
          <w14:ligatures w14:val="none"/>
        </w:rPr>
        <w:t xml:space="preserve"> the</w:t>
      </w:r>
      <w:r w:rsidR="00B34E66" w:rsidRPr="00B34E66">
        <w:rPr>
          <w:rFonts w:ascii="Verdana" w:eastAsia="Calibri" w:hAnsi="Verdana" w:cs="Times New Roman"/>
          <w:kern w:val="0"/>
          <w:sz w:val="20"/>
          <w14:ligatures w14:val="none"/>
        </w:rPr>
        <w:t xml:space="preserve"> review and amendment of water sharing plans</w:t>
      </w:r>
      <w:r w:rsidR="0065148E">
        <w:rPr>
          <w:rFonts w:ascii="Verdana" w:eastAsia="Calibri" w:hAnsi="Verdana" w:cs="Times New Roman"/>
          <w:kern w:val="0"/>
          <w:sz w:val="20"/>
          <w14:ligatures w14:val="none"/>
        </w:rPr>
        <w:t xml:space="preserve"> to </w:t>
      </w:r>
      <w:r w:rsidR="00F969BE">
        <w:rPr>
          <w:rFonts w:ascii="Verdana" w:eastAsia="Calibri" w:hAnsi="Verdana" w:cs="Times New Roman"/>
          <w:kern w:val="0"/>
          <w:sz w:val="20"/>
          <w14:ligatures w14:val="none"/>
        </w:rPr>
        <w:t>support</w:t>
      </w:r>
      <w:r w:rsidR="0065148E">
        <w:rPr>
          <w:rFonts w:ascii="Verdana" w:eastAsia="Calibri" w:hAnsi="Verdana" w:cs="Times New Roman"/>
          <w:kern w:val="0"/>
          <w:sz w:val="20"/>
          <w14:ligatures w14:val="none"/>
        </w:rPr>
        <w:t xml:space="preserve"> </w:t>
      </w:r>
      <w:r w:rsidR="004E72A1">
        <w:rPr>
          <w:rFonts w:ascii="Verdana" w:eastAsia="Calibri" w:hAnsi="Verdana" w:cs="Times New Roman"/>
          <w:kern w:val="0"/>
          <w:sz w:val="20"/>
          <w14:ligatures w14:val="none"/>
        </w:rPr>
        <w:t>the submission of water resour</w:t>
      </w:r>
      <w:r w:rsidR="00F969BE">
        <w:rPr>
          <w:rFonts w:ascii="Verdana" w:eastAsia="Calibri" w:hAnsi="Verdana" w:cs="Times New Roman"/>
          <w:kern w:val="0"/>
          <w:sz w:val="20"/>
          <w14:ligatures w14:val="none"/>
        </w:rPr>
        <w:t>ce plans</w:t>
      </w:r>
      <w:r w:rsidR="006A2F9F">
        <w:rPr>
          <w:rFonts w:ascii="Verdana" w:eastAsia="Calibri" w:hAnsi="Verdana" w:cs="Times New Roman"/>
          <w:kern w:val="0"/>
          <w:sz w:val="20"/>
          <w14:ligatures w14:val="none"/>
        </w:rPr>
        <w:t>,</w:t>
      </w:r>
      <w:r w:rsidR="00002ABE">
        <w:rPr>
          <w:rFonts w:ascii="Verdana" w:eastAsia="Calibri" w:hAnsi="Verdana" w:cs="Times New Roman"/>
          <w:kern w:val="0"/>
          <w:sz w:val="20"/>
          <w14:ligatures w14:val="none"/>
        </w:rPr>
        <w:t xml:space="preserve"> which are</w:t>
      </w:r>
      <w:r w:rsidR="00F969BE">
        <w:rPr>
          <w:rFonts w:ascii="Verdana" w:eastAsia="Calibri" w:hAnsi="Verdana" w:cs="Times New Roman"/>
          <w:kern w:val="0"/>
          <w:sz w:val="20"/>
          <w14:ligatures w14:val="none"/>
        </w:rPr>
        <w:t xml:space="preserve"> fit for accreditation</w:t>
      </w:r>
      <w:r w:rsidR="00B34E66" w:rsidRPr="00B34E66">
        <w:rPr>
          <w:rFonts w:ascii="Verdana" w:eastAsia="Calibri" w:hAnsi="Verdana" w:cs="Times New Roman"/>
          <w:kern w:val="0"/>
          <w:sz w:val="20"/>
          <w14:ligatures w14:val="none"/>
        </w:rPr>
        <w:t>, updat</w:t>
      </w:r>
      <w:r w:rsidR="002B38B5">
        <w:rPr>
          <w:rFonts w:ascii="Verdana" w:eastAsia="Calibri" w:hAnsi="Verdana" w:cs="Times New Roman"/>
          <w:kern w:val="0"/>
          <w:sz w:val="20"/>
          <w14:ligatures w14:val="none"/>
        </w:rPr>
        <w:t>e</w:t>
      </w:r>
      <w:r w:rsidR="00B34E66" w:rsidRPr="00B34E66">
        <w:rPr>
          <w:rFonts w:ascii="Verdana" w:eastAsia="Calibri" w:hAnsi="Verdana" w:cs="Times New Roman"/>
          <w:kern w:val="0"/>
          <w:sz w:val="20"/>
          <w14:ligatures w14:val="none"/>
        </w:rPr>
        <w:t xml:space="preserve"> models to ensure well informed baseline diversion limits</w:t>
      </w:r>
      <w:r w:rsidR="002B38B5">
        <w:rPr>
          <w:rFonts w:ascii="Verdana" w:eastAsia="Calibri" w:hAnsi="Verdana" w:cs="Times New Roman"/>
          <w:kern w:val="0"/>
          <w:sz w:val="20"/>
          <w14:ligatures w14:val="none"/>
        </w:rPr>
        <w:t xml:space="preserve"> and LTAAEL compliance</w:t>
      </w:r>
      <w:r w:rsidR="00B34E66" w:rsidRPr="00B34E66">
        <w:rPr>
          <w:rFonts w:ascii="Verdana" w:eastAsia="Calibri" w:hAnsi="Verdana" w:cs="Times New Roman"/>
          <w:kern w:val="0"/>
          <w:sz w:val="20"/>
          <w14:ligatures w14:val="none"/>
        </w:rPr>
        <w:t>, and implement existing and new licensing reforms</w:t>
      </w:r>
      <w:r w:rsidR="00306EF1">
        <w:rPr>
          <w:rFonts w:ascii="Verdana" w:eastAsia="Calibri" w:hAnsi="Verdana" w:cs="Times New Roman"/>
          <w:kern w:val="0"/>
          <w:sz w:val="20"/>
          <w14:ligatures w14:val="none"/>
        </w:rPr>
        <w:t>.</w:t>
      </w:r>
      <w:r w:rsidR="00057886">
        <w:rPr>
          <w:rFonts w:ascii="Verdana" w:eastAsia="Calibri" w:hAnsi="Verdana" w:cs="Times New Roman"/>
          <w:kern w:val="0"/>
          <w:sz w:val="20"/>
          <w14:ligatures w14:val="none"/>
        </w:rPr>
        <w:t xml:space="preserve"> </w:t>
      </w:r>
    </w:p>
    <w:p w14:paraId="5E962BF8" w14:textId="77777777" w:rsidR="00736851" w:rsidRDefault="00736851" w:rsidP="00C567E5"/>
    <w:p w14:paraId="471AEF99" w14:textId="77777777" w:rsidR="00736851" w:rsidRDefault="00736851" w:rsidP="00C567E5"/>
    <w:p w14:paraId="71AA1B8B" w14:textId="77777777" w:rsidR="00736851" w:rsidRDefault="00736851" w:rsidP="00C567E5"/>
    <w:p w14:paraId="181A66E9" w14:textId="77777777" w:rsidR="00736851" w:rsidRDefault="00736851" w:rsidP="00C567E5"/>
    <w:p w14:paraId="0C01C510" w14:textId="0337A66D" w:rsidR="00736851" w:rsidRDefault="009B540C" w:rsidP="009B540C">
      <w:pPr>
        <w:spacing w:after="0"/>
      </w:pPr>
      <w:r>
        <w:br w:type="page"/>
      </w:r>
    </w:p>
    <w:p w14:paraId="3335C0DF" w14:textId="215F357B" w:rsidR="00736851" w:rsidRDefault="00736851" w:rsidP="00736851">
      <w:pPr>
        <w:pStyle w:val="Heading1"/>
      </w:pPr>
      <w:r>
        <w:lastRenderedPageBreak/>
        <w:t>Appendix 2</w:t>
      </w:r>
    </w:p>
    <w:p w14:paraId="76FA314D" w14:textId="0D5BCA93" w:rsidR="001C6EE7" w:rsidRPr="00024765" w:rsidRDefault="00AD6FA7" w:rsidP="00EC2A15">
      <w:pPr>
        <w:pStyle w:val="Caption"/>
        <w:keepNext/>
        <w:rPr>
          <w:i w:val="0"/>
          <w:iCs w:val="0"/>
          <w:color w:val="4C6968" w:themeColor="text1"/>
          <w:sz w:val="20"/>
          <w:szCs w:val="22"/>
        </w:rPr>
      </w:pPr>
      <w:bookmarkStart w:id="14" w:name="_Ref139979756"/>
      <w:bookmarkStart w:id="15" w:name="_Toc140834641"/>
      <w:r w:rsidRPr="00024765">
        <w:rPr>
          <w:i w:val="0"/>
          <w:iCs w:val="0"/>
          <w:color w:val="4C6968" w:themeColor="text1"/>
          <w:sz w:val="20"/>
          <w:szCs w:val="22"/>
        </w:rPr>
        <w:t xml:space="preserve">Table </w:t>
      </w:r>
      <w:r w:rsidR="00170B93" w:rsidRPr="00024765">
        <w:rPr>
          <w:i w:val="0"/>
          <w:iCs w:val="0"/>
          <w:color w:val="4C6968" w:themeColor="text1"/>
          <w:sz w:val="20"/>
          <w:szCs w:val="22"/>
        </w:rPr>
        <w:fldChar w:fldCharType="begin"/>
      </w:r>
      <w:r w:rsidR="00170B93" w:rsidRPr="00024765">
        <w:rPr>
          <w:i w:val="0"/>
          <w:iCs w:val="0"/>
          <w:color w:val="4C6968" w:themeColor="text1"/>
          <w:sz w:val="20"/>
          <w:szCs w:val="22"/>
        </w:rPr>
        <w:instrText xml:space="preserve"> SEQ Table \* ARABIC </w:instrText>
      </w:r>
      <w:r w:rsidR="00170B93" w:rsidRPr="00024765">
        <w:rPr>
          <w:i w:val="0"/>
          <w:iCs w:val="0"/>
          <w:color w:val="4C6968" w:themeColor="text1"/>
          <w:sz w:val="20"/>
          <w:szCs w:val="22"/>
        </w:rPr>
        <w:fldChar w:fldCharType="separate"/>
      </w:r>
      <w:r w:rsidR="0010165E">
        <w:rPr>
          <w:i w:val="0"/>
          <w:iCs w:val="0"/>
          <w:noProof/>
          <w:color w:val="4C6968" w:themeColor="text1"/>
          <w:sz w:val="20"/>
          <w:szCs w:val="22"/>
        </w:rPr>
        <w:t>5</w:t>
      </w:r>
      <w:r w:rsidR="00170B93" w:rsidRPr="00024765">
        <w:rPr>
          <w:i w:val="0"/>
          <w:iCs w:val="0"/>
          <w:color w:val="4C6968" w:themeColor="text1"/>
          <w:sz w:val="20"/>
          <w:szCs w:val="22"/>
        </w:rPr>
        <w:fldChar w:fldCharType="end"/>
      </w:r>
      <w:r w:rsidRPr="00024765">
        <w:rPr>
          <w:i w:val="0"/>
          <w:iCs w:val="0"/>
          <w:color w:val="4C6968" w:themeColor="text1"/>
          <w:sz w:val="20"/>
          <w:szCs w:val="22"/>
        </w:rPr>
        <w:t xml:space="preserve">. New South Wales accredited </w:t>
      </w:r>
      <w:r w:rsidR="00C5281A" w:rsidRPr="00024765">
        <w:rPr>
          <w:i w:val="0"/>
          <w:iCs w:val="0"/>
          <w:color w:val="4C6968" w:themeColor="text1"/>
          <w:sz w:val="20"/>
          <w:szCs w:val="22"/>
        </w:rPr>
        <w:t>w</w:t>
      </w:r>
      <w:r w:rsidRPr="00024765">
        <w:rPr>
          <w:i w:val="0"/>
          <w:iCs w:val="0"/>
          <w:color w:val="4C6968" w:themeColor="text1"/>
          <w:sz w:val="20"/>
          <w:szCs w:val="22"/>
        </w:rPr>
        <w:t xml:space="preserve">ater </w:t>
      </w:r>
      <w:r w:rsidR="00C5281A" w:rsidRPr="00024765">
        <w:rPr>
          <w:i w:val="0"/>
          <w:iCs w:val="0"/>
          <w:color w:val="4C6968" w:themeColor="text1"/>
          <w:sz w:val="20"/>
          <w:szCs w:val="22"/>
        </w:rPr>
        <w:t>r</w:t>
      </w:r>
      <w:r w:rsidRPr="00024765">
        <w:rPr>
          <w:i w:val="0"/>
          <w:iCs w:val="0"/>
          <w:color w:val="4C6968" w:themeColor="text1"/>
          <w:sz w:val="20"/>
          <w:szCs w:val="22"/>
        </w:rPr>
        <w:t xml:space="preserve">esource </w:t>
      </w:r>
      <w:r w:rsidR="00C5281A" w:rsidRPr="00024765">
        <w:rPr>
          <w:i w:val="0"/>
          <w:iCs w:val="0"/>
          <w:color w:val="4C6968" w:themeColor="text1"/>
          <w:sz w:val="20"/>
          <w:szCs w:val="22"/>
        </w:rPr>
        <w:t>p</w:t>
      </w:r>
      <w:r w:rsidRPr="00024765">
        <w:rPr>
          <w:i w:val="0"/>
          <w:iCs w:val="0"/>
          <w:color w:val="4C6968" w:themeColor="text1"/>
          <w:sz w:val="20"/>
          <w:szCs w:val="22"/>
        </w:rPr>
        <w:t>lans</w:t>
      </w:r>
      <w:bookmarkEnd w:id="14"/>
      <w:r>
        <w:rPr>
          <w:rStyle w:val="FootnoteReference"/>
          <w:i w:val="0"/>
          <w:iCs w:val="0"/>
          <w:color w:val="4C6968" w:themeColor="text1"/>
          <w:sz w:val="20"/>
          <w:szCs w:val="22"/>
        </w:rPr>
        <w:footnoteReference w:id="8"/>
      </w:r>
      <w:bookmarkEnd w:id="15"/>
    </w:p>
    <w:tbl>
      <w:tblPr>
        <w:tblStyle w:val="TableGridLight"/>
        <w:tblW w:w="5000" w:type="pct"/>
        <w:tblLook w:val="04A0" w:firstRow="1" w:lastRow="0" w:firstColumn="1" w:lastColumn="0" w:noHBand="0" w:noVBand="1"/>
      </w:tblPr>
      <w:tblGrid>
        <w:gridCol w:w="2269"/>
        <w:gridCol w:w="1700"/>
        <w:gridCol w:w="4254"/>
        <w:gridCol w:w="1415"/>
      </w:tblGrid>
      <w:tr w:rsidR="00AA51F8" w14:paraId="63E1D8C9" w14:textId="77777777" w:rsidTr="000E1E03">
        <w:trPr>
          <w:cnfStyle w:val="100000000000" w:firstRow="1" w:lastRow="0" w:firstColumn="0" w:lastColumn="0" w:oddVBand="0" w:evenVBand="0" w:oddHBand="0" w:evenHBand="0" w:firstRowFirstColumn="0" w:firstRowLastColumn="0" w:lastRowFirstColumn="0" w:lastRowLastColumn="0"/>
        </w:trPr>
        <w:tc>
          <w:tcPr>
            <w:tcW w:w="1177" w:type="pct"/>
          </w:tcPr>
          <w:p w14:paraId="77424317" w14:textId="77777777" w:rsidR="001C6EE7" w:rsidRPr="001959C2" w:rsidRDefault="00AD6FA7" w:rsidP="00453826">
            <w:pPr>
              <w:spacing w:after="60"/>
              <w:rPr>
                <w:color w:val="D8E3E2" w:themeColor="text1" w:themeTint="33"/>
              </w:rPr>
            </w:pPr>
            <w:r w:rsidRPr="001959C2">
              <w:rPr>
                <w:color w:val="D8E3E2" w:themeColor="text1" w:themeTint="33"/>
              </w:rPr>
              <w:t>Water Resource Plan</w:t>
            </w:r>
          </w:p>
        </w:tc>
        <w:tc>
          <w:tcPr>
            <w:tcW w:w="882" w:type="pct"/>
          </w:tcPr>
          <w:p w14:paraId="4414CDC1" w14:textId="77777777" w:rsidR="001C6EE7" w:rsidRPr="001959C2" w:rsidRDefault="00AD6FA7" w:rsidP="00453826">
            <w:pPr>
              <w:spacing w:after="60"/>
              <w:rPr>
                <w:color w:val="D8E3E2" w:themeColor="text1" w:themeTint="33"/>
              </w:rPr>
            </w:pPr>
            <w:r w:rsidRPr="001959C2">
              <w:rPr>
                <w:color w:val="D8E3E2" w:themeColor="text1" w:themeTint="33"/>
              </w:rPr>
              <w:t>Date accredited</w:t>
            </w:r>
          </w:p>
        </w:tc>
        <w:tc>
          <w:tcPr>
            <w:tcW w:w="2207" w:type="pct"/>
          </w:tcPr>
          <w:p w14:paraId="6D263D74" w14:textId="77777777" w:rsidR="001C6EE7" w:rsidRPr="001959C2" w:rsidRDefault="00AD6FA7" w:rsidP="00453826">
            <w:pPr>
              <w:spacing w:after="60"/>
              <w:rPr>
                <w:color w:val="D8E3E2" w:themeColor="text1" w:themeTint="33"/>
              </w:rPr>
            </w:pPr>
            <w:r w:rsidRPr="001959C2">
              <w:rPr>
                <w:color w:val="D8E3E2" w:themeColor="text1" w:themeTint="33"/>
              </w:rPr>
              <w:t>SDL resource units</w:t>
            </w:r>
          </w:p>
        </w:tc>
        <w:tc>
          <w:tcPr>
            <w:tcW w:w="734" w:type="pct"/>
          </w:tcPr>
          <w:p w14:paraId="6F106AE5" w14:textId="77777777" w:rsidR="001C6EE7" w:rsidRPr="001959C2" w:rsidRDefault="00AD6FA7" w:rsidP="00453826">
            <w:pPr>
              <w:spacing w:after="60"/>
              <w:rPr>
                <w:color w:val="D8E3E2" w:themeColor="text1" w:themeTint="33"/>
              </w:rPr>
            </w:pPr>
            <w:r w:rsidRPr="001959C2">
              <w:rPr>
                <w:color w:val="D8E3E2" w:themeColor="text1" w:themeTint="33"/>
              </w:rPr>
              <w:t>SDL Compliance</w:t>
            </w:r>
          </w:p>
        </w:tc>
      </w:tr>
      <w:tr w:rsidR="00AA51F8" w14:paraId="1E580B37" w14:textId="77777777" w:rsidTr="000E1E03">
        <w:tc>
          <w:tcPr>
            <w:tcW w:w="1177" w:type="pct"/>
          </w:tcPr>
          <w:p w14:paraId="6A469220" w14:textId="77777777" w:rsidR="001C6EE7" w:rsidRDefault="00AD6FA7" w:rsidP="00453826">
            <w:pPr>
              <w:spacing w:after="60"/>
            </w:pPr>
            <w:r>
              <w:t>NSW Border Rivers Alluvium (GW18)</w:t>
            </w:r>
          </w:p>
        </w:tc>
        <w:tc>
          <w:tcPr>
            <w:tcW w:w="882" w:type="pct"/>
          </w:tcPr>
          <w:p w14:paraId="3060C02D" w14:textId="77777777" w:rsidR="001C6EE7" w:rsidRDefault="00AD6FA7" w:rsidP="00453826">
            <w:pPr>
              <w:spacing w:after="60"/>
            </w:pPr>
            <w:r>
              <w:t>19 September 2022</w:t>
            </w:r>
          </w:p>
        </w:tc>
        <w:tc>
          <w:tcPr>
            <w:tcW w:w="2207" w:type="pct"/>
            <w:vAlign w:val="center"/>
          </w:tcPr>
          <w:p w14:paraId="0AB93D11"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NSW Border Rivers Alluvium (GS32)</w:t>
            </w:r>
          </w:p>
          <w:p w14:paraId="7F6869EC" w14:textId="77777777" w:rsidR="001C6EE7" w:rsidRDefault="00AD6FA7" w:rsidP="00453826">
            <w:pPr>
              <w:spacing w:after="60"/>
            </w:pPr>
            <w:r w:rsidRPr="00D46F68">
              <w:rPr>
                <w:rFonts w:eastAsia="Times New Roman"/>
                <w:szCs w:val="20"/>
                <w:lang w:eastAsia="en-AU"/>
              </w:rPr>
              <w:t>NSW Border Rivers Tributary Alluvium (GS33)</w:t>
            </w:r>
          </w:p>
        </w:tc>
        <w:tc>
          <w:tcPr>
            <w:tcW w:w="734" w:type="pct"/>
          </w:tcPr>
          <w:p w14:paraId="63B47E24" w14:textId="77777777" w:rsidR="001C6EE7" w:rsidRPr="00DE4AB0" w:rsidRDefault="00AD6FA7" w:rsidP="00453826">
            <w:pPr>
              <w:spacing w:after="60"/>
              <w:rPr>
                <w:highlight w:val="yellow"/>
              </w:rPr>
            </w:pPr>
            <w:r w:rsidRPr="00F402B4">
              <w:t>2023-2024</w:t>
            </w:r>
          </w:p>
        </w:tc>
      </w:tr>
      <w:tr w:rsidR="00AA51F8" w14:paraId="11C03F81" w14:textId="77777777" w:rsidTr="000E1E03">
        <w:tc>
          <w:tcPr>
            <w:tcW w:w="1177" w:type="pct"/>
          </w:tcPr>
          <w:p w14:paraId="32B2F22E" w14:textId="77777777" w:rsidR="001C6EE7" w:rsidRDefault="00AD6FA7" w:rsidP="00453826">
            <w:pPr>
              <w:spacing w:after="60"/>
            </w:pPr>
            <w:r>
              <w:t>NSW MDB Fractured Rock (GW11)</w:t>
            </w:r>
          </w:p>
        </w:tc>
        <w:tc>
          <w:tcPr>
            <w:tcW w:w="882" w:type="pct"/>
          </w:tcPr>
          <w:p w14:paraId="1601A734" w14:textId="77777777" w:rsidR="001C6EE7" w:rsidRDefault="00AD6FA7" w:rsidP="00453826">
            <w:pPr>
              <w:spacing w:after="60"/>
            </w:pPr>
            <w:r>
              <w:t>15 November 2022</w:t>
            </w:r>
          </w:p>
        </w:tc>
        <w:tc>
          <w:tcPr>
            <w:tcW w:w="2207" w:type="pct"/>
            <w:vAlign w:val="center"/>
          </w:tcPr>
          <w:p w14:paraId="58783D39" w14:textId="77777777" w:rsidR="001C6EE7" w:rsidRDefault="00AD6FA7" w:rsidP="00453826">
            <w:pPr>
              <w:widowControl w:val="0"/>
              <w:spacing w:after="60"/>
              <w:rPr>
                <w:rFonts w:eastAsia="Times New Roman"/>
                <w:szCs w:val="20"/>
                <w:lang w:eastAsia="en-AU"/>
              </w:rPr>
            </w:pPr>
            <w:r w:rsidRPr="00D46F68">
              <w:rPr>
                <w:rFonts w:eastAsia="Times New Roman"/>
                <w:szCs w:val="20"/>
                <w:lang w:eastAsia="en-AU"/>
              </w:rPr>
              <w:t>Adelaide Fold Belt MDB (GS10)</w:t>
            </w:r>
          </w:p>
          <w:p w14:paraId="17D18A8D"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Kanmantoo Fold Belt MDB (GS19)</w:t>
            </w:r>
          </w:p>
          <w:p w14:paraId="5CBD0AB4"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Lachlan Fold Belt MDB (GS20)</w:t>
            </w:r>
          </w:p>
          <w:p w14:paraId="5B50802B" w14:textId="77777777" w:rsidR="001C6EE7" w:rsidRDefault="00AD6FA7" w:rsidP="00453826">
            <w:pPr>
              <w:spacing w:after="60"/>
              <w:rPr>
                <w:rFonts w:eastAsia="Times New Roman"/>
                <w:szCs w:val="20"/>
                <w:lang w:eastAsia="en-AU"/>
              </w:rPr>
            </w:pPr>
            <w:r w:rsidRPr="00D46F68">
              <w:rPr>
                <w:rFonts w:eastAsia="Times New Roman"/>
                <w:szCs w:val="20"/>
                <w:lang w:eastAsia="en-AU"/>
              </w:rPr>
              <w:t>Orange Basalt (GS39)</w:t>
            </w:r>
          </w:p>
          <w:p w14:paraId="3A51D739" w14:textId="77777777" w:rsidR="001C6EE7" w:rsidRDefault="00AD6FA7" w:rsidP="00453826">
            <w:pPr>
              <w:spacing w:after="60"/>
            </w:pPr>
            <w:r>
              <w:t>Young Granite (GS51)</w:t>
            </w:r>
          </w:p>
          <w:p w14:paraId="70BA8B3B" w14:textId="77777777" w:rsidR="001C6EE7" w:rsidRDefault="00AD6FA7" w:rsidP="00453826">
            <w:pPr>
              <w:spacing w:after="60"/>
            </w:pPr>
            <w:r>
              <w:t>Inverell Basalt (GS18)</w:t>
            </w:r>
          </w:p>
          <w:p w14:paraId="3F7C5B5B" w14:textId="77777777" w:rsidR="001C6EE7" w:rsidRDefault="00AD6FA7" w:rsidP="00453826">
            <w:pPr>
              <w:spacing w:after="60"/>
            </w:pPr>
            <w:r>
              <w:t>Liverpool Ranges Basalt MDB (GS22)</w:t>
            </w:r>
          </w:p>
          <w:p w14:paraId="20C994E4" w14:textId="77777777" w:rsidR="001C6EE7" w:rsidRDefault="00AD6FA7" w:rsidP="00453826">
            <w:pPr>
              <w:spacing w:after="60"/>
            </w:pPr>
            <w:r>
              <w:t>New England Fold Belt MDB (GS37)</w:t>
            </w:r>
          </w:p>
          <w:p w14:paraId="7061B8B4" w14:textId="77777777" w:rsidR="001C6EE7" w:rsidRDefault="00AD6FA7" w:rsidP="00453826">
            <w:pPr>
              <w:spacing w:after="60"/>
            </w:pPr>
            <w:r>
              <w:t>Warrumbungle Basalt (GS49)</w:t>
            </w:r>
          </w:p>
        </w:tc>
        <w:tc>
          <w:tcPr>
            <w:tcW w:w="734" w:type="pct"/>
          </w:tcPr>
          <w:p w14:paraId="6FF7D556" w14:textId="77777777" w:rsidR="001C6EE7" w:rsidRPr="00DE4AB0" w:rsidRDefault="00AD6FA7" w:rsidP="00453826">
            <w:pPr>
              <w:spacing w:after="60"/>
              <w:rPr>
                <w:highlight w:val="yellow"/>
              </w:rPr>
            </w:pPr>
            <w:r w:rsidRPr="00F402B4">
              <w:t>2023-2024</w:t>
            </w:r>
          </w:p>
        </w:tc>
      </w:tr>
      <w:tr w:rsidR="00AA51F8" w14:paraId="4FC66DBD" w14:textId="77777777" w:rsidTr="000E1E03">
        <w:tc>
          <w:tcPr>
            <w:tcW w:w="1177" w:type="pct"/>
          </w:tcPr>
          <w:p w14:paraId="1750E3B3" w14:textId="77777777" w:rsidR="001C6EE7" w:rsidRDefault="00AD6FA7" w:rsidP="00453826">
            <w:pPr>
              <w:spacing w:after="60"/>
            </w:pPr>
            <w:r>
              <w:t>Macquarie-Castlereagh Alluvium (GW12)</w:t>
            </w:r>
          </w:p>
        </w:tc>
        <w:tc>
          <w:tcPr>
            <w:tcW w:w="882" w:type="pct"/>
          </w:tcPr>
          <w:p w14:paraId="153C0779" w14:textId="77777777" w:rsidR="001C6EE7" w:rsidRDefault="00AD6FA7" w:rsidP="00453826">
            <w:pPr>
              <w:spacing w:after="60"/>
            </w:pPr>
            <w:r>
              <w:t>21 December 2022</w:t>
            </w:r>
          </w:p>
        </w:tc>
        <w:tc>
          <w:tcPr>
            <w:tcW w:w="2207" w:type="pct"/>
            <w:vAlign w:val="center"/>
          </w:tcPr>
          <w:p w14:paraId="3AF75E56"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Bell Valley Alluvium (GS11)</w:t>
            </w:r>
          </w:p>
          <w:p w14:paraId="3EEAD79E"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Castlereagh Alluvium (GS14)</w:t>
            </w:r>
          </w:p>
          <w:p w14:paraId="525EA216" w14:textId="77777777" w:rsidR="001C6EE7" w:rsidRPr="00D46F68" w:rsidRDefault="00AD6FA7" w:rsidP="00453826">
            <w:pPr>
              <w:widowControl w:val="0"/>
              <w:spacing w:after="60"/>
              <w:rPr>
                <w:rFonts w:eastAsia="Times New Roman"/>
                <w:szCs w:val="20"/>
                <w:lang w:eastAsia="en-AU"/>
              </w:rPr>
            </w:pPr>
            <w:proofErr w:type="spellStart"/>
            <w:r w:rsidRPr="00D46F68">
              <w:rPr>
                <w:rFonts w:eastAsia="Times New Roman"/>
                <w:szCs w:val="20"/>
                <w:lang w:eastAsia="en-AU"/>
              </w:rPr>
              <w:t>Coolaburragundy</w:t>
            </w:r>
            <w:proofErr w:type="spellEnd"/>
            <w:r w:rsidRPr="00D46F68">
              <w:rPr>
                <w:rFonts w:eastAsia="Times New Roman"/>
                <w:szCs w:val="20"/>
                <w:lang w:eastAsia="en-AU"/>
              </w:rPr>
              <w:t>–</w:t>
            </w:r>
            <w:proofErr w:type="spellStart"/>
            <w:r w:rsidRPr="00D46F68">
              <w:rPr>
                <w:rFonts w:eastAsia="Times New Roman"/>
                <w:szCs w:val="20"/>
                <w:lang w:eastAsia="en-AU"/>
              </w:rPr>
              <w:t>Talbragar</w:t>
            </w:r>
            <w:proofErr w:type="spellEnd"/>
            <w:r w:rsidRPr="00D46F68">
              <w:rPr>
                <w:rFonts w:eastAsia="Times New Roman"/>
                <w:szCs w:val="20"/>
                <w:lang w:eastAsia="en-AU"/>
              </w:rPr>
              <w:t xml:space="preserve"> Alluvium (GS15)</w:t>
            </w:r>
          </w:p>
          <w:p w14:paraId="137D1018"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Cudgegong Alluvium (GS16)</w:t>
            </w:r>
          </w:p>
          <w:p w14:paraId="3FDF23FD"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Lower Macquarie Alluvium (GS26)</w:t>
            </w:r>
          </w:p>
          <w:p w14:paraId="6E746E62" w14:textId="77777777" w:rsidR="001C6EE7" w:rsidRDefault="00AD6FA7" w:rsidP="00453826">
            <w:pPr>
              <w:spacing w:after="60"/>
            </w:pPr>
            <w:r w:rsidRPr="00D46F68">
              <w:rPr>
                <w:rFonts w:eastAsia="Times New Roman"/>
                <w:szCs w:val="20"/>
                <w:lang w:eastAsia="en-AU"/>
              </w:rPr>
              <w:t>Upper Macquarie Alluvium (GS45)</w:t>
            </w:r>
          </w:p>
        </w:tc>
        <w:tc>
          <w:tcPr>
            <w:tcW w:w="734" w:type="pct"/>
          </w:tcPr>
          <w:p w14:paraId="03BB9EC4" w14:textId="77777777" w:rsidR="001C6EE7" w:rsidRPr="00DE4AB0" w:rsidRDefault="00AD6FA7" w:rsidP="00453826">
            <w:pPr>
              <w:spacing w:after="60"/>
              <w:rPr>
                <w:highlight w:val="yellow"/>
              </w:rPr>
            </w:pPr>
            <w:r w:rsidRPr="00F402B4">
              <w:t>2023-2024</w:t>
            </w:r>
          </w:p>
        </w:tc>
      </w:tr>
      <w:tr w:rsidR="00AA51F8" w14:paraId="31326B5F" w14:textId="77777777" w:rsidTr="000E1E03">
        <w:tc>
          <w:tcPr>
            <w:tcW w:w="1177" w:type="pct"/>
          </w:tcPr>
          <w:p w14:paraId="0A6CCFC5" w14:textId="77777777" w:rsidR="001C6EE7" w:rsidRDefault="00AD6FA7" w:rsidP="00453826">
            <w:pPr>
              <w:spacing w:after="60"/>
            </w:pPr>
            <w:r>
              <w:t>NSW MDB Porous Rock (GW6)</w:t>
            </w:r>
          </w:p>
        </w:tc>
        <w:tc>
          <w:tcPr>
            <w:tcW w:w="882" w:type="pct"/>
          </w:tcPr>
          <w:p w14:paraId="0B6B5F75" w14:textId="77777777" w:rsidR="001C6EE7" w:rsidRDefault="00AD6FA7" w:rsidP="00453826">
            <w:pPr>
              <w:spacing w:after="60"/>
            </w:pPr>
            <w:r>
              <w:t>21 December 2022</w:t>
            </w:r>
          </w:p>
        </w:tc>
        <w:tc>
          <w:tcPr>
            <w:tcW w:w="2207" w:type="pct"/>
          </w:tcPr>
          <w:p w14:paraId="3139C965"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Western Porous Rock (GS50)</w:t>
            </w:r>
          </w:p>
          <w:p w14:paraId="10F002E2"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Gunnedah</w:t>
            </w:r>
            <w:r w:rsidRPr="00D46F68">
              <w:rPr>
                <w:rFonts w:eastAsia="Times New Roman"/>
                <w:szCs w:val="20"/>
                <w:lang w:eastAsia="en-AU"/>
              </w:rPr>
              <w:noBreakHyphen/>
              <w:t>Oxley Basin MDB (GS17)</w:t>
            </w:r>
          </w:p>
          <w:p w14:paraId="62AB4DC0" w14:textId="77777777" w:rsidR="001C6EE7" w:rsidRPr="00D46F68" w:rsidRDefault="00AD6FA7" w:rsidP="00453826">
            <w:pPr>
              <w:widowControl w:val="0"/>
              <w:spacing w:after="60"/>
              <w:rPr>
                <w:rFonts w:eastAsia="Times New Roman"/>
                <w:szCs w:val="20"/>
                <w:lang w:eastAsia="en-AU"/>
              </w:rPr>
            </w:pPr>
            <w:r w:rsidRPr="00D46F68">
              <w:rPr>
                <w:rFonts w:eastAsia="Times New Roman"/>
                <w:szCs w:val="20"/>
                <w:lang w:eastAsia="en-AU"/>
              </w:rPr>
              <w:t>Sydney Basin MDB (GS41)</w:t>
            </w:r>
          </w:p>
          <w:p w14:paraId="60D29AAF" w14:textId="77777777" w:rsidR="001C6EE7" w:rsidRDefault="00AD6FA7" w:rsidP="00453826">
            <w:pPr>
              <w:spacing w:after="60"/>
            </w:pPr>
            <w:r w:rsidRPr="00D46F68">
              <w:rPr>
                <w:rFonts w:eastAsia="Times New Roman"/>
                <w:szCs w:val="20"/>
                <w:lang w:eastAsia="en-AU"/>
              </w:rPr>
              <w:t>Oaklands Basin (GS38)</w:t>
            </w:r>
          </w:p>
        </w:tc>
        <w:tc>
          <w:tcPr>
            <w:tcW w:w="734" w:type="pct"/>
          </w:tcPr>
          <w:p w14:paraId="0A8526E9" w14:textId="77777777" w:rsidR="001C6EE7" w:rsidRPr="00DE4AB0" w:rsidRDefault="00AD6FA7" w:rsidP="00453826">
            <w:pPr>
              <w:spacing w:after="60"/>
              <w:rPr>
                <w:highlight w:val="yellow"/>
              </w:rPr>
            </w:pPr>
            <w:r w:rsidRPr="00F402B4">
              <w:t>2023-2024</w:t>
            </w:r>
          </w:p>
        </w:tc>
      </w:tr>
      <w:tr w:rsidR="00AA51F8" w14:paraId="063095EF" w14:textId="77777777" w:rsidTr="000E1E03">
        <w:tc>
          <w:tcPr>
            <w:tcW w:w="1177" w:type="pct"/>
          </w:tcPr>
          <w:p w14:paraId="764DF439" w14:textId="77777777" w:rsidR="001C6EE7" w:rsidRDefault="00AD6FA7" w:rsidP="00453826">
            <w:pPr>
              <w:spacing w:after="60"/>
            </w:pPr>
            <w:r>
              <w:t>Darling Alluvium (GW7)</w:t>
            </w:r>
          </w:p>
        </w:tc>
        <w:tc>
          <w:tcPr>
            <w:tcW w:w="882" w:type="pct"/>
          </w:tcPr>
          <w:p w14:paraId="279F314F" w14:textId="77777777" w:rsidR="001C6EE7" w:rsidRDefault="00AD6FA7" w:rsidP="00453826">
            <w:pPr>
              <w:spacing w:after="60"/>
            </w:pPr>
            <w:r>
              <w:t>22 June 2023</w:t>
            </w:r>
          </w:p>
        </w:tc>
        <w:tc>
          <w:tcPr>
            <w:tcW w:w="2207" w:type="pct"/>
            <w:vAlign w:val="center"/>
          </w:tcPr>
          <w:p w14:paraId="21336E41" w14:textId="77777777" w:rsidR="001C6EE7" w:rsidRDefault="00AD6FA7" w:rsidP="00453826">
            <w:pPr>
              <w:spacing w:after="60"/>
              <w:rPr>
                <w:rFonts w:eastAsia="Times New Roman"/>
                <w:szCs w:val="20"/>
                <w:lang w:eastAsia="en-AU"/>
              </w:rPr>
            </w:pPr>
            <w:r w:rsidRPr="00D46F68">
              <w:rPr>
                <w:rFonts w:eastAsia="Times New Roman"/>
                <w:szCs w:val="20"/>
                <w:lang w:eastAsia="en-AU"/>
              </w:rPr>
              <w:t>Upper Darling Alluvium (GS42)</w:t>
            </w:r>
            <w:r>
              <w:rPr>
                <w:rFonts w:eastAsia="Times New Roman"/>
                <w:szCs w:val="20"/>
                <w:lang w:eastAsia="en-AU"/>
              </w:rPr>
              <w:t xml:space="preserve"> </w:t>
            </w:r>
          </w:p>
          <w:p w14:paraId="4D198330" w14:textId="77777777" w:rsidR="001C6EE7" w:rsidRPr="00DE4AB0" w:rsidRDefault="00AD6FA7" w:rsidP="00453826">
            <w:pPr>
              <w:spacing w:after="60"/>
              <w:rPr>
                <w:highlight w:val="yellow"/>
              </w:rPr>
            </w:pPr>
            <w:r w:rsidRPr="00A44FE5">
              <w:t>Lower Darling Alluvium (GS23)</w:t>
            </w:r>
          </w:p>
        </w:tc>
        <w:tc>
          <w:tcPr>
            <w:tcW w:w="734" w:type="pct"/>
          </w:tcPr>
          <w:p w14:paraId="66CA9E87" w14:textId="77777777" w:rsidR="001C6EE7" w:rsidRDefault="00AD6FA7" w:rsidP="00453826">
            <w:pPr>
              <w:spacing w:after="60"/>
              <w:rPr>
                <w:highlight w:val="yellow"/>
              </w:rPr>
            </w:pPr>
            <w:r w:rsidRPr="00F402B4">
              <w:t>2023-2024</w:t>
            </w:r>
          </w:p>
        </w:tc>
      </w:tr>
      <w:tr w:rsidR="00D03714" w14:paraId="0CD2DBF3" w14:textId="77777777" w:rsidTr="000E1E03">
        <w:tc>
          <w:tcPr>
            <w:tcW w:w="1177" w:type="pct"/>
          </w:tcPr>
          <w:p w14:paraId="5D279D56" w14:textId="46F02DE0" w:rsidR="00D03714" w:rsidRDefault="00260D9B" w:rsidP="00453826">
            <w:pPr>
              <w:spacing w:after="60"/>
            </w:pPr>
            <w:r>
              <w:t>Lachlan Alluvium</w:t>
            </w:r>
            <w:r w:rsidR="00CC7756">
              <w:t xml:space="preserve"> (GW</w:t>
            </w:r>
            <w:r w:rsidR="0023340B">
              <w:t>10)</w:t>
            </w:r>
          </w:p>
        </w:tc>
        <w:tc>
          <w:tcPr>
            <w:tcW w:w="882" w:type="pct"/>
          </w:tcPr>
          <w:p w14:paraId="53CBC9C0" w14:textId="67D7E303" w:rsidR="00D03714" w:rsidRDefault="001E2BFA" w:rsidP="00453826">
            <w:pPr>
              <w:spacing w:after="60"/>
            </w:pPr>
            <w:r>
              <w:t>15 August 2023</w:t>
            </w:r>
          </w:p>
        </w:tc>
        <w:tc>
          <w:tcPr>
            <w:tcW w:w="2207" w:type="pct"/>
            <w:vAlign w:val="center"/>
          </w:tcPr>
          <w:p w14:paraId="2C65D2CB" w14:textId="77777777" w:rsidR="00D03714" w:rsidRDefault="0023340B" w:rsidP="00453826">
            <w:pPr>
              <w:spacing w:after="60"/>
              <w:rPr>
                <w:rFonts w:eastAsia="Times New Roman"/>
                <w:szCs w:val="20"/>
                <w:lang w:eastAsia="en-AU"/>
              </w:rPr>
            </w:pPr>
            <w:proofErr w:type="spellStart"/>
            <w:r>
              <w:rPr>
                <w:rFonts w:eastAsia="Times New Roman"/>
                <w:szCs w:val="20"/>
                <w:lang w:eastAsia="en-AU"/>
              </w:rPr>
              <w:t>Belubula</w:t>
            </w:r>
            <w:proofErr w:type="spellEnd"/>
            <w:r>
              <w:rPr>
                <w:rFonts w:eastAsia="Times New Roman"/>
                <w:szCs w:val="20"/>
                <w:lang w:eastAsia="en-AU"/>
              </w:rPr>
              <w:t xml:space="preserve"> Alluvium (GS12)</w:t>
            </w:r>
          </w:p>
          <w:p w14:paraId="3F1B5F2A" w14:textId="77777777" w:rsidR="0023340B" w:rsidRDefault="0023340B" w:rsidP="00453826">
            <w:pPr>
              <w:spacing w:after="60"/>
              <w:rPr>
                <w:rFonts w:eastAsia="Times New Roman"/>
                <w:szCs w:val="20"/>
                <w:lang w:eastAsia="en-AU"/>
              </w:rPr>
            </w:pPr>
            <w:r>
              <w:rPr>
                <w:rFonts w:eastAsia="Times New Roman"/>
                <w:szCs w:val="20"/>
                <w:lang w:eastAsia="en-AU"/>
              </w:rPr>
              <w:t>Lower Lachlan Alluvium (GS25)</w:t>
            </w:r>
          </w:p>
          <w:p w14:paraId="4C07BEF7" w14:textId="287720DA" w:rsidR="008972F4" w:rsidRPr="00D46F68" w:rsidRDefault="008972F4" w:rsidP="00453826">
            <w:pPr>
              <w:spacing w:after="60"/>
              <w:rPr>
                <w:rFonts w:eastAsia="Times New Roman"/>
                <w:szCs w:val="20"/>
                <w:lang w:eastAsia="en-AU"/>
              </w:rPr>
            </w:pPr>
            <w:r>
              <w:rPr>
                <w:rFonts w:eastAsia="Times New Roman"/>
                <w:szCs w:val="20"/>
                <w:lang w:eastAsia="en-AU"/>
              </w:rPr>
              <w:t>Upper Lachlan Alluvium (GS44)</w:t>
            </w:r>
          </w:p>
        </w:tc>
        <w:tc>
          <w:tcPr>
            <w:tcW w:w="734" w:type="pct"/>
          </w:tcPr>
          <w:p w14:paraId="6035D901" w14:textId="5511EB9E" w:rsidR="00D03714" w:rsidRPr="00F402B4" w:rsidRDefault="001E2BFA" w:rsidP="00453826">
            <w:pPr>
              <w:spacing w:after="60"/>
            </w:pPr>
            <w:r>
              <w:t>2024-2025</w:t>
            </w:r>
          </w:p>
        </w:tc>
      </w:tr>
      <w:tr w:rsidR="00903A4A" w14:paraId="0F81078F" w14:textId="77777777" w:rsidTr="000E1E03">
        <w:tc>
          <w:tcPr>
            <w:tcW w:w="1177" w:type="pct"/>
          </w:tcPr>
          <w:p w14:paraId="04631025" w14:textId="356CA05A" w:rsidR="00903A4A" w:rsidRDefault="00A55BE4" w:rsidP="00453826">
            <w:pPr>
              <w:spacing w:after="60"/>
            </w:pPr>
            <w:r>
              <w:t>Murray Alluvium</w:t>
            </w:r>
            <w:r w:rsidR="003E20AB">
              <w:t xml:space="preserve"> (GW8)</w:t>
            </w:r>
          </w:p>
        </w:tc>
        <w:tc>
          <w:tcPr>
            <w:tcW w:w="882" w:type="pct"/>
          </w:tcPr>
          <w:p w14:paraId="676F1E33" w14:textId="24067571" w:rsidR="00903A4A" w:rsidRDefault="00A55BE4" w:rsidP="00453826">
            <w:pPr>
              <w:spacing w:after="60"/>
            </w:pPr>
            <w:r>
              <w:t>15 August 2023</w:t>
            </w:r>
          </w:p>
        </w:tc>
        <w:tc>
          <w:tcPr>
            <w:tcW w:w="2207" w:type="pct"/>
            <w:vAlign w:val="center"/>
          </w:tcPr>
          <w:p w14:paraId="788B85F5" w14:textId="6B00D056" w:rsidR="00903A4A" w:rsidRDefault="009A32DB" w:rsidP="00453826">
            <w:pPr>
              <w:spacing w:after="60"/>
              <w:rPr>
                <w:rFonts w:eastAsia="Times New Roman"/>
                <w:szCs w:val="20"/>
                <w:lang w:eastAsia="en-AU"/>
              </w:rPr>
            </w:pPr>
            <w:r>
              <w:rPr>
                <w:rFonts w:eastAsia="Times New Roman"/>
                <w:szCs w:val="20"/>
                <w:lang w:eastAsia="en-AU"/>
              </w:rPr>
              <w:t>Billabong Creek Alluvium (GS13)</w:t>
            </w:r>
          </w:p>
          <w:p w14:paraId="5F0D11F5" w14:textId="77777777" w:rsidR="009A32DB" w:rsidRDefault="009A32DB" w:rsidP="00453826">
            <w:pPr>
              <w:spacing w:after="60"/>
              <w:rPr>
                <w:rFonts w:eastAsia="Times New Roman"/>
                <w:szCs w:val="20"/>
                <w:lang w:eastAsia="en-AU"/>
              </w:rPr>
            </w:pPr>
            <w:r>
              <w:rPr>
                <w:rFonts w:eastAsia="Times New Roman"/>
                <w:szCs w:val="20"/>
                <w:lang w:eastAsia="en-AU"/>
              </w:rPr>
              <w:t>Lower Murray Shallow Alluvium (GS27a)</w:t>
            </w:r>
          </w:p>
          <w:p w14:paraId="1244C135" w14:textId="77777777" w:rsidR="009A32DB" w:rsidRDefault="00F42CA3" w:rsidP="00453826">
            <w:pPr>
              <w:spacing w:after="60"/>
              <w:rPr>
                <w:rFonts w:eastAsia="Times New Roman"/>
                <w:szCs w:val="20"/>
                <w:lang w:eastAsia="en-AU"/>
              </w:rPr>
            </w:pPr>
            <w:r>
              <w:rPr>
                <w:rFonts w:eastAsia="Times New Roman"/>
                <w:szCs w:val="20"/>
                <w:lang w:eastAsia="en-AU"/>
              </w:rPr>
              <w:t>Lower Murray Deep Alluvium (GS27b)</w:t>
            </w:r>
          </w:p>
          <w:p w14:paraId="2CE684A9" w14:textId="673A4B73" w:rsidR="00F42CA3" w:rsidRPr="00D46F68" w:rsidRDefault="00F42CA3" w:rsidP="00453826">
            <w:pPr>
              <w:spacing w:after="60"/>
              <w:rPr>
                <w:rFonts w:eastAsia="Times New Roman"/>
                <w:szCs w:val="20"/>
                <w:lang w:eastAsia="en-AU"/>
              </w:rPr>
            </w:pPr>
            <w:r>
              <w:rPr>
                <w:rFonts w:eastAsia="Times New Roman"/>
                <w:szCs w:val="20"/>
                <w:lang w:eastAsia="en-AU"/>
              </w:rPr>
              <w:t>Upper Murray Alluvium (GS46)</w:t>
            </w:r>
          </w:p>
        </w:tc>
        <w:tc>
          <w:tcPr>
            <w:tcW w:w="734" w:type="pct"/>
          </w:tcPr>
          <w:p w14:paraId="227C2415" w14:textId="373AC713" w:rsidR="00903A4A" w:rsidRDefault="00453826" w:rsidP="00453826">
            <w:pPr>
              <w:spacing w:after="60"/>
            </w:pPr>
            <w:r>
              <w:t>2024-2025</w:t>
            </w:r>
          </w:p>
        </w:tc>
      </w:tr>
    </w:tbl>
    <w:p w14:paraId="10F4B317" w14:textId="2BC59C11" w:rsidR="00163FB4" w:rsidRDefault="00163FB4" w:rsidP="007935B6"/>
    <w:p w14:paraId="5700F371" w14:textId="77777777" w:rsidR="00163FB4" w:rsidRDefault="00163FB4">
      <w:pPr>
        <w:spacing w:after="0"/>
      </w:pPr>
      <w:r>
        <w:br w:type="page"/>
      </w:r>
    </w:p>
    <w:p w14:paraId="73F8034A" w14:textId="0E38DF15" w:rsidR="0071458D" w:rsidRDefault="0071458D" w:rsidP="00163FB4">
      <w:pPr>
        <w:pStyle w:val="Heading1"/>
      </w:pPr>
      <w:bookmarkStart w:id="16" w:name="_Toc138234578"/>
      <w:bookmarkStart w:id="17" w:name="_Toc140834588"/>
      <w:r>
        <w:lastRenderedPageBreak/>
        <w:t>Appendix 3</w:t>
      </w:r>
    </w:p>
    <w:p w14:paraId="32A700EA" w14:textId="77445279" w:rsidR="001E7DC5" w:rsidRPr="001E7DC5" w:rsidRDefault="00A0135C" w:rsidP="001E7DC5">
      <w:r>
        <w:fldChar w:fldCharType="begin"/>
      </w:r>
      <w:r>
        <w:instrText xml:space="preserve"> REF _Ref142044693 \h </w:instrText>
      </w:r>
      <w:r>
        <w:fldChar w:fldCharType="separate"/>
      </w:r>
      <w:r w:rsidR="0010165E" w:rsidRPr="00B037E8">
        <w:rPr>
          <w:color w:val="4C6968" w:themeColor="text1"/>
        </w:rPr>
        <w:t xml:space="preserve">Table </w:t>
      </w:r>
      <w:r w:rsidR="0010165E">
        <w:rPr>
          <w:noProof/>
          <w:color w:val="4C6968" w:themeColor="text1"/>
        </w:rPr>
        <w:t>6</w:t>
      </w:r>
      <w:r>
        <w:fldChar w:fldCharType="end"/>
      </w:r>
      <w:r w:rsidR="001E7DC5" w:rsidRPr="001E7DC5">
        <w:t xml:space="preserve"> and </w:t>
      </w:r>
      <w:r w:rsidR="006E01B0">
        <w:fldChar w:fldCharType="begin"/>
      </w:r>
      <w:r w:rsidR="006E01B0">
        <w:instrText xml:space="preserve"> REF _Ref142044766 \h </w:instrText>
      </w:r>
      <w:r w:rsidR="006E01B0">
        <w:fldChar w:fldCharType="separate"/>
      </w:r>
      <w:r w:rsidR="0010165E" w:rsidRPr="00B037E8">
        <w:rPr>
          <w:color w:val="4C6968" w:themeColor="text1"/>
        </w:rPr>
        <w:t xml:space="preserve">Table </w:t>
      </w:r>
      <w:r w:rsidR="0010165E">
        <w:rPr>
          <w:noProof/>
          <w:color w:val="4C6968" w:themeColor="text1"/>
        </w:rPr>
        <w:t>7</w:t>
      </w:r>
      <w:r w:rsidR="006E01B0">
        <w:fldChar w:fldCharType="end"/>
      </w:r>
      <w:r w:rsidR="001E7DC5" w:rsidRPr="001E7DC5">
        <w:t xml:space="preserve"> below indicate the dates when information is due for submission to the </w:t>
      </w:r>
      <w:r w:rsidR="00C8303F">
        <w:t>M</w:t>
      </w:r>
      <w:r w:rsidR="009F5102">
        <w:t>DBA</w:t>
      </w:r>
      <w:r w:rsidR="001E7DC5" w:rsidRPr="001E7DC5">
        <w:t xml:space="preserve"> and the timing of when it </w:t>
      </w:r>
      <w:r w:rsidR="00B037E8">
        <w:t>wa</w:t>
      </w:r>
      <w:r w:rsidR="001E7DC5" w:rsidRPr="001E7DC5">
        <w:t xml:space="preserve">s received by the </w:t>
      </w:r>
      <w:r w:rsidR="00003656">
        <w:t xml:space="preserve">Office of the </w:t>
      </w:r>
      <w:r w:rsidR="001E7DC5" w:rsidRPr="001E7DC5">
        <w:t>Inspector-General for surface water and groundwater respectively.</w:t>
      </w:r>
    </w:p>
    <w:p w14:paraId="4BDAD4BE" w14:textId="5D7CBBEC" w:rsidR="001E7DC5" w:rsidRPr="00B037E8" w:rsidRDefault="001E7DC5" w:rsidP="001E7DC5">
      <w:pPr>
        <w:rPr>
          <w:color w:val="4C6968" w:themeColor="text1"/>
        </w:rPr>
      </w:pPr>
      <w:bookmarkStart w:id="18" w:name="_Ref142044693"/>
      <w:bookmarkStart w:id="19" w:name="_Toc140834637"/>
      <w:r w:rsidRPr="00B037E8">
        <w:rPr>
          <w:color w:val="4C6968" w:themeColor="text1"/>
        </w:rPr>
        <w:t xml:space="preserve">Table </w:t>
      </w:r>
      <w:r w:rsidR="0047104E" w:rsidRPr="00B037E8">
        <w:rPr>
          <w:color w:val="4C6968" w:themeColor="text1"/>
        </w:rPr>
        <w:fldChar w:fldCharType="begin"/>
      </w:r>
      <w:r w:rsidR="0047104E" w:rsidRPr="00B037E8">
        <w:rPr>
          <w:color w:val="4C6968" w:themeColor="text1"/>
        </w:rPr>
        <w:instrText xml:space="preserve"> SEQ Table \* ARABIC </w:instrText>
      </w:r>
      <w:r w:rsidR="0047104E" w:rsidRPr="00B037E8">
        <w:rPr>
          <w:color w:val="4C6968" w:themeColor="text1"/>
        </w:rPr>
        <w:fldChar w:fldCharType="separate"/>
      </w:r>
      <w:r w:rsidR="0010165E">
        <w:rPr>
          <w:noProof/>
          <w:color w:val="4C6968" w:themeColor="text1"/>
        </w:rPr>
        <w:t>6</w:t>
      </w:r>
      <w:r w:rsidR="0047104E" w:rsidRPr="00B037E8">
        <w:rPr>
          <w:color w:val="4C6968" w:themeColor="text1"/>
        </w:rPr>
        <w:fldChar w:fldCharType="end"/>
      </w:r>
      <w:bookmarkEnd w:id="18"/>
      <w:r w:rsidRPr="00B037E8">
        <w:rPr>
          <w:color w:val="4C6968" w:themeColor="text1"/>
        </w:rPr>
        <w:t>. Timing of receival for SDL compliance information - Surface Water</w:t>
      </w:r>
      <w:bookmarkEnd w:id="19"/>
    </w:p>
    <w:tbl>
      <w:tblPr>
        <w:tblStyle w:val="TableGridLight"/>
        <w:tblW w:w="5000" w:type="pct"/>
        <w:tblLayout w:type="fixed"/>
        <w:tblLook w:val="04A0" w:firstRow="1" w:lastRow="0" w:firstColumn="1" w:lastColumn="0" w:noHBand="0" w:noVBand="1"/>
      </w:tblPr>
      <w:tblGrid>
        <w:gridCol w:w="1559"/>
        <w:gridCol w:w="1421"/>
        <w:gridCol w:w="1698"/>
        <w:gridCol w:w="1702"/>
        <w:gridCol w:w="1417"/>
        <w:gridCol w:w="1841"/>
      </w:tblGrid>
      <w:tr w:rsidR="003E1E73" w:rsidRPr="001E7DC5" w14:paraId="6C3E3862" w14:textId="77777777" w:rsidTr="00623136">
        <w:trPr>
          <w:cnfStyle w:val="100000000000" w:firstRow="1" w:lastRow="0" w:firstColumn="0" w:lastColumn="0" w:oddVBand="0" w:evenVBand="0" w:oddHBand="0" w:evenHBand="0" w:firstRowFirstColumn="0" w:firstRowLastColumn="0" w:lastRowFirstColumn="0" w:lastRowLastColumn="0"/>
          <w:trHeight w:val="1572"/>
        </w:trPr>
        <w:tc>
          <w:tcPr>
            <w:tcW w:w="809" w:type="pct"/>
            <w:vAlign w:val="center"/>
          </w:tcPr>
          <w:p w14:paraId="65DC2081" w14:textId="77777777" w:rsidR="001E7DC5" w:rsidRPr="003733FC" w:rsidRDefault="001E7DC5" w:rsidP="00A752FD">
            <w:pPr>
              <w:jc w:val="center"/>
              <w:rPr>
                <w:color w:val="E7E6E6" w:themeColor="background2"/>
              </w:rPr>
            </w:pPr>
            <w:r w:rsidRPr="003733FC">
              <w:rPr>
                <w:b/>
                <w:color w:val="E7E6E6" w:themeColor="background2"/>
              </w:rPr>
              <w:t>State</w:t>
            </w:r>
          </w:p>
        </w:tc>
        <w:tc>
          <w:tcPr>
            <w:tcW w:w="737" w:type="pct"/>
            <w:vAlign w:val="center"/>
          </w:tcPr>
          <w:p w14:paraId="1ED32B02" w14:textId="6066A219" w:rsidR="001E7DC5" w:rsidRPr="003733FC" w:rsidRDefault="001E7DC5" w:rsidP="00A752FD">
            <w:pPr>
              <w:jc w:val="center"/>
              <w:rPr>
                <w:color w:val="E7E6E6" w:themeColor="background2"/>
              </w:rPr>
            </w:pPr>
            <w:r w:rsidRPr="003733FC">
              <w:rPr>
                <w:b/>
                <w:color w:val="E7E6E6" w:themeColor="background2"/>
              </w:rPr>
              <w:t>Report date</w:t>
            </w:r>
            <w:r w:rsidR="003733FC" w:rsidRPr="003733FC">
              <w:rPr>
                <w:b/>
                <w:color w:val="E7E6E6" w:themeColor="background2"/>
              </w:rPr>
              <w:t xml:space="preserve"> as per</w:t>
            </w:r>
            <w:r w:rsidRPr="003733FC">
              <w:rPr>
                <w:b/>
                <w:color w:val="E7E6E6" w:themeColor="background2"/>
              </w:rPr>
              <w:t xml:space="preserve"> Water Act</w:t>
            </w:r>
            <w:r w:rsidR="003733FC" w:rsidRPr="003733FC">
              <w:rPr>
                <w:b/>
                <w:color w:val="E7E6E6" w:themeColor="background2"/>
              </w:rPr>
              <w:t xml:space="preserve"> </w:t>
            </w:r>
            <w:r w:rsidRPr="003733FC">
              <w:rPr>
                <w:b/>
                <w:color w:val="E7E6E6" w:themeColor="background2"/>
              </w:rPr>
              <w:t>(s. 71)</w:t>
            </w:r>
          </w:p>
        </w:tc>
        <w:tc>
          <w:tcPr>
            <w:tcW w:w="881" w:type="pct"/>
            <w:vAlign w:val="center"/>
          </w:tcPr>
          <w:p w14:paraId="2625A280" w14:textId="6F7691C5" w:rsidR="001E7DC5" w:rsidRPr="003733FC" w:rsidRDefault="001E7DC5" w:rsidP="00A752FD">
            <w:pPr>
              <w:jc w:val="center"/>
              <w:rPr>
                <w:color w:val="E7E6E6" w:themeColor="background2"/>
              </w:rPr>
            </w:pPr>
            <w:r w:rsidRPr="003733FC">
              <w:rPr>
                <w:b/>
                <w:color w:val="E7E6E6" w:themeColor="background2"/>
              </w:rPr>
              <w:t xml:space="preserve">Extension date given by </w:t>
            </w:r>
            <w:r w:rsidR="003C03FE">
              <w:rPr>
                <w:b/>
                <w:color w:val="E7E6E6" w:themeColor="background2"/>
              </w:rPr>
              <w:t>MDBA</w:t>
            </w:r>
          </w:p>
        </w:tc>
        <w:tc>
          <w:tcPr>
            <w:tcW w:w="883" w:type="pct"/>
            <w:vAlign w:val="center"/>
          </w:tcPr>
          <w:p w14:paraId="0CD7D9E0" w14:textId="77777777" w:rsidR="001E7DC5" w:rsidRPr="003733FC" w:rsidRDefault="001E7DC5" w:rsidP="00A752FD">
            <w:pPr>
              <w:jc w:val="center"/>
              <w:rPr>
                <w:color w:val="E7E6E6" w:themeColor="background2"/>
              </w:rPr>
            </w:pPr>
            <w:r w:rsidRPr="003733FC">
              <w:rPr>
                <w:b/>
                <w:color w:val="E7E6E6" w:themeColor="background2"/>
              </w:rPr>
              <w:t>First data submission</w:t>
            </w:r>
          </w:p>
        </w:tc>
        <w:tc>
          <w:tcPr>
            <w:tcW w:w="735" w:type="pct"/>
            <w:vAlign w:val="center"/>
          </w:tcPr>
          <w:p w14:paraId="4FCE23E4" w14:textId="77777777" w:rsidR="001E7DC5" w:rsidRPr="003733FC" w:rsidRDefault="001E7DC5" w:rsidP="00A752FD">
            <w:pPr>
              <w:jc w:val="center"/>
              <w:rPr>
                <w:b/>
                <w:color w:val="E7E6E6" w:themeColor="background2"/>
              </w:rPr>
            </w:pPr>
            <w:r w:rsidRPr="003733FC">
              <w:rPr>
                <w:b/>
                <w:color w:val="E7E6E6" w:themeColor="background2"/>
              </w:rPr>
              <w:t>Final data submission</w:t>
            </w:r>
          </w:p>
        </w:tc>
        <w:tc>
          <w:tcPr>
            <w:tcW w:w="955" w:type="pct"/>
            <w:vAlign w:val="center"/>
          </w:tcPr>
          <w:p w14:paraId="3243C08A" w14:textId="77777777" w:rsidR="001E7DC5" w:rsidRPr="003733FC" w:rsidRDefault="001E7DC5" w:rsidP="00A752FD">
            <w:pPr>
              <w:jc w:val="center"/>
              <w:rPr>
                <w:b/>
                <w:color w:val="E7E6E6" w:themeColor="background2"/>
              </w:rPr>
            </w:pPr>
            <w:r w:rsidRPr="003733FC">
              <w:rPr>
                <w:b/>
                <w:color w:val="E7E6E6" w:themeColor="background2"/>
              </w:rPr>
              <w:t>Received by Inspector-General</w:t>
            </w:r>
          </w:p>
        </w:tc>
      </w:tr>
      <w:tr w:rsidR="003E1E73" w:rsidRPr="001E7DC5" w14:paraId="53185B87" w14:textId="77777777" w:rsidTr="00623136">
        <w:trPr>
          <w:trHeight w:val="1572"/>
        </w:trPr>
        <w:tc>
          <w:tcPr>
            <w:tcW w:w="809" w:type="pct"/>
          </w:tcPr>
          <w:p w14:paraId="2A060808" w14:textId="77777777" w:rsidR="001E7DC5" w:rsidRPr="001E7DC5" w:rsidRDefault="001E7DC5" w:rsidP="001E7DC5">
            <w:r w:rsidRPr="001E7DC5">
              <w:rPr>
                <w:b/>
                <w:bCs/>
              </w:rPr>
              <w:t>Queensland</w:t>
            </w:r>
          </w:p>
        </w:tc>
        <w:tc>
          <w:tcPr>
            <w:tcW w:w="737" w:type="pct"/>
          </w:tcPr>
          <w:p w14:paraId="446EDB45" w14:textId="77777777" w:rsidR="001E7DC5" w:rsidRPr="003733FC" w:rsidRDefault="001E7DC5" w:rsidP="001E7DC5">
            <w:r w:rsidRPr="003733FC">
              <w:t>31 October 2022</w:t>
            </w:r>
          </w:p>
        </w:tc>
        <w:tc>
          <w:tcPr>
            <w:tcW w:w="881" w:type="pct"/>
          </w:tcPr>
          <w:p w14:paraId="6BDEC107" w14:textId="77777777" w:rsidR="001E7DC5" w:rsidRPr="003733FC" w:rsidRDefault="001E7DC5" w:rsidP="001E7DC5">
            <w:r w:rsidRPr="003733FC">
              <w:t>n/a</w:t>
            </w:r>
          </w:p>
        </w:tc>
        <w:tc>
          <w:tcPr>
            <w:tcW w:w="883" w:type="pct"/>
          </w:tcPr>
          <w:p w14:paraId="5BA01703" w14:textId="77777777" w:rsidR="001E7DC5" w:rsidRPr="003733FC" w:rsidRDefault="001E7DC5" w:rsidP="001E7DC5">
            <w:r w:rsidRPr="003733FC">
              <w:t>31 October 2022</w:t>
            </w:r>
          </w:p>
        </w:tc>
        <w:tc>
          <w:tcPr>
            <w:tcW w:w="735" w:type="pct"/>
          </w:tcPr>
          <w:p w14:paraId="279FB677" w14:textId="77777777" w:rsidR="001E7DC5" w:rsidRPr="003733FC" w:rsidRDefault="001E7DC5" w:rsidP="001E7DC5">
            <w:r w:rsidRPr="003733FC">
              <w:t>11 January 2023</w:t>
            </w:r>
          </w:p>
        </w:tc>
        <w:tc>
          <w:tcPr>
            <w:tcW w:w="955" w:type="pct"/>
          </w:tcPr>
          <w:p w14:paraId="3F7DFA4E" w14:textId="0DED4A44" w:rsidR="003733FC" w:rsidRDefault="00BE169B" w:rsidP="001E7DC5">
            <w:r w:rsidRPr="003733FC">
              <w:t>12 December 2023</w:t>
            </w:r>
            <w:r w:rsidR="007A4B92">
              <w:t xml:space="preserve"> </w:t>
            </w:r>
          </w:p>
          <w:p w14:paraId="545E0036" w14:textId="2C618D91" w:rsidR="003733FC" w:rsidRDefault="001E7DC5" w:rsidP="001E7DC5">
            <w:r w:rsidRPr="003733FC">
              <w:t>8 March 2023</w:t>
            </w:r>
            <w:r w:rsidR="007A4B92">
              <w:t xml:space="preserve"> </w:t>
            </w:r>
          </w:p>
          <w:p w14:paraId="3527CE0B" w14:textId="2722CC1B" w:rsidR="001E7DC5" w:rsidRPr="003733FC" w:rsidRDefault="001E7DC5" w:rsidP="001E7DC5">
            <w:r w:rsidRPr="003733FC">
              <w:t>11 April 2023</w:t>
            </w:r>
            <w:r w:rsidR="007A4B92">
              <w:t xml:space="preserve"> </w:t>
            </w:r>
          </w:p>
        </w:tc>
      </w:tr>
      <w:tr w:rsidR="003E1E73" w:rsidRPr="001E7DC5" w14:paraId="0F2BC143" w14:textId="77777777" w:rsidTr="00623136">
        <w:trPr>
          <w:trHeight w:val="1572"/>
        </w:trPr>
        <w:tc>
          <w:tcPr>
            <w:tcW w:w="809" w:type="pct"/>
          </w:tcPr>
          <w:p w14:paraId="687C3A95" w14:textId="77777777" w:rsidR="001E7DC5" w:rsidRPr="001E7DC5" w:rsidRDefault="001E7DC5" w:rsidP="001E7DC5">
            <w:r w:rsidRPr="001E7DC5">
              <w:rPr>
                <w:b/>
                <w:bCs/>
              </w:rPr>
              <w:t>New South Wales</w:t>
            </w:r>
          </w:p>
        </w:tc>
        <w:tc>
          <w:tcPr>
            <w:tcW w:w="737" w:type="pct"/>
          </w:tcPr>
          <w:p w14:paraId="00E05F98" w14:textId="77777777" w:rsidR="001E7DC5" w:rsidRPr="003733FC" w:rsidRDefault="001E7DC5" w:rsidP="001E7DC5">
            <w:r w:rsidRPr="003733FC">
              <w:t>31 October 2022</w:t>
            </w:r>
          </w:p>
        </w:tc>
        <w:tc>
          <w:tcPr>
            <w:tcW w:w="881" w:type="pct"/>
          </w:tcPr>
          <w:p w14:paraId="136C50F3" w14:textId="28E95CC7" w:rsidR="003733FC" w:rsidRDefault="001E7DC5" w:rsidP="001E7DC5">
            <w:r w:rsidRPr="003733FC">
              <w:t>30 November</w:t>
            </w:r>
            <w:r w:rsidR="003733FC">
              <w:t xml:space="preserve"> 2022</w:t>
            </w:r>
          </w:p>
          <w:p w14:paraId="3ABFE831" w14:textId="0F88F003" w:rsidR="001E7DC5" w:rsidRPr="003733FC" w:rsidRDefault="001E7DC5" w:rsidP="001E7DC5">
            <w:r w:rsidRPr="003733FC">
              <w:t>16 December 2022</w:t>
            </w:r>
          </w:p>
        </w:tc>
        <w:tc>
          <w:tcPr>
            <w:tcW w:w="883" w:type="pct"/>
          </w:tcPr>
          <w:p w14:paraId="6F3B6C73" w14:textId="77777777" w:rsidR="001E7DC5" w:rsidRPr="003733FC" w:rsidRDefault="001E7DC5" w:rsidP="001E7DC5">
            <w:r w:rsidRPr="003733FC">
              <w:t>16 December 2022</w:t>
            </w:r>
          </w:p>
        </w:tc>
        <w:tc>
          <w:tcPr>
            <w:tcW w:w="735" w:type="pct"/>
          </w:tcPr>
          <w:p w14:paraId="541C3967" w14:textId="77777777" w:rsidR="003733FC" w:rsidRDefault="001E7DC5" w:rsidP="001E7DC5">
            <w:r w:rsidRPr="003733FC">
              <w:t>20 March 2023</w:t>
            </w:r>
          </w:p>
          <w:p w14:paraId="55BC7C79" w14:textId="0913B53A" w:rsidR="001E7DC5" w:rsidRPr="003733FC" w:rsidRDefault="001E7DC5" w:rsidP="001E7DC5">
            <w:r w:rsidRPr="003733FC">
              <w:t>12 May 2023</w:t>
            </w:r>
          </w:p>
        </w:tc>
        <w:tc>
          <w:tcPr>
            <w:tcW w:w="955" w:type="pct"/>
          </w:tcPr>
          <w:p w14:paraId="24FEAC4B" w14:textId="7CFCE10D" w:rsidR="003733FC" w:rsidRDefault="00766D52" w:rsidP="001E7DC5">
            <w:r w:rsidRPr="003733FC">
              <w:t>21 December 2022</w:t>
            </w:r>
            <w:r w:rsidR="007A4B92">
              <w:t xml:space="preserve"> </w:t>
            </w:r>
          </w:p>
          <w:p w14:paraId="79F6C99E" w14:textId="59E677D8" w:rsidR="003733FC" w:rsidRDefault="00A42757" w:rsidP="001E7DC5">
            <w:r w:rsidRPr="003733FC">
              <w:t>11 April 2023</w:t>
            </w:r>
            <w:r w:rsidR="007A4B92">
              <w:t xml:space="preserve"> </w:t>
            </w:r>
          </w:p>
          <w:p w14:paraId="3B00222C" w14:textId="79908B82" w:rsidR="001E7DC5" w:rsidRPr="003733FC" w:rsidRDefault="001E7DC5" w:rsidP="001E7DC5">
            <w:r w:rsidRPr="003733FC">
              <w:t>12 May 2023</w:t>
            </w:r>
            <w:r w:rsidR="00F27D9A">
              <w:rPr>
                <w:rStyle w:val="FootnoteReference"/>
              </w:rPr>
              <w:footnoteReference w:id="9"/>
            </w:r>
            <w:r w:rsidR="007A4B92">
              <w:t xml:space="preserve"> </w:t>
            </w:r>
          </w:p>
        </w:tc>
      </w:tr>
      <w:tr w:rsidR="003E1E73" w:rsidRPr="001E7DC5" w14:paraId="55D89856" w14:textId="77777777" w:rsidTr="00623136">
        <w:trPr>
          <w:trHeight w:val="1572"/>
        </w:trPr>
        <w:tc>
          <w:tcPr>
            <w:tcW w:w="809" w:type="pct"/>
          </w:tcPr>
          <w:p w14:paraId="1CA1E190" w14:textId="77777777" w:rsidR="001E7DC5" w:rsidRPr="001E7DC5" w:rsidRDefault="001E7DC5" w:rsidP="001E7DC5">
            <w:r w:rsidRPr="001E7DC5">
              <w:rPr>
                <w:b/>
                <w:bCs/>
              </w:rPr>
              <w:t>Australian Capital Territory</w:t>
            </w:r>
          </w:p>
        </w:tc>
        <w:tc>
          <w:tcPr>
            <w:tcW w:w="737" w:type="pct"/>
          </w:tcPr>
          <w:p w14:paraId="095709F6" w14:textId="77777777" w:rsidR="001E7DC5" w:rsidRPr="003733FC" w:rsidRDefault="001E7DC5" w:rsidP="001E7DC5">
            <w:r w:rsidRPr="003733FC">
              <w:t>31 October 2022</w:t>
            </w:r>
          </w:p>
        </w:tc>
        <w:tc>
          <w:tcPr>
            <w:tcW w:w="881" w:type="pct"/>
          </w:tcPr>
          <w:p w14:paraId="6B25E221" w14:textId="77777777" w:rsidR="001E7DC5" w:rsidRPr="003733FC" w:rsidRDefault="001E7DC5" w:rsidP="001E7DC5">
            <w:r w:rsidRPr="003733FC">
              <w:t>n/a</w:t>
            </w:r>
          </w:p>
        </w:tc>
        <w:tc>
          <w:tcPr>
            <w:tcW w:w="883" w:type="pct"/>
          </w:tcPr>
          <w:p w14:paraId="2760FBEF" w14:textId="77777777" w:rsidR="001E7DC5" w:rsidRPr="003733FC" w:rsidRDefault="001E7DC5" w:rsidP="001E7DC5">
            <w:r w:rsidRPr="003733FC">
              <w:t>9 November 2022</w:t>
            </w:r>
          </w:p>
        </w:tc>
        <w:tc>
          <w:tcPr>
            <w:tcW w:w="735" w:type="pct"/>
          </w:tcPr>
          <w:p w14:paraId="4EADC1B0" w14:textId="0E9CA048" w:rsidR="001E7DC5" w:rsidRPr="003733FC" w:rsidRDefault="001E7DC5" w:rsidP="001E7DC5">
            <w:r w:rsidRPr="003733FC">
              <w:t>15 Dec</w:t>
            </w:r>
            <w:r w:rsidR="004A7AF6">
              <w:t>ember</w:t>
            </w:r>
            <w:r w:rsidRPr="003733FC">
              <w:t xml:space="preserve"> 2022</w:t>
            </w:r>
          </w:p>
        </w:tc>
        <w:tc>
          <w:tcPr>
            <w:tcW w:w="955" w:type="pct"/>
          </w:tcPr>
          <w:p w14:paraId="414D50D5" w14:textId="423D6145" w:rsidR="003733FC" w:rsidRDefault="003A6EF5" w:rsidP="001E7DC5">
            <w:r w:rsidRPr="003733FC">
              <w:t>21 December 2022</w:t>
            </w:r>
            <w:r w:rsidR="007A4B92">
              <w:t xml:space="preserve"> </w:t>
            </w:r>
          </w:p>
          <w:p w14:paraId="38B3FCDF" w14:textId="167BA418" w:rsidR="003733FC" w:rsidRDefault="001E7DC5" w:rsidP="001E7DC5">
            <w:r w:rsidRPr="003733FC">
              <w:t>8 March 2023</w:t>
            </w:r>
            <w:r w:rsidR="007A4B92">
              <w:t xml:space="preserve"> </w:t>
            </w:r>
          </w:p>
          <w:p w14:paraId="7AEC49D0" w14:textId="263BF22A" w:rsidR="001E7DC5" w:rsidRPr="003733FC" w:rsidRDefault="001E7DC5" w:rsidP="001E7DC5">
            <w:r w:rsidRPr="003733FC">
              <w:t>11 April 2023</w:t>
            </w:r>
            <w:r w:rsidR="007A4B92">
              <w:t xml:space="preserve"> </w:t>
            </w:r>
          </w:p>
        </w:tc>
      </w:tr>
      <w:tr w:rsidR="003E1E73" w:rsidRPr="001E7DC5" w14:paraId="5470FCCE" w14:textId="77777777" w:rsidTr="00623136">
        <w:trPr>
          <w:trHeight w:val="1572"/>
        </w:trPr>
        <w:tc>
          <w:tcPr>
            <w:tcW w:w="809" w:type="pct"/>
          </w:tcPr>
          <w:p w14:paraId="71590B1C" w14:textId="77777777" w:rsidR="001E7DC5" w:rsidRPr="001E7DC5" w:rsidRDefault="001E7DC5" w:rsidP="001E7DC5">
            <w:r w:rsidRPr="001E7DC5">
              <w:rPr>
                <w:b/>
                <w:bCs/>
              </w:rPr>
              <w:t>Victoria</w:t>
            </w:r>
          </w:p>
        </w:tc>
        <w:tc>
          <w:tcPr>
            <w:tcW w:w="737" w:type="pct"/>
          </w:tcPr>
          <w:p w14:paraId="000C1248" w14:textId="77777777" w:rsidR="001E7DC5" w:rsidRPr="003733FC" w:rsidRDefault="001E7DC5" w:rsidP="001E7DC5">
            <w:r w:rsidRPr="003733FC">
              <w:t>31 October 2022</w:t>
            </w:r>
          </w:p>
        </w:tc>
        <w:tc>
          <w:tcPr>
            <w:tcW w:w="881" w:type="pct"/>
          </w:tcPr>
          <w:p w14:paraId="6A261737" w14:textId="77777777" w:rsidR="001E7DC5" w:rsidRPr="003733FC" w:rsidRDefault="001E7DC5" w:rsidP="001E7DC5">
            <w:r w:rsidRPr="003733FC">
              <w:t>20 January 2023</w:t>
            </w:r>
          </w:p>
        </w:tc>
        <w:tc>
          <w:tcPr>
            <w:tcW w:w="883" w:type="pct"/>
          </w:tcPr>
          <w:p w14:paraId="525588A0" w14:textId="77777777" w:rsidR="001E7DC5" w:rsidRPr="003733FC" w:rsidRDefault="001E7DC5" w:rsidP="001E7DC5">
            <w:r w:rsidRPr="003733FC">
              <w:t>21 February 2023</w:t>
            </w:r>
          </w:p>
        </w:tc>
        <w:tc>
          <w:tcPr>
            <w:tcW w:w="735" w:type="pct"/>
          </w:tcPr>
          <w:p w14:paraId="36673BF7" w14:textId="77777777" w:rsidR="001E7DC5" w:rsidRPr="003733FC" w:rsidRDefault="001E7DC5" w:rsidP="001E7DC5">
            <w:r w:rsidRPr="003733FC">
              <w:t>24 March 2023</w:t>
            </w:r>
          </w:p>
        </w:tc>
        <w:tc>
          <w:tcPr>
            <w:tcW w:w="955" w:type="pct"/>
          </w:tcPr>
          <w:p w14:paraId="07DFBC34" w14:textId="782DCB81" w:rsidR="009C77E4" w:rsidRDefault="001E7DC5" w:rsidP="009C77E4">
            <w:r w:rsidRPr="003733FC">
              <w:t>27 February 2023</w:t>
            </w:r>
            <w:r w:rsidR="007A4B92">
              <w:t xml:space="preserve"> </w:t>
            </w:r>
          </w:p>
          <w:p w14:paraId="31744467" w14:textId="6384733B" w:rsidR="001E7DC5" w:rsidRPr="003733FC" w:rsidRDefault="001E7DC5" w:rsidP="009C77E4">
            <w:r w:rsidRPr="003733FC">
              <w:t>11 April 2023</w:t>
            </w:r>
            <w:r w:rsidR="007A4B92">
              <w:t xml:space="preserve"> </w:t>
            </w:r>
          </w:p>
        </w:tc>
      </w:tr>
      <w:tr w:rsidR="003E1E73" w:rsidRPr="001E7DC5" w14:paraId="15FE4449" w14:textId="77777777" w:rsidTr="00623136">
        <w:trPr>
          <w:trHeight w:val="1573"/>
        </w:trPr>
        <w:tc>
          <w:tcPr>
            <w:tcW w:w="809" w:type="pct"/>
          </w:tcPr>
          <w:p w14:paraId="0D9F5F6E" w14:textId="77777777" w:rsidR="001E7DC5" w:rsidRPr="001E7DC5" w:rsidRDefault="001E7DC5" w:rsidP="001E7DC5">
            <w:pPr>
              <w:rPr>
                <w:b/>
                <w:bCs/>
              </w:rPr>
            </w:pPr>
            <w:r w:rsidRPr="001E7DC5">
              <w:rPr>
                <w:b/>
                <w:bCs/>
              </w:rPr>
              <w:t>South Australia</w:t>
            </w:r>
          </w:p>
        </w:tc>
        <w:tc>
          <w:tcPr>
            <w:tcW w:w="737" w:type="pct"/>
          </w:tcPr>
          <w:p w14:paraId="361CA45A" w14:textId="77777777" w:rsidR="001E7DC5" w:rsidRPr="003733FC" w:rsidRDefault="001E7DC5" w:rsidP="001E7DC5">
            <w:r w:rsidRPr="003733FC">
              <w:t>31 October 2022</w:t>
            </w:r>
          </w:p>
        </w:tc>
        <w:tc>
          <w:tcPr>
            <w:tcW w:w="881" w:type="pct"/>
          </w:tcPr>
          <w:p w14:paraId="69139B36" w14:textId="77777777" w:rsidR="003733FC" w:rsidRDefault="001E7DC5" w:rsidP="001E7DC5">
            <w:r w:rsidRPr="003733FC">
              <w:t>30 November</w:t>
            </w:r>
          </w:p>
          <w:p w14:paraId="03D9DCAD" w14:textId="7BEDB3B2" w:rsidR="001E7DC5" w:rsidRPr="003733FC" w:rsidRDefault="001E7DC5" w:rsidP="001E7DC5">
            <w:r w:rsidRPr="003733FC">
              <w:t>16 December 2022</w:t>
            </w:r>
          </w:p>
        </w:tc>
        <w:tc>
          <w:tcPr>
            <w:tcW w:w="883" w:type="pct"/>
          </w:tcPr>
          <w:p w14:paraId="57F3935E" w14:textId="77777777" w:rsidR="001E7DC5" w:rsidRPr="003733FC" w:rsidRDefault="001E7DC5" w:rsidP="001E7DC5">
            <w:r w:rsidRPr="003733FC">
              <w:t>16 December 2022</w:t>
            </w:r>
          </w:p>
        </w:tc>
        <w:tc>
          <w:tcPr>
            <w:tcW w:w="735" w:type="pct"/>
          </w:tcPr>
          <w:p w14:paraId="366951AB" w14:textId="77777777" w:rsidR="001E7DC5" w:rsidRPr="003733FC" w:rsidRDefault="001E7DC5" w:rsidP="001E7DC5">
            <w:r w:rsidRPr="003733FC">
              <w:t>17 March 2023</w:t>
            </w:r>
          </w:p>
        </w:tc>
        <w:tc>
          <w:tcPr>
            <w:tcW w:w="955" w:type="pct"/>
          </w:tcPr>
          <w:p w14:paraId="77EAF359" w14:textId="069601A5" w:rsidR="009C77E4" w:rsidRDefault="00087849" w:rsidP="009C77E4">
            <w:r w:rsidRPr="003733FC">
              <w:t>21 December 2022</w:t>
            </w:r>
            <w:r w:rsidR="00E93380">
              <w:t xml:space="preserve"> </w:t>
            </w:r>
          </w:p>
          <w:p w14:paraId="016EE2C5" w14:textId="2D7BB2A9" w:rsidR="001E7DC5" w:rsidRPr="003733FC" w:rsidRDefault="001E7DC5" w:rsidP="009C77E4">
            <w:r w:rsidRPr="003733FC">
              <w:t>11 April 2023</w:t>
            </w:r>
            <w:r w:rsidR="00E93380">
              <w:t xml:space="preserve"> </w:t>
            </w:r>
          </w:p>
        </w:tc>
      </w:tr>
    </w:tbl>
    <w:p w14:paraId="568E5825" w14:textId="77777777" w:rsidR="001E7DC5" w:rsidRPr="001E7DC5" w:rsidRDefault="001E7DC5" w:rsidP="001E7DC5"/>
    <w:p w14:paraId="2DD86E8E" w14:textId="77777777" w:rsidR="001E7DC5" w:rsidRPr="001E7DC5" w:rsidRDefault="001E7DC5" w:rsidP="001E7DC5">
      <w:r w:rsidRPr="001E7DC5">
        <w:br w:type="page"/>
      </w:r>
    </w:p>
    <w:p w14:paraId="6315F6FB" w14:textId="7319097F" w:rsidR="001E7DC5" w:rsidRPr="00B037E8" w:rsidRDefault="001E7DC5" w:rsidP="001E7DC5">
      <w:pPr>
        <w:rPr>
          <w:color w:val="4C6968" w:themeColor="text1"/>
        </w:rPr>
      </w:pPr>
      <w:bookmarkStart w:id="20" w:name="_Ref142044766"/>
      <w:bookmarkStart w:id="21" w:name="_Toc140834638"/>
      <w:r w:rsidRPr="00B037E8">
        <w:rPr>
          <w:color w:val="4C6968" w:themeColor="text1"/>
        </w:rPr>
        <w:lastRenderedPageBreak/>
        <w:t xml:space="preserve">Table </w:t>
      </w:r>
      <w:r w:rsidR="0047104E" w:rsidRPr="00B037E8">
        <w:rPr>
          <w:color w:val="4C6968" w:themeColor="text1"/>
        </w:rPr>
        <w:fldChar w:fldCharType="begin"/>
      </w:r>
      <w:r w:rsidR="0047104E" w:rsidRPr="00B037E8">
        <w:rPr>
          <w:color w:val="4C6968" w:themeColor="text1"/>
        </w:rPr>
        <w:instrText xml:space="preserve"> SEQ Table \* ARABIC </w:instrText>
      </w:r>
      <w:r w:rsidR="0047104E" w:rsidRPr="00B037E8">
        <w:rPr>
          <w:color w:val="4C6968" w:themeColor="text1"/>
        </w:rPr>
        <w:fldChar w:fldCharType="separate"/>
      </w:r>
      <w:r w:rsidR="0010165E">
        <w:rPr>
          <w:noProof/>
          <w:color w:val="4C6968" w:themeColor="text1"/>
        </w:rPr>
        <w:t>7</w:t>
      </w:r>
      <w:r w:rsidR="0047104E" w:rsidRPr="00B037E8">
        <w:rPr>
          <w:color w:val="4C6968" w:themeColor="text1"/>
        </w:rPr>
        <w:fldChar w:fldCharType="end"/>
      </w:r>
      <w:bookmarkEnd w:id="20"/>
      <w:r w:rsidRPr="00B037E8">
        <w:rPr>
          <w:color w:val="4C6968" w:themeColor="text1"/>
        </w:rPr>
        <w:t>. Timing of receival for SDL compliance information - Groundwater</w:t>
      </w:r>
      <w:bookmarkEnd w:id="21"/>
    </w:p>
    <w:tbl>
      <w:tblPr>
        <w:tblStyle w:val="TableGridLight"/>
        <w:tblW w:w="5000" w:type="pct"/>
        <w:tblLayout w:type="fixed"/>
        <w:tblLook w:val="04A0" w:firstRow="1" w:lastRow="0" w:firstColumn="1" w:lastColumn="0" w:noHBand="0" w:noVBand="1"/>
      </w:tblPr>
      <w:tblGrid>
        <w:gridCol w:w="1559"/>
        <w:gridCol w:w="1417"/>
        <w:gridCol w:w="1419"/>
        <w:gridCol w:w="1559"/>
        <w:gridCol w:w="1700"/>
        <w:gridCol w:w="1984"/>
      </w:tblGrid>
      <w:tr w:rsidR="001E7DC5" w:rsidRPr="001E7DC5" w14:paraId="0577C985" w14:textId="77777777" w:rsidTr="003E1E73">
        <w:trPr>
          <w:cnfStyle w:val="100000000000" w:firstRow="1" w:lastRow="0" w:firstColumn="0" w:lastColumn="0" w:oddVBand="0" w:evenVBand="0" w:oddHBand="0" w:evenHBand="0" w:firstRowFirstColumn="0" w:firstRowLastColumn="0" w:lastRowFirstColumn="0" w:lastRowLastColumn="0"/>
        </w:trPr>
        <w:tc>
          <w:tcPr>
            <w:tcW w:w="809" w:type="pct"/>
            <w:vAlign w:val="center"/>
          </w:tcPr>
          <w:p w14:paraId="5CB0DA44" w14:textId="77777777" w:rsidR="001E7DC5" w:rsidRPr="003733FC" w:rsidRDefault="001E7DC5" w:rsidP="001E7DC5">
            <w:pPr>
              <w:rPr>
                <w:color w:val="E7E6E6" w:themeColor="background2"/>
              </w:rPr>
            </w:pPr>
            <w:r w:rsidRPr="003733FC">
              <w:rPr>
                <w:b/>
                <w:color w:val="E7E6E6" w:themeColor="background2"/>
              </w:rPr>
              <w:t>State</w:t>
            </w:r>
          </w:p>
        </w:tc>
        <w:tc>
          <w:tcPr>
            <w:tcW w:w="735" w:type="pct"/>
            <w:vAlign w:val="center"/>
          </w:tcPr>
          <w:p w14:paraId="5EAC30EE" w14:textId="152206E6" w:rsidR="001E7DC5" w:rsidRPr="003733FC" w:rsidRDefault="001E7DC5" w:rsidP="00A752FD">
            <w:pPr>
              <w:rPr>
                <w:color w:val="E7E6E6" w:themeColor="background2"/>
              </w:rPr>
            </w:pPr>
            <w:r w:rsidRPr="003733FC">
              <w:rPr>
                <w:b/>
                <w:color w:val="E7E6E6" w:themeColor="background2"/>
              </w:rPr>
              <w:t>Report</w:t>
            </w:r>
            <w:r w:rsidR="003733FC" w:rsidRPr="003733FC">
              <w:rPr>
                <w:b/>
                <w:color w:val="E7E6E6" w:themeColor="background2"/>
              </w:rPr>
              <w:t xml:space="preserve"> </w:t>
            </w:r>
            <w:r w:rsidRPr="003733FC">
              <w:rPr>
                <w:b/>
                <w:color w:val="E7E6E6" w:themeColor="background2"/>
              </w:rPr>
              <w:t>date as per Water Act</w:t>
            </w:r>
            <w:r w:rsidR="00A752FD" w:rsidRPr="003733FC">
              <w:rPr>
                <w:b/>
                <w:color w:val="E7E6E6" w:themeColor="background2"/>
              </w:rPr>
              <w:t xml:space="preserve"> </w:t>
            </w:r>
            <w:r w:rsidRPr="003733FC">
              <w:rPr>
                <w:b/>
                <w:color w:val="E7E6E6" w:themeColor="background2"/>
              </w:rPr>
              <w:t>(s. 71)</w:t>
            </w:r>
          </w:p>
        </w:tc>
        <w:tc>
          <w:tcPr>
            <w:tcW w:w="736" w:type="pct"/>
            <w:vAlign w:val="center"/>
          </w:tcPr>
          <w:p w14:paraId="0EDE02EA" w14:textId="7D81BE94" w:rsidR="001E7DC5" w:rsidRPr="003733FC" w:rsidRDefault="001E7DC5" w:rsidP="001E7DC5">
            <w:pPr>
              <w:rPr>
                <w:color w:val="E7E6E6" w:themeColor="background2"/>
              </w:rPr>
            </w:pPr>
            <w:r w:rsidRPr="003733FC">
              <w:rPr>
                <w:b/>
                <w:color w:val="E7E6E6" w:themeColor="background2"/>
              </w:rPr>
              <w:t xml:space="preserve">Extension given by </w:t>
            </w:r>
            <w:r w:rsidR="003C03FE">
              <w:rPr>
                <w:b/>
                <w:color w:val="E7E6E6" w:themeColor="background2"/>
              </w:rPr>
              <w:t>MDBA</w:t>
            </w:r>
          </w:p>
        </w:tc>
        <w:tc>
          <w:tcPr>
            <w:tcW w:w="809" w:type="pct"/>
            <w:vAlign w:val="center"/>
          </w:tcPr>
          <w:p w14:paraId="7622866C" w14:textId="77777777" w:rsidR="001E7DC5" w:rsidRPr="003733FC" w:rsidRDefault="001E7DC5" w:rsidP="001E7DC5">
            <w:pPr>
              <w:rPr>
                <w:color w:val="E7E6E6" w:themeColor="background2"/>
              </w:rPr>
            </w:pPr>
            <w:r w:rsidRPr="003733FC">
              <w:rPr>
                <w:b/>
                <w:color w:val="E7E6E6" w:themeColor="background2"/>
              </w:rPr>
              <w:t>First data submission</w:t>
            </w:r>
          </w:p>
        </w:tc>
        <w:tc>
          <w:tcPr>
            <w:tcW w:w="882" w:type="pct"/>
            <w:vAlign w:val="center"/>
          </w:tcPr>
          <w:p w14:paraId="258BDF03" w14:textId="77777777" w:rsidR="001E7DC5" w:rsidRPr="003733FC" w:rsidRDefault="001E7DC5" w:rsidP="001E7DC5">
            <w:pPr>
              <w:rPr>
                <w:b/>
                <w:color w:val="E7E6E6" w:themeColor="background2"/>
              </w:rPr>
            </w:pPr>
            <w:r w:rsidRPr="003733FC">
              <w:rPr>
                <w:b/>
                <w:color w:val="E7E6E6" w:themeColor="background2"/>
              </w:rPr>
              <w:t>Final data submission</w:t>
            </w:r>
          </w:p>
        </w:tc>
        <w:tc>
          <w:tcPr>
            <w:tcW w:w="1029" w:type="pct"/>
            <w:vAlign w:val="center"/>
          </w:tcPr>
          <w:p w14:paraId="01F740A6" w14:textId="77777777" w:rsidR="001E7DC5" w:rsidRPr="003733FC" w:rsidRDefault="001E7DC5" w:rsidP="001E7DC5">
            <w:pPr>
              <w:rPr>
                <w:b/>
                <w:color w:val="E7E6E6" w:themeColor="background2"/>
              </w:rPr>
            </w:pPr>
            <w:r w:rsidRPr="003733FC">
              <w:rPr>
                <w:b/>
                <w:color w:val="E7E6E6" w:themeColor="background2"/>
              </w:rPr>
              <w:t>Received by Inspector-General</w:t>
            </w:r>
          </w:p>
        </w:tc>
      </w:tr>
      <w:tr w:rsidR="001E7DC5" w:rsidRPr="001E7DC5" w14:paraId="156D7DE8" w14:textId="77777777" w:rsidTr="003E1E73">
        <w:trPr>
          <w:trHeight w:val="387"/>
        </w:trPr>
        <w:tc>
          <w:tcPr>
            <w:tcW w:w="809" w:type="pct"/>
          </w:tcPr>
          <w:p w14:paraId="5F7AA30C" w14:textId="77777777" w:rsidR="001E7DC5" w:rsidRPr="001E7DC5" w:rsidRDefault="001E7DC5" w:rsidP="001E7DC5">
            <w:r w:rsidRPr="001E7DC5">
              <w:rPr>
                <w:b/>
                <w:bCs/>
              </w:rPr>
              <w:t>Queensland</w:t>
            </w:r>
          </w:p>
        </w:tc>
        <w:tc>
          <w:tcPr>
            <w:tcW w:w="735" w:type="pct"/>
          </w:tcPr>
          <w:p w14:paraId="7ECDE8E0" w14:textId="77777777" w:rsidR="001E7DC5" w:rsidRPr="001E7DC5" w:rsidRDefault="001E7DC5" w:rsidP="001E7DC5">
            <w:r w:rsidRPr="001E7DC5">
              <w:t>31 October 2022</w:t>
            </w:r>
          </w:p>
        </w:tc>
        <w:tc>
          <w:tcPr>
            <w:tcW w:w="736" w:type="pct"/>
          </w:tcPr>
          <w:p w14:paraId="3C6BCF03" w14:textId="77777777" w:rsidR="001E7DC5" w:rsidRPr="001E7DC5" w:rsidRDefault="001E7DC5" w:rsidP="001E7DC5">
            <w:r w:rsidRPr="001E7DC5">
              <w:t>n/a</w:t>
            </w:r>
          </w:p>
        </w:tc>
        <w:tc>
          <w:tcPr>
            <w:tcW w:w="809" w:type="pct"/>
          </w:tcPr>
          <w:p w14:paraId="0EF186D3" w14:textId="77777777" w:rsidR="001E7DC5" w:rsidRPr="001E7DC5" w:rsidRDefault="001E7DC5" w:rsidP="001E7DC5">
            <w:r w:rsidRPr="001E7DC5">
              <w:t>31 October 2022</w:t>
            </w:r>
          </w:p>
        </w:tc>
        <w:tc>
          <w:tcPr>
            <w:tcW w:w="882" w:type="pct"/>
          </w:tcPr>
          <w:p w14:paraId="62CE133C" w14:textId="77777777" w:rsidR="001E7DC5" w:rsidRPr="001E7DC5" w:rsidRDefault="001E7DC5" w:rsidP="001E7DC5">
            <w:r w:rsidRPr="001E7DC5">
              <w:t>11 January 2023</w:t>
            </w:r>
          </w:p>
        </w:tc>
        <w:tc>
          <w:tcPr>
            <w:tcW w:w="1029" w:type="pct"/>
          </w:tcPr>
          <w:p w14:paraId="5A336697" w14:textId="75793504" w:rsidR="009D7549" w:rsidRDefault="001E7DC5" w:rsidP="001E7DC5">
            <w:r w:rsidRPr="001E7DC5">
              <w:t>12 December 2022</w:t>
            </w:r>
            <w:r w:rsidR="00E93380">
              <w:t xml:space="preserve"> </w:t>
            </w:r>
          </w:p>
          <w:p w14:paraId="16C4C2AF" w14:textId="45F3C108" w:rsidR="001E7DC5" w:rsidRPr="001E7DC5" w:rsidRDefault="001E7DC5" w:rsidP="001E7DC5">
            <w:r w:rsidRPr="001E7DC5">
              <w:t>1</w:t>
            </w:r>
            <w:r w:rsidR="00936B81">
              <w:t>1</w:t>
            </w:r>
            <w:r w:rsidRPr="001E7DC5">
              <w:t xml:space="preserve"> April 2023</w:t>
            </w:r>
            <w:r w:rsidR="00E93380">
              <w:t xml:space="preserve"> </w:t>
            </w:r>
          </w:p>
        </w:tc>
      </w:tr>
      <w:tr w:rsidR="001E7DC5" w:rsidRPr="001E7DC5" w14:paraId="6B2FFA38" w14:textId="77777777" w:rsidTr="003E1E73">
        <w:trPr>
          <w:trHeight w:val="549"/>
        </w:trPr>
        <w:tc>
          <w:tcPr>
            <w:tcW w:w="809" w:type="pct"/>
          </w:tcPr>
          <w:p w14:paraId="2483E7F4" w14:textId="77777777" w:rsidR="001E7DC5" w:rsidRPr="001E7DC5" w:rsidRDefault="001E7DC5" w:rsidP="001E7DC5">
            <w:r w:rsidRPr="001E7DC5">
              <w:rPr>
                <w:b/>
                <w:bCs/>
              </w:rPr>
              <w:t>New South Wales</w:t>
            </w:r>
          </w:p>
        </w:tc>
        <w:tc>
          <w:tcPr>
            <w:tcW w:w="735" w:type="pct"/>
          </w:tcPr>
          <w:p w14:paraId="736637BB" w14:textId="77777777" w:rsidR="001E7DC5" w:rsidRPr="001E7DC5" w:rsidRDefault="001E7DC5" w:rsidP="001E7DC5">
            <w:r w:rsidRPr="001E7DC5">
              <w:t>31 October 2022</w:t>
            </w:r>
          </w:p>
        </w:tc>
        <w:tc>
          <w:tcPr>
            <w:tcW w:w="736" w:type="pct"/>
          </w:tcPr>
          <w:p w14:paraId="3374F4B3" w14:textId="77777777" w:rsidR="001E7DC5" w:rsidRPr="001E7DC5" w:rsidRDefault="001E7DC5" w:rsidP="001E7DC5">
            <w:r w:rsidRPr="001E7DC5">
              <w:t>n/a</w:t>
            </w:r>
          </w:p>
        </w:tc>
        <w:tc>
          <w:tcPr>
            <w:tcW w:w="809" w:type="pct"/>
          </w:tcPr>
          <w:p w14:paraId="28DC42EE" w14:textId="77777777" w:rsidR="001E7DC5" w:rsidRPr="001E7DC5" w:rsidRDefault="001E7DC5" w:rsidP="001E7DC5">
            <w:r w:rsidRPr="001E7DC5">
              <w:t>31 October 2022</w:t>
            </w:r>
          </w:p>
        </w:tc>
        <w:tc>
          <w:tcPr>
            <w:tcW w:w="882" w:type="pct"/>
          </w:tcPr>
          <w:p w14:paraId="25007E60" w14:textId="77777777" w:rsidR="001E7DC5" w:rsidRPr="001E7DC5" w:rsidRDefault="001E7DC5" w:rsidP="001E7DC5">
            <w:r w:rsidRPr="001E7DC5">
              <w:t>9 March 2023</w:t>
            </w:r>
          </w:p>
        </w:tc>
        <w:tc>
          <w:tcPr>
            <w:tcW w:w="1029" w:type="pct"/>
          </w:tcPr>
          <w:p w14:paraId="14C3D737" w14:textId="33411D02" w:rsidR="009D7549" w:rsidRDefault="001E7DC5" w:rsidP="001E7DC5">
            <w:r w:rsidRPr="001E7DC5">
              <w:t>12 December 2022</w:t>
            </w:r>
          </w:p>
          <w:p w14:paraId="1EFD0184" w14:textId="6402AC0B" w:rsidR="001E7DC5" w:rsidRPr="001E7DC5" w:rsidRDefault="001E7DC5" w:rsidP="001E7DC5">
            <w:r w:rsidRPr="001E7DC5">
              <w:t>1</w:t>
            </w:r>
            <w:r w:rsidR="00936B81">
              <w:t>1</w:t>
            </w:r>
            <w:r w:rsidRPr="001E7DC5">
              <w:t xml:space="preserve"> April 2023</w:t>
            </w:r>
            <w:r w:rsidR="00E93380">
              <w:t xml:space="preserve"> </w:t>
            </w:r>
          </w:p>
        </w:tc>
      </w:tr>
      <w:tr w:rsidR="001E7DC5" w:rsidRPr="001E7DC5" w14:paraId="42AAC7A8" w14:textId="77777777" w:rsidTr="003E1E73">
        <w:tc>
          <w:tcPr>
            <w:tcW w:w="809" w:type="pct"/>
          </w:tcPr>
          <w:p w14:paraId="2A9F2B4F" w14:textId="77777777" w:rsidR="001E7DC5" w:rsidRPr="001E7DC5" w:rsidRDefault="001E7DC5" w:rsidP="001E7DC5">
            <w:r w:rsidRPr="001E7DC5">
              <w:rPr>
                <w:b/>
                <w:bCs/>
              </w:rPr>
              <w:t>Australian Capital Territory</w:t>
            </w:r>
          </w:p>
        </w:tc>
        <w:tc>
          <w:tcPr>
            <w:tcW w:w="735" w:type="pct"/>
          </w:tcPr>
          <w:p w14:paraId="374D3E02" w14:textId="77777777" w:rsidR="001E7DC5" w:rsidRPr="001E7DC5" w:rsidRDefault="001E7DC5" w:rsidP="001E7DC5">
            <w:r w:rsidRPr="001E7DC5">
              <w:t>31 October 2022</w:t>
            </w:r>
          </w:p>
        </w:tc>
        <w:tc>
          <w:tcPr>
            <w:tcW w:w="736" w:type="pct"/>
          </w:tcPr>
          <w:p w14:paraId="29509112" w14:textId="77777777" w:rsidR="001E7DC5" w:rsidRPr="001E7DC5" w:rsidRDefault="001E7DC5" w:rsidP="001E7DC5">
            <w:r w:rsidRPr="001E7DC5">
              <w:t>n/a</w:t>
            </w:r>
          </w:p>
        </w:tc>
        <w:tc>
          <w:tcPr>
            <w:tcW w:w="809" w:type="pct"/>
          </w:tcPr>
          <w:p w14:paraId="12DA17D0" w14:textId="77777777" w:rsidR="001E7DC5" w:rsidRPr="001E7DC5" w:rsidRDefault="001E7DC5" w:rsidP="001E7DC5">
            <w:r w:rsidRPr="001E7DC5">
              <w:t>9 November 2022</w:t>
            </w:r>
          </w:p>
        </w:tc>
        <w:tc>
          <w:tcPr>
            <w:tcW w:w="882" w:type="pct"/>
          </w:tcPr>
          <w:p w14:paraId="53D049D9" w14:textId="5F16B922" w:rsidR="001E7DC5" w:rsidRPr="001E7DC5" w:rsidRDefault="001E7DC5" w:rsidP="001E7DC5">
            <w:r w:rsidRPr="001E7DC5">
              <w:t>15 Dec</w:t>
            </w:r>
            <w:r w:rsidR="009D7549">
              <w:t>ember</w:t>
            </w:r>
            <w:r w:rsidRPr="001E7DC5">
              <w:t xml:space="preserve"> 2022</w:t>
            </w:r>
          </w:p>
        </w:tc>
        <w:tc>
          <w:tcPr>
            <w:tcW w:w="1029" w:type="pct"/>
          </w:tcPr>
          <w:p w14:paraId="33E54CCC" w14:textId="764170CE" w:rsidR="009C77E4" w:rsidRDefault="001E7DC5" w:rsidP="009C77E4">
            <w:r w:rsidRPr="001E7DC5">
              <w:t>8 March 2023</w:t>
            </w:r>
            <w:r w:rsidR="00E93380">
              <w:t xml:space="preserve"> </w:t>
            </w:r>
          </w:p>
          <w:p w14:paraId="78ADE804" w14:textId="47919183" w:rsidR="001E7DC5" w:rsidRPr="001E7DC5" w:rsidRDefault="001E7DC5" w:rsidP="009C77E4">
            <w:r w:rsidRPr="001E7DC5">
              <w:t>1</w:t>
            </w:r>
            <w:r w:rsidR="00936B81">
              <w:t>1</w:t>
            </w:r>
            <w:r w:rsidRPr="001E7DC5">
              <w:t xml:space="preserve"> April 2023</w:t>
            </w:r>
            <w:r w:rsidR="00E93380">
              <w:t xml:space="preserve"> </w:t>
            </w:r>
          </w:p>
        </w:tc>
      </w:tr>
      <w:tr w:rsidR="001E7DC5" w:rsidRPr="001E7DC5" w14:paraId="2A90A220" w14:textId="77777777" w:rsidTr="003E1E73">
        <w:tc>
          <w:tcPr>
            <w:tcW w:w="809" w:type="pct"/>
          </w:tcPr>
          <w:p w14:paraId="2CBA4895" w14:textId="77777777" w:rsidR="001E7DC5" w:rsidRPr="001E7DC5" w:rsidRDefault="001E7DC5" w:rsidP="001E7DC5">
            <w:r w:rsidRPr="001E7DC5">
              <w:rPr>
                <w:b/>
                <w:bCs/>
              </w:rPr>
              <w:t>Victoria</w:t>
            </w:r>
          </w:p>
        </w:tc>
        <w:tc>
          <w:tcPr>
            <w:tcW w:w="735" w:type="pct"/>
          </w:tcPr>
          <w:p w14:paraId="017F39B9" w14:textId="77777777" w:rsidR="001E7DC5" w:rsidRPr="001E7DC5" w:rsidRDefault="001E7DC5" w:rsidP="001E7DC5">
            <w:r w:rsidRPr="001E7DC5">
              <w:t>31 October 2022</w:t>
            </w:r>
          </w:p>
        </w:tc>
        <w:tc>
          <w:tcPr>
            <w:tcW w:w="736" w:type="pct"/>
          </w:tcPr>
          <w:p w14:paraId="08D62D86" w14:textId="77777777" w:rsidR="001E7DC5" w:rsidRPr="001E7DC5" w:rsidRDefault="001E7DC5" w:rsidP="001E7DC5">
            <w:r w:rsidRPr="001E7DC5">
              <w:t>n/a</w:t>
            </w:r>
          </w:p>
        </w:tc>
        <w:tc>
          <w:tcPr>
            <w:tcW w:w="809" w:type="pct"/>
          </w:tcPr>
          <w:p w14:paraId="1B9D33D1" w14:textId="77777777" w:rsidR="001E7DC5" w:rsidRPr="001E7DC5" w:rsidRDefault="001E7DC5" w:rsidP="001E7DC5">
            <w:r w:rsidRPr="001E7DC5">
              <w:t>31 October 2022</w:t>
            </w:r>
          </w:p>
        </w:tc>
        <w:tc>
          <w:tcPr>
            <w:tcW w:w="882" w:type="pct"/>
          </w:tcPr>
          <w:p w14:paraId="78D99880" w14:textId="77777777" w:rsidR="001E7DC5" w:rsidRPr="001E7DC5" w:rsidRDefault="001E7DC5" w:rsidP="001E7DC5">
            <w:r w:rsidRPr="001E7DC5">
              <w:t>22 February 2022</w:t>
            </w:r>
          </w:p>
        </w:tc>
        <w:tc>
          <w:tcPr>
            <w:tcW w:w="1029" w:type="pct"/>
          </w:tcPr>
          <w:p w14:paraId="5EFF12B6" w14:textId="522E3E43" w:rsidR="009D7549" w:rsidRDefault="001E7DC5" w:rsidP="001E7DC5">
            <w:r w:rsidRPr="001E7DC5">
              <w:t>27 February 2023</w:t>
            </w:r>
            <w:r w:rsidR="00E93380">
              <w:t xml:space="preserve"> v1</w:t>
            </w:r>
          </w:p>
          <w:p w14:paraId="4EBC5834" w14:textId="3688200A" w:rsidR="001E7DC5" w:rsidRPr="001E7DC5" w:rsidRDefault="001E7DC5" w:rsidP="001E7DC5">
            <w:r w:rsidRPr="001E7DC5">
              <w:t>1</w:t>
            </w:r>
            <w:r w:rsidR="00936B81">
              <w:t>1</w:t>
            </w:r>
            <w:r w:rsidRPr="001E7DC5">
              <w:t xml:space="preserve"> April 2023</w:t>
            </w:r>
            <w:r w:rsidR="00E93380">
              <w:t xml:space="preserve"> </w:t>
            </w:r>
          </w:p>
        </w:tc>
      </w:tr>
      <w:tr w:rsidR="001E7DC5" w:rsidRPr="001E7DC5" w14:paraId="65136035" w14:textId="77777777" w:rsidTr="003E1E73">
        <w:trPr>
          <w:trHeight w:val="559"/>
        </w:trPr>
        <w:tc>
          <w:tcPr>
            <w:tcW w:w="809" w:type="pct"/>
          </w:tcPr>
          <w:p w14:paraId="09A87A4C" w14:textId="77777777" w:rsidR="001E7DC5" w:rsidRPr="001E7DC5" w:rsidRDefault="001E7DC5" w:rsidP="001E7DC5">
            <w:pPr>
              <w:rPr>
                <w:b/>
                <w:bCs/>
              </w:rPr>
            </w:pPr>
            <w:r w:rsidRPr="001E7DC5">
              <w:rPr>
                <w:b/>
                <w:bCs/>
              </w:rPr>
              <w:t>South Australia</w:t>
            </w:r>
          </w:p>
        </w:tc>
        <w:tc>
          <w:tcPr>
            <w:tcW w:w="735" w:type="pct"/>
          </w:tcPr>
          <w:p w14:paraId="1F6872D4" w14:textId="77777777" w:rsidR="001E7DC5" w:rsidRPr="001E7DC5" w:rsidRDefault="001E7DC5" w:rsidP="001E7DC5">
            <w:r w:rsidRPr="001E7DC5">
              <w:t>31 October 2022</w:t>
            </w:r>
          </w:p>
        </w:tc>
        <w:tc>
          <w:tcPr>
            <w:tcW w:w="736" w:type="pct"/>
          </w:tcPr>
          <w:p w14:paraId="0509F1DB" w14:textId="77777777" w:rsidR="001E7DC5" w:rsidRPr="001E7DC5" w:rsidRDefault="001E7DC5" w:rsidP="001E7DC5">
            <w:r w:rsidRPr="001E7DC5">
              <w:t>n/a</w:t>
            </w:r>
          </w:p>
        </w:tc>
        <w:tc>
          <w:tcPr>
            <w:tcW w:w="809" w:type="pct"/>
          </w:tcPr>
          <w:p w14:paraId="699012EE" w14:textId="77777777" w:rsidR="001E7DC5" w:rsidRPr="001E7DC5" w:rsidRDefault="001E7DC5" w:rsidP="001E7DC5">
            <w:r w:rsidRPr="001E7DC5">
              <w:t>31 October 2022</w:t>
            </w:r>
          </w:p>
        </w:tc>
        <w:tc>
          <w:tcPr>
            <w:tcW w:w="882" w:type="pct"/>
          </w:tcPr>
          <w:p w14:paraId="57333363" w14:textId="77777777" w:rsidR="001E7DC5" w:rsidRPr="001E7DC5" w:rsidRDefault="001E7DC5" w:rsidP="001E7DC5">
            <w:r w:rsidRPr="001E7DC5">
              <w:t>16 December 2022</w:t>
            </w:r>
          </w:p>
        </w:tc>
        <w:tc>
          <w:tcPr>
            <w:tcW w:w="1029" w:type="pct"/>
          </w:tcPr>
          <w:p w14:paraId="4D6EB798" w14:textId="1F41E41F" w:rsidR="009D7549" w:rsidRDefault="001E7DC5" w:rsidP="001E7DC5">
            <w:r w:rsidRPr="001E7DC5">
              <w:t>21 December 2022</w:t>
            </w:r>
          </w:p>
          <w:p w14:paraId="624751A0" w14:textId="3DD92D7D" w:rsidR="001E7DC5" w:rsidRPr="001E7DC5" w:rsidRDefault="009D7549" w:rsidP="001E7DC5">
            <w:r>
              <w:t>1</w:t>
            </w:r>
            <w:r w:rsidR="00936B81">
              <w:t>1</w:t>
            </w:r>
            <w:r w:rsidR="001E7DC5" w:rsidRPr="001E7DC5">
              <w:t xml:space="preserve"> April 2023</w:t>
            </w:r>
            <w:r w:rsidR="00E93380">
              <w:t xml:space="preserve"> </w:t>
            </w:r>
          </w:p>
        </w:tc>
      </w:tr>
    </w:tbl>
    <w:p w14:paraId="335EBF79" w14:textId="77777777" w:rsidR="001E7DC5" w:rsidRPr="001E7DC5" w:rsidRDefault="001E7DC5" w:rsidP="001E7DC5"/>
    <w:p w14:paraId="54E46637" w14:textId="4FB2DF0A" w:rsidR="001E7DC5" w:rsidRPr="001E7DC5" w:rsidRDefault="001E7DC5" w:rsidP="001E7DC5">
      <w:r w:rsidRPr="001E7DC5">
        <w:t>The Registers of Take report</w:t>
      </w:r>
      <w:r w:rsidRPr="001E7DC5">
        <w:rPr>
          <w:vertAlign w:val="superscript"/>
        </w:rPr>
        <w:footnoteReference w:id="10"/>
      </w:r>
      <w:r w:rsidRPr="001E7DC5">
        <w:t xml:space="preserve"> was provided by the </w:t>
      </w:r>
      <w:r w:rsidR="003C03FE">
        <w:t>MDBA</w:t>
      </w:r>
      <w:r w:rsidR="003C03FE" w:rsidRPr="001E7DC5">
        <w:t xml:space="preserve"> </w:t>
      </w:r>
      <w:r w:rsidRPr="001E7DC5">
        <w:t>to the Inspector-General, for the purposes of undertaking the SDL compliance assessment, on 8 March and again on 1</w:t>
      </w:r>
      <w:r w:rsidR="007D4407">
        <w:t>2 May</w:t>
      </w:r>
      <w:r w:rsidRPr="001E7DC5">
        <w:t xml:space="preserve"> 2023, after the identification of a data correction.</w:t>
      </w:r>
    </w:p>
    <w:p w14:paraId="3B8FD51D" w14:textId="77777777" w:rsidR="0071458D" w:rsidRPr="0071458D" w:rsidRDefault="0071458D" w:rsidP="000A1860"/>
    <w:p w14:paraId="055E89F3" w14:textId="432EC2E7" w:rsidR="00163FB4" w:rsidRDefault="00163FB4" w:rsidP="00163FB4">
      <w:pPr>
        <w:pStyle w:val="Heading1"/>
      </w:pPr>
      <w:r>
        <w:lastRenderedPageBreak/>
        <w:t>Glossary</w:t>
      </w:r>
      <w:bookmarkEnd w:id="16"/>
      <w:bookmarkEnd w:id="17"/>
    </w:p>
    <w:p w14:paraId="16DEDF89" w14:textId="77777777" w:rsidR="00163FB4" w:rsidRPr="007D7E25" w:rsidRDefault="00163FB4" w:rsidP="00163FB4">
      <w:pPr>
        <w:rPr>
          <w:b/>
          <w:bCs/>
        </w:rPr>
      </w:pPr>
      <w:bookmarkStart w:id="22" w:name="Act"/>
      <w:r w:rsidRPr="007D7E25">
        <w:rPr>
          <w:b/>
          <w:bCs/>
        </w:rPr>
        <w:t>Act</w:t>
      </w:r>
      <w:bookmarkEnd w:id="22"/>
      <w:r>
        <w:rPr>
          <w:b/>
          <w:bCs/>
        </w:rPr>
        <w:t xml:space="preserve"> </w:t>
      </w:r>
    </w:p>
    <w:p w14:paraId="7F323D58" w14:textId="77777777" w:rsidR="00163FB4" w:rsidRPr="007F274B" w:rsidRDefault="00163FB4" w:rsidP="00163FB4">
      <w:pPr>
        <w:rPr>
          <w:i/>
          <w:iCs/>
        </w:rPr>
      </w:pPr>
      <w:r>
        <w:rPr>
          <w:i/>
          <w:iCs/>
        </w:rPr>
        <w:t xml:space="preserve">Water Act 2007 </w:t>
      </w:r>
      <w:r w:rsidRPr="007F274B">
        <w:t>(Commonwealth)</w:t>
      </w:r>
    </w:p>
    <w:p w14:paraId="45684A1C" w14:textId="77777777" w:rsidR="00163FB4" w:rsidRPr="007D7E25" w:rsidRDefault="00163FB4" w:rsidP="00163FB4">
      <w:pPr>
        <w:rPr>
          <w:b/>
          <w:bCs/>
        </w:rPr>
      </w:pPr>
      <w:bookmarkStart w:id="23" w:name="Basin"/>
      <w:r w:rsidRPr="007D7E25">
        <w:rPr>
          <w:b/>
          <w:bCs/>
        </w:rPr>
        <w:t xml:space="preserve">Basin </w:t>
      </w:r>
      <w:bookmarkEnd w:id="23"/>
      <w:r w:rsidRPr="007D7E25">
        <w:rPr>
          <w:b/>
          <w:bCs/>
        </w:rPr>
        <w:t>Plan</w:t>
      </w:r>
      <w:r>
        <w:rPr>
          <w:b/>
          <w:bCs/>
        </w:rPr>
        <w:t xml:space="preserve">   </w:t>
      </w:r>
    </w:p>
    <w:p w14:paraId="4CEFF8CD" w14:textId="77777777" w:rsidR="00163FB4" w:rsidRPr="00DC2F0B" w:rsidRDefault="00163FB4" w:rsidP="00163FB4">
      <w:r w:rsidRPr="00DC2F0B">
        <w:rPr>
          <w:i/>
          <w:iCs/>
        </w:rPr>
        <w:t xml:space="preserve">Basin Plan 2012 </w:t>
      </w:r>
      <w:r w:rsidRPr="00DC2F0B">
        <w:t>(Commonwealth)</w:t>
      </w:r>
    </w:p>
    <w:p w14:paraId="2D28A824" w14:textId="77777777" w:rsidR="00163FB4" w:rsidRPr="007D7E25" w:rsidRDefault="00163FB4" w:rsidP="00163FB4">
      <w:pPr>
        <w:rPr>
          <w:b/>
          <w:bCs/>
        </w:rPr>
      </w:pPr>
      <w:bookmarkStart w:id="24" w:name="State"/>
      <w:r w:rsidRPr="007D7E25">
        <w:rPr>
          <w:b/>
          <w:bCs/>
        </w:rPr>
        <w:t xml:space="preserve">Basin </w:t>
      </w:r>
      <w:bookmarkEnd w:id="24"/>
      <w:r w:rsidRPr="007D7E25">
        <w:rPr>
          <w:b/>
          <w:bCs/>
        </w:rPr>
        <w:t>State</w:t>
      </w:r>
      <w:r>
        <w:rPr>
          <w:b/>
          <w:bCs/>
        </w:rPr>
        <w:t xml:space="preserve">  </w:t>
      </w:r>
    </w:p>
    <w:p w14:paraId="0BC7347D" w14:textId="6E29B0AF" w:rsidR="00163FB4" w:rsidRDefault="00163FB4" w:rsidP="00163FB4">
      <w:pPr>
        <w:spacing w:line="276" w:lineRule="auto"/>
        <w:rPr>
          <w:szCs w:val="20"/>
        </w:rPr>
      </w:pPr>
      <w:r>
        <w:rPr>
          <w:szCs w:val="20"/>
        </w:rPr>
        <w:t>Basin State is defined in the Water Act and means New South Wales, Victoria, Queensland, South Australia, and the Australian Capital Territory</w:t>
      </w:r>
      <w:r>
        <w:rPr>
          <w:rStyle w:val="FootnoteReference"/>
          <w:szCs w:val="20"/>
        </w:rPr>
        <w:footnoteReference w:id="11"/>
      </w:r>
      <w:r w:rsidR="00FD769D">
        <w:rPr>
          <w:szCs w:val="20"/>
        </w:rPr>
        <w:t>.</w:t>
      </w:r>
      <w:r>
        <w:rPr>
          <w:szCs w:val="20"/>
        </w:rPr>
        <w:t xml:space="preserve"> Basin States have obligations relating to SDL compliance reporting and action plans under s 71 of the Water Act and Chapter 6 of the Basin Plan.  </w:t>
      </w:r>
    </w:p>
    <w:p w14:paraId="743556DB" w14:textId="77777777" w:rsidR="00163FB4" w:rsidRDefault="00163FB4" w:rsidP="00163FB4">
      <w:pPr>
        <w:rPr>
          <w:b/>
          <w:bCs/>
        </w:rPr>
      </w:pPr>
      <w:bookmarkStart w:id="25" w:name="Bridging"/>
      <w:r>
        <w:rPr>
          <w:b/>
          <w:bCs/>
        </w:rPr>
        <w:t xml:space="preserve">Bridging the </w:t>
      </w:r>
      <w:bookmarkEnd w:id="25"/>
      <w:r>
        <w:rPr>
          <w:b/>
          <w:bCs/>
        </w:rPr>
        <w:t xml:space="preserve">gap  </w:t>
      </w:r>
    </w:p>
    <w:p w14:paraId="3D51F948" w14:textId="3C25DBDE" w:rsidR="00163FB4" w:rsidRPr="000D52F1" w:rsidRDefault="00163FB4" w:rsidP="00163FB4">
      <w:pPr>
        <w:pStyle w:val="pf0"/>
        <w:rPr>
          <w:rFonts w:ascii="Verdana" w:eastAsia="Calibri" w:hAnsi="Verdana" w:cs="Times New Roman"/>
          <w:b/>
          <w:bCs/>
          <w:sz w:val="20"/>
          <w:lang w:eastAsia="en-US"/>
        </w:rPr>
      </w:pPr>
      <w:r w:rsidRPr="00E2141C">
        <w:rPr>
          <w:rFonts w:ascii="Verdana" w:eastAsia="Calibri" w:hAnsi="Verdana" w:cs="Times New Roman"/>
          <w:sz w:val="20"/>
          <w:lang w:eastAsia="en-US"/>
        </w:rPr>
        <w:t xml:space="preserve">The long-term average sustainable diversion limits for the Basin surface water SDL resource units are </w:t>
      </w:r>
      <w:r w:rsidRPr="00045ACD">
        <w:rPr>
          <w:rFonts w:ascii="Verdana" w:eastAsia="Calibri" w:hAnsi="Verdana" w:cs="Times New Roman"/>
          <w:sz w:val="20"/>
          <w:lang w:eastAsia="en-US"/>
        </w:rPr>
        <w:t>10,945 GL per year</w:t>
      </w:r>
      <w:r w:rsidRPr="00045ACD">
        <w:rPr>
          <w:rStyle w:val="FootnoteReference"/>
          <w:rFonts w:ascii="Verdana" w:eastAsia="Calibri" w:hAnsi="Verdana" w:cs="Times New Roman"/>
          <w:sz w:val="20"/>
          <w:lang w:eastAsia="en-US"/>
        </w:rPr>
        <w:footnoteReference w:id="12"/>
      </w:r>
      <w:r w:rsidRPr="00045ACD">
        <w:rPr>
          <w:rFonts w:ascii="Verdana" w:eastAsia="Calibri" w:hAnsi="Verdana" w:cs="Times New Roman"/>
          <w:sz w:val="20"/>
          <w:lang w:eastAsia="en-US"/>
        </w:rPr>
        <w:t>. This reflects a reduction of 2,680 GL</w:t>
      </w:r>
      <w:r w:rsidRPr="00E2141C">
        <w:rPr>
          <w:rFonts w:ascii="Verdana" w:eastAsia="Calibri" w:hAnsi="Verdana" w:cs="Times New Roman"/>
          <w:sz w:val="20"/>
          <w:lang w:eastAsia="en-US"/>
        </w:rPr>
        <w:t xml:space="preserve"> per year from the estimates of the baseline diversion limits (estimated total consumptive use </w:t>
      </w:r>
      <w:r>
        <w:rPr>
          <w:rFonts w:ascii="Verdana" w:eastAsia="Calibri" w:hAnsi="Verdana" w:cs="Times New Roman"/>
          <w:sz w:val="20"/>
          <w:lang w:eastAsia="en-US"/>
        </w:rPr>
        <w:t xml:space="preserve">prior to commencement of the </w:t>
      </w:r>
      <w:r w:rsidRPr="00E2141C">
        <w:rPr>
          <w:rFonts w:ascii="Verdana" w:eastAsia="Calibri" w:hAnsi="Verdana" w:cs="Times New Roman"/>
          <w:sz w:val="20"/>
          <w:lang w:eastAsia="en-US"/>
        </w:rPr>
        <w:t>Basin Plan). The target of 2,680 GL/year is ‘bridg</w:t>
      </w:r>
      <w:r>
        <w:rPr>
          <w:rFonts w:ascii="Verdana" w:eastAsia="Calibri" w:hAnsi="Verdana" w:cs="Times New Roman"/>
          <w:sz w:val="20"/>
          <w:lang w:eastAsia="en-US"/>
        </w:rPr>
        <w:t>ing</w:t>
      </w:r>
      <w:r w:rsidRPr="00E2141C">
        <w:rPr>
          <w:rFonts w:ascii="Verdana" w:eastAsia="Calibri" w:hAnsi="Verdana" w:cs="Times New Roman"/>
          <w:sz w:val="20"/>
          <w:lang w:eastAsia="en-US"/>
        </w:rPr>
        <w:t xml:space="preserve"> the gap’ between the baseline diversion limits and the </w:t>
      </w:r>
      <w:r>
        <w:rPr>
          <w:rFonts w:ascii="Verdana" w:eastAsia="Calibri" w:hAnsi="Verdana" w:cs="Times New Roman"/>
          <w:sz w:val="20"/>
          <w:lang w:eastAsia="en-US"/>
        </w:rPr>
        <w:t>s</w:t>
      </w:r>
      <w:r w:rsidRPr="00E2141C">
        <w:rPr>
          <w:rFonts w:ascii="Verdana" w:eastAsia="Calibri" w:hAnsi="Verdana" w:cs="Times New Roman"/>
          <w:sz w:val="20"/>
          <w:lang w:eastAsia="en-US"/>
        </w:rPr>
        <w:t xml:space="preserve">ustainable </w:t>
      </w:r>
      <w:r>
        <w:rPr>
          <w:rFonts w:ascii="Verdana" w:eastAsia="Calibri" w:hAnsi="Verdana" w:cs="Times New Roman"/>
          <w:sz w:val="20"/>
          <w:lang w:eastAsia="en-US"/>
        </w:rPr>
        <w:t>d</w:t>
      </w:r>
      <w:r w:rsidRPr="00E2141C">
        <w:rPr>
          <w:rFonts w:ascii="Verdana" w:eastAsia="Calibri" w:hAnsi="Verdana" w:cs="Times New Roman"/>
          <w:sz w:val="20"/>
          <w:lang w:eastAsia="en-US"/>
        </w:rPr>
        <w:t xml:space="preserve">iversion </w:t>
      </w:r>
      <w:r>
        <w:rPr>
          <w:rFonts w:ascii="Verdana" w:eastAsia="Calibri" w:hAnsi="Verdana" w:cs="Times New Roman"/>
          <w:sz w:val="20"/>
          <w:lang w:eastAsia="en-US"/>
        </w:rPr>
        <w:t>l</w:t>
      </w:r>
      <w:r w:rsidRPr="00E2141C">
        <w:rPr>
          <w:rFonts w:ascii="Verdana" w:eastAsia="Calibri" w:hAnsi="Verdana" w:cs="Times New Roman"/>
          <w:sz w:val="20"/>
          <w:lang w:eastAsia="en-US"/>
        </w:rPr>
        <w:t>imit. Supply</w:t>
      </w:r>
      <w:r w:rsidR="00376F5D">
        <w:rPr>
          <w:rFonts w:ascii="Verdana" w:eastAsia="Calibri" w:hAnsi="Verdana" w:cs="Times New Roman"/>
          <w:sz w:val="20"/>
          <w:lang w:eastAsia="en-US"/>
        </w:rPr>
        <w:t xml:space="preserve"> and</w:t>
      </w:r>
      <w:r w:rsidRPr="00E2141C">
        <w:rPr>
          <w:rFonts w:ascii="Verdana" w:eastAsia="Calibri" w:hAnsi="Verdana" w:cs="Times New Roman"/>
          <w:sz w:val="20"/>
          <w:lang w:eastAsia="en-US"/>
        </w:rPr>
        <w:t xml:space="preserve"> constraints</w:t>
      </w:r>
      <w:r w:rsidRPr="004D6C38">
        <w:rPr>
          <w:rFonts w:ascii="Verdana" w:eastAsia="Calibri" w:hAnsi="Verdana" w:cs="Times New Roman"/>
          <w:sz w:val="20"/>
          <w:highlight w:val="yellow"/>
          <w:lang w:eastAsia="en-US"/>
        </w:rPr>
        <w:t xml:space="preserve"> </w:t>
      </w:r>
      <w:r w:rsidRPr="00376F5D">
        <w:rPr>
          <w:rFonts w:ascii="Verdana" w:eastAsia="Calibri" w:hAnsi="Verdana" w:cs="Times New Roman"/>
          <w:sz w:val="20"/>
          <w:lang w:eastAsia="en-US"/>
        </w:rPr>
        <w:t>projects</w:t>
      </w:r>
      <w:r w:rsidRPr="00E2141C">
        <w:rPr>
          <w:rFonts w:ascii="Verdana" w:eastAsia="Calibri" w:hAnsi="Verdana" w:cs="Times New Roman"/>
          <w:sz w:val="20"/>
          <w:lang w:eastAsia="en-US"/>
        </w:rPr>
        <w:t xml:space="preserve"> that improve river management practices for environmental water delivery, contribute to </w:t>
      </w:r>
      <w:r>
        <w:rPr>
          <w:rFonts w:ascii="Verdana" w:eastAsia="Calibri" w:hAnsi="Verdana" w:cs="Times New Roman"/>
          <w:sz w:val="20"/>
          <w:lang w:eastAsia="en-US"/>
        </w:rPr>
        <w:t>‘</w:t>
      </w:r>
      <w:r w:rsidRPr="00E2141C">
        <w:rPr>
          <w:rFonts w:ascii="Verdana" w:eastAsia="Calibri" w:hAnsi="Verdana" w:cs="Times New Roman"/>
          <w:sz w:val="20"/>
          <w:lang w:eastAsia="en-US"/>
        </w:rPr>
        <w:t>bridg</w:t>
      </w:r>
      <w:r>
        <w:rPr>
          <w:rFonts w:ascii="Verdana" w:eastAsia="Calibri" w:hAnsi="Verdana" w:cs="Times New Roman"/>
          <w:sz w:val="20"/>
          <w:lang w:eastAsia="en-US"/>
        </w:rPr>
        <w:t>e</w:t>
      </w:r>
      <w:r w:rsidRPr="00E2141C">
        <w:rPr>
          <w:rFonts w:ascii="Verdana" w:eastAsia="Calibri" w:hAnsi="Verdana" w:cs="Times New Roman"/>
          <w:sz w:val="20"/>
          <w:lang w:eastAsia="en-US"/>
        </w:rPr>
        <w:t xml:space="preserve"> the gap</w:t>
      </w:r>
      <w:r>
        <w:rPr>
          <w:rFonts w:ascii="Verdana" w:eastAsia="Calibri" w:hAnsi="Verdana" w:cs="Times New Roman"/>
          <w:sz w:val="20"/>
          <w:lang w:eastAsia="en-US"/>
        </w:rPr>
        <w:t>’</w:t>
      </w:r>
      <w:r w:rsidRPr="00E2141C">
        <w:rPr>
          <w:rFonts w:ascii="Verdana" w:eastAsia="Calibri" w:hAnsi="Verdana" w:cs="Times New Roman"/>
          <w:sz w:val="20"/>
          <w:lang w:eastAsia="en-US"/>
        </w:rPr>
        <w:t xml:space="preserve">. The ‘bridging the gap’ target has not been met and is referred to as </w:t>
      </w:r>
      <w:r w:rsidRPr="000D52F1">
        <w:rPr>
          <w:rFonts w:ascii="Verdana" w:eastAsia="Calibri" w:hAnsi="Verdana" w:cs="Times New Roman"/>
          <w:b/>
          <w:bCs/>
          <w:sz w:val="20"/>
          <w:lang w:eastAsia="en-US"/>
        </w:rPr>
        <w:fldChar w:fldCharType="begin"/>
      </w:r>
      <w:r w:rsidRPr="000D52F1">
        <w:rPr>
          <w:rFonts w:ascii="Verdana" w:eastAsia="Calibri" w:hAnsi="Verdana" w:cs="Times New Roman"/>
          <w:b/>
          <w:bCs/>
          <w:sz w:val="20"/>
          <w:lang w:eastAsia="en-US"/>
        </w:rPr>
        <w:instrText xml:space="preserve"> REF Incomplete \h </w:instrText>
      </w:r>
      <w:r w:rsidR="00561D2B" w:rsidRPr="000D52F1">
        <w:rPr>
          <w:rFonts w:ascii="Verdana" w:eastAsia="Calibri" w:hAnsi="Verdana" w:cs="Times New Roman"/>
          <w:b/>
          <w:bCs/>
          <w:sz w:val="20"/>
          <w:lang w:eastAsia="en-US"/>
        </w:rPr>
        <w:instrText xml:space="preserve"> \* MERGEFORMAT </w:instrText>
      </w:r>
      <w:r w:rsidRPr="000D52F1">
        <w:rPr>
          <w:rFonts w:ascii="Verdana" w:eastAsia="Calibri" w:hAnsi="Verdana" w:cs="Times New Roman"/>
          <w:b/>
          <w:bCs/>
          <w:sz w:val="20"/>
          <w:lang w:eastAsia="en-US"/>
        </w:rPr>
      </w:r>
      <w:r w:rsidRPr="000D52F1">
        <w:rPr>
          <w:rFonts w:ascii="Verdana" w:eastAsia="Calibri" w:hAnsi="Verdana" w:cs="Times New Roman"/>
          <w:b/>
          <w:bCs/>
          <w:sz w:val="20"/>
          <w:lang w:eastAsia="en-US"/>
        </w:rPr>
        <w:fldChar w:fldCharType="separate"/>
      </w:r>
      <w:r w:rsidR="0010165E">
        <w:rPr>
          <w:rFonts w:ascii="Verdana" w:eastAsia="Calibri" w:hAnsi="Verdana" w:cs="Times New Roman"/>
          <w:b/>
          <w:bCs/>
          <w:sz w:val="20"/>
          <w:lang w:eastAsia="en-US"/>
        </w:rPr>
        <w:t xml:space="preserve">Incomplete </w:t>
      </w:r>
      <w:r w:rsidR="0010165E" w:rsidRPr="00C501A1">
        <w:rPr>
          <w:rFonts w:ascii="Verdana" w:eastAsia="Calibri" w:hAnsi="Verdana" w:cs="Times New Roman"/>
          <w:b/>
          <w:bCs/>
          <w:sz w:val="20"/>
          <w:lang w:eastAsia="en-US"/>
        </w:rPr>
        <w:t>water</w:t>
      </w:r>
      <w:r w:rsidR="0010165E" w:rsidRPr="000C5F14">
        <w:rPr>
          <w:rFonts w:ascii="Verdana" w:eastAsia="Calibri" w:hAnsi="Verdana" w:cs="Times New Roman"/>
          <w:b/>
          <w:bCs/>
          <w:sz w:val="20"/>
          <w:lang w:eastAsia="en-US"/>
        </w:rPr>
        <w:t xml:space="preserve"> </w:t>
      </w:r>
      <w:r w:rsidRPr="000D52F1">
        <w:rPr>
          <w:rFonts w:ascii="Verdana" w:eastAsia="Calibri" w:hAnsi="Verdana" w:cs="Times New Roman"/>
          <w:b/>
          <w:bCs/>
          <w:sz w:val="20"/>
          <w:lang w:eastAsia="en-US"/>
        </w:rPr>
        <w:fldChar w:fldCharType="end"/>
      </w:r>
      <w:r w:rsidRPr="000D52F1">
        <w:rPr>
          <w:rFonts w:ascii="Verdana" w:eastAsia="Calibri" w:hAnsi="Verdana" w:cs="Times New Roman"/>
          <w:b/>
          <w:bCs/>
          <w:sz w:val="20"/>
          <w:lang w:eastAsia="en-US"/>
        </w:rPr>
        <w:t>recovery.</w:t>
      </w:r>
    </w:p>
    <w:p w14:paraId="0CD52463" w14:textId="77777777" w:rsidR="00163FB4" w:rsidRPr="00E2141C" w:rsidRDefault="00163FB4" w:rsidP="00163FB4">
      <w:pPr>
        <w:pStyle w:val="pf0"/>
        <w:rPr>
          <w:rFonts w:ascii="Verdana" w:eastAsia="Calibri" w:hAnsi="Verdana" w:cs="Times New Roman"/>
          <w:sz w:val="20"/>
          <w:lang w:eastAsia="en-US"/>
        </w:rPr>
      </w:pPr>
      <w:r w:rsidRPr="006955EA">
        <w:rPr>
          <w:rFonts w:ascii="Verdana" w:eastAsia="Calibri" w:hAnsi="Verdana" w:cs="Times New Roman"/>
          <w:sz w:val="20"/>
          <w:lang w:eastAsia="en-US"/>
        </w:rPr>
        <w:t xml:space="preserve">Under ‘Bridging the Gap’ there is also a </w:t>
      </w:r>
      <w:r>
        <w:rPr>
          <w:rFonts w:ascii="Verdana" w:eastAsia="Calibri" w:hAnsi="Verdana" w:cs="Times New Roman"/>
          <w:sz w:val="20"/>
          <w:lang w:eastAsia="en-US"/>
        </w:rPr>
        <w:t xml:space="preserve">remaining </w:t>
      </w:r>
      <w:r w:rsidRPr="006955EA">
        <w:rPr>
          <w:rFonts w:ascii="Verdana" w:eastAsia="Calibri" w:hAnsi="Verdana" w:cs="Times New Roman"/>
          <w:sz w:val="20"/>
          <w:lang w:eastAsia="en-US"/>
        </w:rPr>
        <w:t xml:space="preserve">target for groundwater </w:t>
      </w:r>
      <w:r>
        <w:rPr>
          <w:rFonts w:ascii="Verdana" w:eastAsia="Calibri" w:hAnsi="Verdana" w:cs="Times New Roman"/>
          <w:sz w:val="20"/>
          <w:lang w:eastAsia="en-US"/>
        </w:rPr>
        <w:t>of 38.45 GL per year in Upper Condamine Alluvium (Central Condamine Alluvium) and Upper Condamine Alluvium (Tributaries).</w:t>
      </w:r>
    </w:p>
    <w:p w14:paraId="67E1ACA6" w14:textId="77777777" w:rsidR="00163FB4" w:rsidRPr="007D7E25" w:rsidRDefault="00163FB4" w:rsidP="00163FB4">
      <w:pPr>
        <w:rPr>
          <w:b/>
          <w:bCs/>
        </w:rPr>
      </w:pPr>
      <w:r w:rsidRPr="007D7E25">
        <w:rPr>
          <w:b/>
          <w:bCs/>
        </w:rPr>
        <w:t>Cumulative balance</w:t>
      </w:r>
    </w:p>
    <w:p w14:paraId="57A94F78" w14:textId="77777777" w:rsidR="00163FB4" w:rsidRDefault="00163FB4" w:rsidP="00163FB4">
      <w:r>
        <w:t xml:space="preserve">For surface water SDL resource units, each year the actual take is subtracted from the permitted take to generate a debit (where actual take is more than permitted take) or a credit (where actual take is less than permitted take). Over time, these debits and credits generate a </w:t>
      </w:r>
      <w:r w:rsidRPr="00817805">
        <w:rPr>
          <w:b/>
          <w:bCs/>
        </w:rPr>
        <w:t>cumulative balance</w:t>
      </w:r>
      <w:r>
        <w:t xml:space="preserve">. The </w:t>
      </w:r>
      <w:r w:rsidRPr="003C3D7A">
        <w:rPr>
          <w:b/>
          <w:bCs/>
        </w:rPr>
        <w:t>surface water SDL compliance threshold</w:t>
      </w:r>
      <w:r>
        <w:t xml:space="preserve"> is when the cumulative balance for an SDL resource unit is a debit equal to or greater than 20% of the SDL.</w:t>
      </w:r>
    </w:p>
    <w:p w14:paraId="155A8F67" w14:textId="46130F65" w:rsidR="00163FB4" w:rsidRPr="007D7E25" w:rsidRDefault="00163FB4" w:rsidP="00163FB4">
      <w:pPr>
        <w:rPr>
          <w:b/>
          <w:bCs/>
        </w:rPr>
      </w:pPr>
      <w:bookmarkStart w:id="26" w:name="Exceedance"/>
      <w:r w:rsidRPr="007D7E25">
        <w:rPr>
          <w:b/>
          <w:bCs/>
        </w:rPr>
        <w:t>Exceedance</w:t>
      </w:r>
      <w:bookmarkEnd w:id="26"/>
    </w:p>
    <w:p w14:paraId="4E3C2FF8" w14:textId="77777777" w:rsidR="00163FB4" w:rsidRDefault="00163FB4" w:rsidP="00163FB4">
      <w:r>
        <w:t xml:space="preserve">The term ‘exceedance’ to refer to </w:t>
      </w:r>
      <w:r w:rsidRPr="00C731E5">
        <w:rPr>
          <w:szCs w:val="20"/>
        </w:rPr>
        <w:t>circumstances where the Register</w:t>
      </w:r>
      <w:r>
        <w:rPr>
          <w:szCs w:val="20"/>
        </w:rPr>
        <w:t>s of Take</w:t>
      </w:r>
      <w:r w:rsidRPr="00C731E5">
        <w:rPr>
          <w:szCs w:val="20"/>
        </w:rPr>
        <w:t xml:space="preserve"> records actual take that exceeds permitted take (cumulatively) but has not reached the SDL compliance threshold of 'excess'.</w:t>
      </w:r>
    </w:p>
    <w:p w14:paraId="760916DB" w14:textId="77777777" w:rsidR="00163FB4" w:rsidRDefault="00163FB4" w:rsidP="00163FB4">
      <w:pPr>
        <w:spacing w:after="0"/>
        <w:rPr>
          <w:b/>
          <w:bCs/>
        </w:rPr>
      </w:pPr>
      <w:r>
        <w:rPr>
          <w:b/>
          <w:bCs/>
        </w:rPr>
        <w:br w:type="page"/>
      </w:r>
    </w:p>
    <w:p w14:paraId="55BEC0A0" w14:textId="77777777" w:rsidR="00163FB4" w:rsidRDefault="00163FB4" w:rsidP="00163FB4">
      <w:pPr>
        <w:rPr>
          <w:b/>
          <w:bCs/>
        </w:rPr>
      </w:pPr>
    </w:p>
    <w:p w14:paraId="11F097B7" w14:textId="6442609E" w:rsidR="00163FB4" w:rsidRPr="007D7E25" w:rsidRDefault="00163FB4" w:rsidP="00163FB4">
      <w:pPr>
        <w:rPr>
          <w:b/>
          <w:bCs/>
        </w:rPr>
      </w:pPr>
      <w:bookmarkStart w:id="27" w:name="Excess"/>
      <w:r w:rsidRPr="007D7E25">
        <w:rPr>
          <w:b/>
          <w:bCs/>
        </w:rPr>
        <w:t>Excess</w:t>
      </w:r>
      <w:bookmarkEnd w:id="27"/>
    </w:p>
    <w:p w14:paraId="55F8F5EF" w14:textId="7C511177" w:rsidR="00163FB4" w:rsidRDefault="00163FB4" w:rsidP="00163FB4">
      <w:r>
        <w:t>The term ‘excess’ has a specific meaning in the Basin Plan</w:t>
      </w:r>
      <w:r>
        <w:rPr>
          <w:rStyle w:val="FootnoteReference"/>
        </w:rPr>
        <w:footnoteReference w:id="13"/>
      </w:r>
      <w:r w:rsidR="00531622">
        <w:t>:</w:t>
      </w:r>
      <w:r>
        <w:t xml:space="preserve"> </w:t>
      </w:r>
    </w:p>
    <w:p w14:paraId="4AFFC357" w14:textId="77777777" w:rsidR="00163FB4" w:rsidRDefault="00163FB4" w:rsidP="00163FB4">
      <w:pPr>
        <w:ind w:left="720"/>
      </w:pPr>
      <w:r>
        <w:t xml:space="preserve">For </w:t>
      </w:r>
      <w:r w:rsidRPr="00232EE0">
        <w:rPr>
          <w:b/>
        </w:rPr>
        <w:t>surface water</w:t>
      </w:r>
      <w:r>
        <w:t xml:space="preserve"> SDL resource units, an excess occurs when th</w:t>
      </w:r>
      <w:r w:rsidRPr="00C60AC3">
        <w:t xml:space="preserve">e </w:t>
      </w:r>
      <w:r w:rsidRPr="000517F7">
        <w:rPr>
          <w:b/>
          <w:bCs/>
        </w:rPr>
        <w:t>cumulative balance</w:t>
      </w:r>
      <w:r w:rsidRPr="00C60AC3">
        <w:t xml:space="preserve"> on </w:t>
      </w:r>
      <w:r>
        <w:t>the relevant</w:t>
      </w:r>
      <w:r w:rsidRPr="00C60AC3">
        <w:t xml:space="preserve"> Register is a debit amount equal to or greater than 20% of the SDL</w:t>
      </w:r>
      <w:r>
        <w:t>.</w:t>
      </w:r>
    </w:p>
    <w:p w14:paraId="50F5C190" w14:textId="77777777" w:rsidR="00163FB4" w:rsidRDefault="00163FB4" w:rsidP="00163FB4">
      <w:pPr>
        <w:ind w:left="720"/>
      </w:pPr>
      <w:r>
        <w:t xml:space="preserve">For </w:t>
      </w:r>
      <w:r w:rsidRPr="00232EE0">
        <w:rPr>
          <w:b/>
        </w:rPr>
        <w:t>groundwater</w:t>
      </w:r>
      <w:r>
        <w:t xml:space="preserve"> SDL resource units, in any accounting period up to 2028, an excess occurs when the sum of actual take for all years since 2019 is greater than the sum of permitted take for those years, plus 20% of the SDL. For accounting periods after 2028, an excess occurs if the average annual take over the previous 10 years exceeds the average permitted take over that period.</w:t>
      </w:r>
    </w:p>
    <w:p w14:paraId="7F0F8CCC" w14:textId="77777777" w:rsidR="00163FB4" w:rsidRDefault="00163FB4" w:rsidP="00163FB4">
      <w:pPr>
        <w:pStyle w:val="pf0"/>
      </w:pPr>
      <w:bookmarkStart w:id="28" w:name="Incomplete"/>
      <w:r>
        <w:rPr>
          <w:rFonts w:ascii="Verdana" w:eastAsia="Calibri" w:hAnsi="Verdana" w:cs="Times New Roman"/>
          <w:b/>
          <w:bCs/>
          <w:sz w:val="20"/>
          <w:lang w:eastAsia="en-US"/>
        </w:rPr>
        <w:t xml:space="preserve">Incomplete </w:t>
      </w:r>
      <w:r w:rsidRPr="00C501A1">
        <w:rPr>
          <w:rFonts w:ascii="Verdana" w:eastAsia="Calibri" w:hAnsi="Verdana" w:cs="Times New Roman"/>
          <w:b/>
          <w:bCs/>
          <w:sz w:val="20"/>
          <w:lang w:eastAsia="en-US"/>
        </w:rPr>
        <w:t>water</w:t>
      </w:r>
      <w:r w:rsidRPr="000C5F14">
        <w:rPr>
          <w:rFonts w:ascii="Verdana" w:eastAsia="Calibri" w:hAnsi="Verdana" w:cs="Times New Roman"/>
          <w:b/>
          <w:bCs/>
          <w:sz w:val="20"/>
          <w:lang w:eastAsia="en-US"/>
        </w:rPr>
        <w:t xml:space="preserve"> </w:t>
      </w:r>
      <w:bookmarkEnd w:id="28"/>
      <w:r w:rsidRPr="000C5F14">
        <w:rPr>
          <w:rFonts w:ascii="Verdana" w:eastAsia="Calibri" w:hAnsi="Verdana" w:cs="Times New Roman"/>
          <w:b/>
          <w:bCs/>
          <w:sz w:val="20"/>
          <w:lang w:eastAsia="en-US"/>
        </w:rPr>
        <w:t>recover</w:t>
      </w:r>
      <w:r>
        <w:rPr>
          <w:rFonts w:ascii="Verdana" w:eastAsia="Calibri" w:hAnsi="Verdana" w:cs="Times New Roman"/>
          <w:b/>
          <w:bCs/>
          <w:sz w:val="20"/>
          <w:lang w:eastAsia="en-US"/>
        </w:rPr>
        <w:t xml:space="preserve">y  </w:t>
      </w:r>
    </w:p>
    <w:p w14:paraId="129965FF" w14:textId="07B71388" w:rsidR="00163FB4" w:rsidRDefault="00163FB4" w:rsidP="00163FB4">
      <w:pPr>
        <w:pStyle w:val="pf0"/>
        <w:rPr>
          <w:rFonts w:ascii="Verdana" w:eastAsia="Calibri" w:hAnsi="Verdana" w:cs="Times New Roman"/>
          <w:sz w:val="20"/>
          <w:lang w:eastAsia="en-US"/>
        </w:rPr>
      </w:pPr>
      <w:r w:rsidRPr="00C501A1">
        <w:rPr>
          <w:rFonts w:ascii="Verdana" w:eastAsia="Calibri" w:hAnsi="Verdana" w:cs="Times New Roman"/>
          <w:sz w:val="20"/>
          <w:lang w:eastAsia="en-US"/>
        </w:rPr>
        <w:t>The water recovery targets are for the purpose of 'bridging the gap' and recover water for the environment. Any unrecovered water (incomplete water recovery) remains in the consumptive entitlements and may be available and used as annual actual take (AAT). Therefore, the Registers of take are adjusted to credit the surface water cumulative balance and added to the compliance trigger for groundwater, to not affect the States compliance with the SDLs due to incomplete water recovery.</w:t>
      </w:r>
    </w:p>
    <w:p w14:paraId="21EAB317" w14:textId="77777777" w:rsidR="00163FB4" w:rsidRPr="00B35F35" w:rsidRDefault="00163FB4" w:rsidP="00163FB4">
      <w:pPr>
        <w:pStyle w:val="pf0"/>
        <w:rPr>
          <w:rFonts w:ascii="Verdana" w:eastAsia="Calibri" w:hAnsi="Verdana" w:cs="Times New Roman"/>
          <w:b/>
          <w:bCs/>
          <w:sz w:val="20"/>
          <w:lang w:eastAsia="en-US"/>
        </w:rPr>
      </w:pPr>
      <w:r w:rsidRPr="00B35F35">
        <w:rPr>
          <w:rFonts w:ascii="Verdana" w:eastAsia="Calibri" w:hAnsi="Verdana" w:cs="Times New Roman"/>
          <w:b/>
          <w:bCs/>
          <w:sz w:val="20"/>
          <w:lang w:eastAsia="en-US"/>
        </w:rPr>
        <w:t>LTAAEL</w:t>
      </w:r>
    </w:p>
    <w:p w14:paraId="43E54FD3" w14:textId="15750DCB" w:rsidR="00163FB4" w:rsidRPr="00B11BC0" w:rsidRDefault="00163FB4" w:rsidP="00163FB4">
      <w:r w:rsidRPr="0038752D">
        <w:rPr>
          <w:b/>
          <w:bCs/>
        </w:rPr>
        <w:t>Long-term Average Annual Extraction Limit</w:t>
      </w:r>
      <w:r>
        <w:t xml:space="preserve"> - The LTAAEL is </w:t>
      </w:r>
      <w:r w:rsidR="00BE0724">
        <w:t xml:space="preserve">a </w:t>
      </w:r>
      <w:r>
        <w:t>definition, rather than a fixed number</w:t>
      </w:r>
      <w:r w:rsidR="001D7DF6">
        <w:t xml:space="preserve">, used </w:t>
      </w:r>
      <w:r w:rsidR="000E4063">
        <w:t>in</w:t>
      </w:r>
      <w:r w:rsidR="001D7DF6">
        <w:t xml:space="preserve"> New South Wales</w:t>
      </w:r>
      <w:r>
        <w:t>, in inland surface water regulated river water sharing plans and the Barwon-Darling Unregulated River water sharing plan. Models are used to test what would have happened based on infrastructure, level of development and rules in place for entitlements and environmental water as of 1999/2000</w:t>
      </w:r>
      <w:r>
        <w:rPr>
          <w:rStyle w:val="FootnoteReference"/>
        </w:rPr>
        <w:footnoteReference w:id="14"/>
      </w:r>
      <w:r>
        <w:t>.</w:t>
      </w:r>
    </w:p>
    <w:p w14:paraId="4F341CA8" w14:textId="77777777" w:rsidR="00163FB4" w:rsidRPr="007D7E25" w:rsidRDefault="00163FB4" w:rsidP="00163FB4">
      <w:pPr>
        <w:rPr>
          <w:b/>
          <w:bCs/>
        </w:rPr>
      </w:pPr>
      <w:bookmarkStart w:id="29" w:name="threshold"/>
      <w:r w:rsidRPr="007D7E25">
        <w:rPr>
          <w:b/>
          <w:bCs/>
        </w:rPr>
        <w:t xml:space="preserve">SDL compliance </w:t>
      </w:r>
      <w:bookmarkEnd w:id="29"/>
      <w:r w:rsidRPr="007D7E25">
        <w:rPr>
          <w:b/>
          <w:bCs/>
        </w:rPr>
        <w:t>threshold</w:t>
      </w:r>
    </w:p>
    <w:p w14:paraId="1D3C2C0E" w14:textId="77777777" w:rsidR="00163FB4" w:rsidRDefault="00163FB4" w:rsidP="00163FB4">
      <w:r>
        <w:t>The point at which the Register for an SDL resource unit records an ‘excess’ (see definition of excess above). Once the SDL compliance threshold is reached, certain obligations and actions under the Water Act and Basin Plan are triggered.</w:t>
      </w:r>
      <w:r>
        <w:rPr>
          <w:rStyle w:val="FootnoteReference"/>
        </w:rPr>
        <w:footnoteReference w:id="15"/>
      </w:r>
      <w:r>
        <w:t xml:space="preserve"> </w:t>
      </w:r>
    </w:p>
    <w:p w14:paraId="2872D274" w14:textId="77777777" w:rsidR="00163FB4" w:rsidRPr="006773BD" w:rsidRDefault="00163FB4" w:rsidP="00163FB4"/>
    <w:p w14:paraId="717B8C63" w14:textId="77777777" w:rsidR="001C6EE7" w:rsidRPr="007935B6" w:rsidRDefault="001C6EE7" w:rsidP="007935B6"/>
    <w:sectPr w:rsidR="001C6EE7" w:rsidRPr="007935B6" w:rsidSect="00784743">
      <w:pgSz w:w="11906" w:h="16838" w:code="9"/>
      <w:pgMar w:top="1284" w:right="1134" w:bottom="816" w:left="1134" w:header="425" w:footer="9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B3687" w14:textId="77777777" w:rsidR="006819C3" w:rsidRDefault="006819C3">
      <w:pPr>
        <w:spacing w:after="0"/>
      </w:pPr>
      <w:r>
        <w:separator/>
      </w:r>
    </w:p>
  </w:endnote>
  <w:endnote w:type="continuationSeparator" w:id="0">
    <w:p w14:paraId="33E9CAFB" w14:textId="77777777" w:rsidR="006819C3" w:rsidRDefault="006819C3">
      <w:pPr>
        <w:spacing w:after="0"/>
      </w:pPr>
      <w:r>
        <w:continuationSeparator/>
      </w:r>
    </w:p>
  </w:endnote>
  <w:endnote w:type="continuationNotice" w:id="1">
    <w:p w14:paraId="090FB746" w14:textId="77777777" w:rsidR="006819C3" w:rsidRDefault="006819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 Grotesk">
    <w:altName w:val="Calibri"/>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6FD7" w14:textId="77777777" w:rsidR="0046450A" w:rsidRPr="00473F5B" w:rsidRDefault="00AD6FA7" w:rsidP="005667F4">
    <w:pPr>
      <w:pStyle w:val="Footer"/>
      <w:tabs>
        <w:tab w:val="clear" w:pos="4513"/>
        <w:tab w:val="clear" w:pos="9026"/>
        <w:tab w:val="right" w:pos="9638"/>
      </w:tabs>
      <w:jc w:val="right"/>
    </w:pPr>
    <w:r>
      <w:t>Inspector-General of Water Compliance</w:t>
    </w:r>
    <w:r w:rsidR="009C057B">
      <w:tab/>
    </w:r>
    <w:r w:rsidR="009C057B">
      <w:tab/>
    </w:r>
    <w:r>
      <w:fldChar w:fldCharType="begin"/>
    </w:r>
    <w:r>
      <w:instrText xml:space="preserve"> PAGE   \* MERGEFORMAT </w:instrText>
    </w:r>
    <w:r>
      <w:fldChar w:fldCharType="separate"/>
    </w:r>
    <w: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1AEA" w14:textId="77777777" w:rsidR="009F0367" w:rsidRPr="002C07A5" w:rsidRDefault="009F0367" w:rsidP="002C07A5">
    <w:pPr>
      <w:pStyle w:val="Footer"/>
      <w:tabs>
        <w:tab w:val="clear" w:pos="4513"/>
        <w:tab w:val="clear" w:pos="9026"/>
        <w:tab w:val="right" w:pos="9638"/>
      </w:tabs>
      <w:rPr>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1F7E" w14:textId="77777777" w:rsidR="00B25458" w:rsidRPr="005F19D1" w:rsidRDefault="00AD6FA7" w:rsidP="00E36C58">
    <w:pPr>
      <w:pStyle w:val="Footer"/>
      <w:jc w:val="right"/>
    </w:pPr>
    <w:r>
      <w:t xml:space="preserve">Inspector-General of Water Compliance </w:t>
    </w:r>
    <w:r>
      <w:tab/>
    </w:r>
    <w:r>
      <w:tab/>
    </w:r>
    <w:sdt>
      <w:sdtPr>
        <w:id w:val="-6222307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17</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72278" w14:textId="77777777" w:rsidR="006819C3" w:rsidRDefault="006819C3">
      <w:r>
        <w:separator/>
      </w:r>
    </w:p>
  </w:footnote>
  <w:footnote w:type="continuationSeparator" w:id="0">
    <w:p w14:paraId="4EEE007A" w14:textId="77777777" w:rsidR="006819C3" w:rsidRDefault="006819C3">
      <w:r>
        <w:continuationSeparator/>
      </w:r>
    </w:p>
  </w:footnote>
  <w:footnote w:type="continuationNotice" w:id="1">
    <w:p w14:paraId="44A2612D" w14:textId="77777777" w:rsidR="006819C3" w:rsidRDefault="006819C3">
      <w:pPr>
        <w:spacing w:after="0"/>
      </w:pPr>
    </w:p>
  </w:footnote>
  <w:footnote w:id="2">
    <w:p w14:paraId="1B1F009C" w14:textId="21CA0A6E" w:rsidR="00E72E16" w:rsidRPr="0070566F" w:rsidRDefault="00E72E16">
      <w:pPr>
        <w:pStyle w:val="FootnoteText"/>
        <w:rPr>
          <w:rFonts w:ascii="Verdana" w:hAnsi="Verdana"/>
          <w:sz w:val="14"/>
          <w:szCs w:val="18"/>
        </w:rPr>
      </w:pPr>
      <w:r w:rsidRPr="0070566F">
        <w:rPr>
          <w:rStyle w:val="FootnoteReference"/>
          <w:rFonts w:ascii="Verdana" w:hAnsi="Verdana"/>
          <w:sz w:val="14"/>
          <w:szCs w:val="18"/>
        </w:rPr>
        <w:footnoteRef/>
      </w:r>
      <w:r w:rsidRPr="0070566F">
        <w:rPr>
          <w:rFonts w:ascii="Verdana" w:hAnsi="Verdana"/>
          <w:sz w:val="14"/>
          <w:szCs w:val="18"/>
        </w:rPr>
        <w:t xml:space="preserve"> </w:t>
      </w:r>
      <w:r w:rsidR="00F57757" w:rsidRPr="0070566F">
        <w:rPr>
          <w:rFonts w:ascii="Verdana" w:hAnsi="Verdana"/>
          <w:sz w:val="14"/>
          <w:szCs w:val="18"/>
        </w:rPr>
        <w:t>Sustainable Diversion Limit Registers of Take report 2021-2022</w:t>
      </w:r>
    </w:p>
  </w:footnote>
  <w:footnote w:id="3">
    <w:p w14:paraId="593C6FCD" w14:textId="4C4E98EE" w:rsidR="00814C91" w:rsidRDefault="00814C91">
      <w:pPr>
        <w:pStyle w:val="FootnoteText"/>
      </w:pPr>
      <w:r w:rsidRPr="0070566F">
        <w:rPr>
          <w:rStyle w:val="FootnoteReference"/>
          <w:rFonts w:ascii="Verdana" w:hAnsi="Verdana"/>
          <w:sz w:val="14"/>
          <w:szCs w:val="18"/>
        </w:rPr>
        <w:footnoteRef/>
      </w:r>
      <w:r w:rsidRPr="0070566F">
        <w:rPr>
          <w:rFonts w:ascii="Verdana" w:hAnsi="Verdana"/>
          <w:sz w:val="14"/>
          <w:szCs w:val="18"/>
        </w:rPr>
        <w:t xml:space="preserve"> </w:t>
      </w:r>
      <w:r w:rsidRPr="0070566F">
        <w:rPr>
          <w:rFonts w:ascii="Verdana" w:hAnsi="Verdana"/>
          <w:i/>
          <w:iCs/>
          <w:sz w:val="14"/>
          <w:szCs w:val="18"/>
        </w:rPr>
        <w:t xml:space="preserve">Basin Plan 2012 </w:t>
      </w:r>
      <w:r w:rsidRPr="0070566F">
        <w:rPr>
          <w:rFonts w:ascii="Verdana" w:hAnsi="Verdana"/>
          <w:sz w:val="14"/>
          <w:szCs w:val="18"/>
        </w:rPr>
        <w:t>(Cth) s 6.11(5); s 6.12C(4)(b).</w:t>
      </w:r>
    </w:p>
  </w:footnote>
  <w:footnote w:id="4">
    <w:p w14:paraId="29729E53" w14:textId="72B77887" w:rsidR="00A079A5" w:rsidRDefault="00A079A5">
      <w:pPr>
        <w:pStyle w:val="FootnoteText"/>
      </w:pPr>
      <w:r>
        <w:rPr>
          <w:rStyle w:val="FootnoteReference"/>
        </w:rPr>
        <w:footnoteRef/>
      </w:r>
      <w:r>
        <w:t xml:space="preserve"> </w:t>
      </w:r>
      <w:r w:rsidR="002913FA">
        <w:t xml:space="preserve">2021-22 Sustainable Diversion Limit Accounts, </w:t>
      </w:r>
      <w:r w:rsidR="002913FA" w:rsidRPr="00D10D2E">
        <w:t>Murray‒Darling Basin Authority</w:t>
      </w:r>
      <w:r w:rsidR="002913FA" w:rsidRPr="00D452A3" w:rsidDel="00B60CD8">
        <w:t xml:space="preserve"> </w:t>
      </w:r>
      <w:r w:rsidR="002913FA">
        <w:t>2023</w:t>
      </w:r>
      <w:r w:rsidR="003124D8">
        <w:t>, Appendix B</w:t>
      </w:r>
    </w:p>
  </w:footnote>
  <w:footnote w:id="5">
    <w:p w14:paraId="0B50B367" w14:textId="5C0CA132" w:rsidR="00763126" w:rsidRDefault="00763126">
      <w:pPr>
        <w:pStyle w:val="FootnoteText"/>
      </w:pPr>
      <w:r>
        <w:rPr>
          <w:rStyle w:val="FootnoteReference"/>
        </w:rPr>
        <w:footnoteRef/>
      </w:r>
      <w:r>
        <w:t xml:space="preserve"> </w:t>
      </w:r>
      <w:r w:rsidR="00576AAE">
        <w:t>2021-22 Sustainable Diversion Limit Accounts, Murray-Darling Basin Authority</w:t>
      </w:r>
      <w:r w:rsidR="000E1DCF">
        <w:t>, 2023, Table 3</w:t>
      </w:r>
    </w:p>
  </w:footnote>
  <w:footnote w:id="6">
    <w:p w14:paraId="2563C55D" w14:textId="479303BC" w:rsidR="007F76CB" w:rsidRPr="00687DCC" w:rsidRDefault="007F76CB">
      <w:pPr>
        <w:pStyle w:val="FootnoteText"/>
        <w:rPr>
          <w:rFonts w:ascii="Verdana" w:hAnsi="Verdana"/>
        </w:rPr>
      </w:pPr>
      <w:r w:rsidRPr="00687DCC">
        <w:rPr>
          <w:rStyle w:val="FootnoteReference"/>
          <w:rFonts w:ascii="Verdana" w:hAnsi="Verdana"/>
          <w:sz w:val="14"/>
          <w:szCs w:val="18"/>
        </w:rPr>
        <w:footnoteRef/>
      </w:r>
      <w:r w:rsidRPr="00687DCC">
        <w:rPr>
          <w:rFonts w:ascii="Verdana" w:hAnsi="Verdana"/>
          <w:sz w:val="14"/>
          <w:szCs w:val="18"/>
        </w:rPr>
        <w:t xml:space="preserve"> </w:t>
      </w:r>
      <w:r w:rsidRPr="00B65AA9">
        <w:t>2021-22 Sustainable Diversion Limit Accounts, Murray-Darling Basin Authority</w:t>
      </w:r>
      <w:r w:rsidRPr="00687DCC">
        <w:rPr>
          <w:rFonts w:ascii="Verdana" w:hAnsi="Verdana"/>
          <w:sz w:val="14"/>
          <w:szCs w:val="18"/>
        </w:rPr>
        <w:t>, 2023, Table 4</w:t>
      </w:r>
    </w:p>
  </w:footnote>
  <w:footnote w:id="7">
    <w:p w14:paraId="2FE5BC8E" w14:textId="5A283938" w:rsidR="00E870EB" w:rsidRDefault="00E870EB">
      <w:pPr>
        <w:pStyle w:val="FootnoteText"/>
      </w:pPr>
      <w:r w:rsidRPr="00854866">
        <w:rPr>
          <w:rStyle w:val="FootnoteReference"/>
          <w:sz w:val="18"/>
          <w:szCs w:val="18"/>
        </w:rPr>
        <w:footnoteRef/>
      </w:r>
      <w:r w:rsidRPr="00854866">
        <w:rPr>
          <w:sz w:val="18"/>
          <w:szCs w:val="18"/>
        </w:rPr>
        <w:t xml:space="preserve"> </w:t>
      </w:r>
      <w:hyperlink r:id="rId1" w:history="1">
        <w:r w:rsidRPr="00854866">
          <w:rPr>
            <w:rStyle w:val="FootnoteReference"/>
            <w:rFonts w:ascii="Verdana" w:hAnsi="Verdana"/>
            <w:sz w:val="18"/>
            <w:szCs w:val="18"/>
          </w:rPr>
          <w:t>Work plan for SDL compliance make-good actions in the Barwon-Darling – updated August 2022 (nsw.gov.au)</w:t>
        </w:r>
      </w:hyperlink>
      <w:r w:rsidRPr="00854866">
        <w:rPr>
          <w:rStyle w:val="FootnoteReference"/>
          <w:rFonts w:ascii="Verdana" w:hAnsi="Verdana"/>
          <w:sz w:val="20"/>
          <w:szCs w:val="24"/>
        </w:rPr>
        <w:t xml:space="preserve"> and </w:t>
      </w:r>
      <w:hyperlink r:id="rId2" w:history="1">
        <w:r w:rsidRPr="00854866">
          <w:rPr>
            <w:rStyle w:val="FootnoteReference"/>
            <w:rFonts w:ascii="Verdana" w:hAnsi="Verdana"/>
            <w:sz w:val="20"/>
            <w:szCs w:val="24"/>
          </w:rPr>
          <w:t>New South Wales workplan for SDL compliance make-good actions in the Barwon-Darling SDL resource unit - June 2021 (mdba.gov.au)</w:t>
        </w:r>
      </w:hyperlink>
      <w:r w:rsidRPr="00854866">
        <w:rPr>
          <w:rStyle w:val="FootnoteReference"/>
          <w:rFonts w:ascii="Verdana" w:hAnsi="Verdana"/>
          <w:sz w:val="20"/>
          <w:szCs w:val="24"/>
        </w:rPr>
        <w:t xml:space="preserve"> – accessed 3 August 2023</w:t>
      </w:r>
    </w:p>
  </w:footnote>
  <w:footnote w:id="8">
    <w:p w14:paraId="18FD17F2" w14:textId="68997497" w:rsidR="00CA2102" w:rsidRPr="00CA2102" w:rsidRDefault="00AD6FA7" w:rsidP="00CA2102">
      <w:pPr>
        <w:rPr>
          <w:sz w:val="14"/>
          <w:szCs w:val="16"/>
        </w:rPr>
      </w:pPr>
      <w:r w:rsidRPr="00CA2102">
        <w:rPr>
          <w:rStyle w:val="FootnoteReference"/>
          <w:sz w:val="14"/>
          <w:szCs w:val="16"/>
        </w:rPr>
        <w:footnoteRef/>
      </w:r>
      <w:r w:rsidRPr="00CA2102">
        <w:rPr>
          <w:sz w:val="14"/>
          <w:szCs w:val="16"/>
        </w:rPr>
        <w:t xml:space="preserve"> </w:t>
      </w:r>
      <w:hyperlink r:id="rId3" w:history="1">
        <w:r w:rsidR="008051F1" w:rsidRPr="008051F1">
          <w:rPr>
            <w:sz w:val="14"/>
            <w:szCs w:val="16"/>
            <w:u w:val="single"/>
          </w:rPr>
          <w:t>Water Resource Plans - status - Water in New South Wales (nsw.gov.au)</w:t>
        </w:r>
      </w:hyperlink>
      <w:r w:rsidRPr="00CA2102">
        <w:rPr>
          <w:sz w:val="14"/>
          <w:szCs w:val="16"/>
        </w:rPr>
        <w:t xml:space="preserve"> accessed 10</w:t>
      </w:r>
      <w:r w:rsidRPr="00CA2102">
        <w:rPr>
          <w:sz w:val="14"/>
          <w:szCs w:val="16"/>
          <w:vertAlign w:val="superscript"/>
        </w:rPr>
        <w:t>th</w:t>
      </w:r>
      <w:r w:rsidRPr="00CA2102">
        <w:rPr>
          <w:sz w:val="14"/>
          <w:szCs w:val="16"/>
        </w:rPr>
        <w:t xml:space="preserve"> July 2023</w:t>
      </w:r>
    </w:p>
  </w:footnote>
  <w:footnote w:id="9">
    <w:p w14:paraId="71F97BA9" w14:textId="641C2430" w:rsidR="00F27D9A" w:rsidRDefault="00F27D9A">
      <w:pPr>
        <w:pStyle w:val="FootnoteText"/>
      </w:pPr>
      <w:r>
        <w:rPr>
          <w:rStyle w:val="FootnoteReference"/>
        </w:rPr>
        <w:footnoteRef/>
      </w:r>
      <w:r>
        <w:t xml:space="preserve"> </w:t>
      </w:r>
      <w:r w:rsidR="001116AD">
        <w:t>A</w:t>
      </w:r>
      <w:r w:rsidR="00C156E8">
        <w:t>n error</w:t>
      </w:r>
      <w:r w:rsidR="001116AD">
        <w:t xml:space="preserve"> was identified</w:t>
      </w:r>
      <w:r w:rsidR="00BD1B0D">
        <w:t xml:space="preserve"> </w:t>
      </w:r>
      <w:r w:rsidR="0053619C">
        <w:t>in the Murrumbidgee data. T</w:t>
      </w:r>
      <w:r w:rsidR="006A068E">
        <w:t xml:space="preserve">he Inspector-General </w:t>
      </w:r>
      <w:r w:rsidR="0053619C">
        <w:t xml:space="preserve">was notified of the issue </w:t>
      </w:r>
      <w:r w:rsidR="006A068E">
        <w:t xml:space="preserve">by email </w:t>
      </w:r>
      <w:r w:rsidR="000F5F49">
        <w:t>28 April</w:t>
      </w:r>
      <w:r w:rsidR="006A068E">
        <w:t xml:space="preserve">. Updated s 71 report and Registers of Take report </w:t>
      </w:r>
      <w:r w:rsidR="0053619C">
        <w:t xml:space="preserve">were provided on </w:t>
      </w:r>
      <w:r w:rsidR="006A068E">
        <w:t>12 May 2023.</w:t>
      </w:r>
    </w:p>
  </w:footnote>
  <w:footnote w:id="10">
    <w:p w14:paraId="59321CFA" w14:textId="08C2DF84" w:rsidR="001E7DC5" w:rsidRDefault="001E7DC5" w:rsidP="001E7DC5">
      <w:pPr>
        <w:pStyle w:val="FootnoteText"/>
      </w:pPr>
      <w:r>
        <w:rPr>
          <w:rStyle w:val="FootnoteReference"/>
        </w:rPr>
        <w:footnoteRef/>
      </w:r>
      <w:r>
        <w:t xml:space="preserve"> </w:t>
      </w:r>
      <w:r w:rsidR="003D75B1">
        <w:t xml:space="preserve"> 2021-22 Sustainable Diversion Limit Accounts, </w:t>
      </w:r>
      <w:r w:rsidR="00B60CD8" w:rsidRPr="00D10D2E">
        <w:t>Murray‒Darling Basin Authority</w:t>
      </w:r>
      <w:r w:rsidR="00B60CD8" w:rsidRPr="00D452A3" w:rsidDel="00B60CD8">
        <w:t xml:space="preserve"> </w:t>
      </w:r>
      <w:r w:rsidR="003D75B1">
        <w:t>2023</w:t>
      </w:r>
    </w:p>
  </w:footnote>
  <w:footnote w:id="11">
    <w:p w14:paraId="58007CEA" w14:textId="38D3A80F" w:rsidR="00163FB4" w:rsidRPr="007F2BA5" w:rsidRDefault="00163FB4" w:rsidP="00163FB4">
      <w:pPr>
        <w:pStyle w:val="FootnoteText"/>
        <w:rPr>
          <w:lang w:val="en-GB"/>
        </w:rPr>
      </w:pPr>
      <w:r>
        <w:rPr>
          <w:rStyle w:val="FootnoteReference"/>
        </w:rPr>
        <w:footnoteRef/>
      </w:r>
      <w:r>
        <w:t xml:space="preserve"> </w:t>
      </w:r>
      <w:r w:rsidRPr="00B65AA9">
        <w:rPr>
          <w:i/>
          <w:iCs/>
          <w:lang w:val="en-GB"/>
        </w:rPr>
        <w:t>Water Act</w:t>
      </w:r>
      <w:r w:rsidR="00B971F8" w:rsidRPr="00B65AA9">
        <w:rPr>
          <w:i/>
          <w:iCs/>
          <w:lang w:val="en-GB"/>
        </w:rPr>
        <w:t xml:space="preserve"> 2007</w:t>
      </w:r>
      <w:r w:rsidR="00B971F8">
        <w:rPr>
          <w:lang w:val="en-GB"/>
        </w:rPr>
        <w:t xml:space="preserve"> (Cth)</w:t>
      </w:r>
      <w:r>
        <w:rPr>
          <w:lang w:val="en-GB"/>
        </w:rPr>
        <w:t xml:space="preserve"> s</w:t>
      </w:r>
      <w:r w:rsidR="00B971F8">
        <w:rPr>
          <w:lang w:val="en-GB"/>
        </w:rPr>
        <w:t>ection</w:t>
      </w:r>
      <w:r>
        <w:rPr>
          <w:lang w:val="en-GB"/>
        </w:rPr>
        <w:t xml:space="preserve"> 4</w:t>
      </w:r>
    </w:p>
  </w:footnote>
  <w:footnote w:id="12">
    <w:p w14:paraId="25C4EF81" w14:textId="53167CC7" w:rsidR="00163FB4" w:rsidRDefault="00163FB4" w:rsidP="00163FB4">
      <w:pPr>
        <w:pStyle w:val="FootnoteText"/>
      </w:pPr>
      <w:r>
        <w:rPr>
          <w:rStyle w:val="FootnoteReference"/>
        </w:rPr>
        <w:footnoteRef/>
      </w:r>
      <w:r>
        <w:t xml:space="preserve"> </w:t>
      </w:r>
      <w:r w:rsidRPr="00B65AA9">
        <w:rPr>
          <w:i/>
          <w:iCs/>
        </w:rPr>
        <w:t xml:space="preserve">Basin Plan </w:t>
      </w:r>
      <w:r w:rsidR="00B971F8" w:rsidRPr="00B65AA9">
        <w:rPr>
          <w:i/>
          <w:iCs/>
        </w:rPr>
        <w:t>2012</w:t>
      </w:r>
      <w:r w:rsidR="00B971F8">
        <w:t xml:space="preserve"> </w:t>
      </w:r>
      <w:r>
        <w:t>s</w:t>
      </w:r>
      <w:r w:rsidR="00B971F8">
        <w:t>ection</w:t>
      </w:r>
      <w:r>
        <w:t xml:space="preserve"> 6.04 Note</w:t>
      </w:r>
    </w:p>
  </w:footnote>
  <w:footnote w:id="13">
    <w:p w14:paraId="0F25012E" w14:textId="13AF5304" w:rsidR="00163FB4" w:rsidRPr="00D3126B" w:rsidRDefault="00163FB4" w:rsidP="00163FB4">
      <w:pPr>
        <w:pStyle w:val="FootnoteText"/>
        <w:rPr>
          <w:lang w:val="en-GB"/>
        </w:rPr>
      </w:pPr>
      <w:r>
        <w:rPr>
          <w:rStyle w:val="FootnoteReference"/>
        </w:rPr>
        <w:footnoteRef/>
      </w:r>
      <w:r>
        <w:t xml:space="preserve"> </w:t>
      </w:r>
      <w:r w:rsidRPr="00B65AA9">
        <w:rPr>
          <w:i/>
          <w:iCs/>
          <w:lang w:val="en-GB"/>
        </w:rPr>
        <w:t>Basin Plan</w:t>
      </w:r>
      <w:r w:rsidR="00B971F8" w:rsidRPr="00B65AA9">
        <w:rPr>
          <w:i/>
          <w:iCs/>
          <w:lang w:val="en-GB"/>
        </w:rPr>
        <w:t xml:space="preserve"> 2012</w:t>
      </w:r>
      <w:r>
        <w:rPr>
          <w:lang w:val="en-GB"/>
        </w:rPr>
        <w:t xml:space="preserve"> s</w:t>
      </w:r>
      <w:r w:rsidR="00B971F8">
        <w:rPr>
          <w:lang w:val="en-GB"/>
        </w:rPr>
        <w:t>ection</w:t>
      </w:r>
      <w:r>
        <w:rPr>
          <w:lang w:val="en-GB"/>
        </w:rPr>
        <w:t xml:space="preserve"> 6.12(1) (for surface water); s</w:t>
      </w:r>
      <w:r w:rsidR="00B971F8">
        <w:rPr>
          <w:lang w:val="en-GB"/>
        </w:rPr>
        <w:t>ection</w:t>
      </w:r>
      <w:r>
        <w:rPr>
          <w:lang w:val="en-GB"/>
        </w:rPr>
        <w:t xml:space="preserve"> 6.12C(2) (for groundwater)</w:t>
      </w:r>
    </w:p>
  </w:footnote>
  <w:footnote w:id="14">
    <w:p w14:paraId="19AB08F8" w14:textId="55EFE680" w:rsidR="00163FB4" w:rsidRDefault="00163FB4" w:rsidP="00163FB4">
      <w:pPr>
        <w:pStyle w:val="FootnoteText"/>
      </w:pPr>
      <w:r>
        <w:rPr>
          <w:rStyle w:val="FootnoteReference"/>
        </w:rPr>
        <w:footnoteRef/>
      </w:r>
      <w:r>
        <w:t xml:space="preserve"> </w:t>
      </w:r>
      <w:hyperlink r:id="rId4" w:history="1">
        <w:r w:rsidR="0047104E">
          <w:rPr>
            <w:rStyle w:val="Hyperlink"/>
          </w:rPr>
          <w:t>Extraction limits - how the extraction limits work and differences - August 2021 (nsw.gov.au)</w:t>
        </w:r>
      </w:hyperlink>
    </w:p>
  </w:footnote>
  <w:footnote w:id="15">
    <w:p w14:paraId="5183E1F7" w14:textId="6931CF3C" w:rsidR="00163FB4" w:rsidRPr="00EC5263" w:rsidRDefault="00163FB4" w:rsidP="00163FB4">
      <w:pPr>
        <w:pStyle w:val="FootnoteText"/>
        <w:rPr>
          <w:lang w:val="en-GB"/>
        </w:rPr>
      </w:pPr>
      <w:r>
        <w:rPr>
          <w:rStyle w:val="FootnoteReference"/>
        </w:rPr>
        <w:footnoteRef/>
      </w:r>
      <w:r>
        <w:t xml:space="preserve"> </w:t>
      </w:r>
      <w:r w:rsidRPr="00B65AA9">
        <w:rPr>
          <w:i/>
          <w:iCs/>
          <w:lang w:val="en-GB"/>
        </w:rPr>
        <w:t>Water Act</w:t>
      </w:r>
      <w:r w:rsidR="0065683C" w:rsidRPr="00B65AA9">
        <w:rPr>
          <w:i/>
          <w:iCs/>
          <w:lang w:val="en-GB"/>
        </w:rPr>
        <w:t xml:space="preserve"> 2007</w:t>
      </w:r>
      <w:r w:rsidR="0065683C">
        <w:rPr>
          <w:lang w:val="en-GB"/>
        </w:rPr>
        <w:t xml:space="preserve"> (Cth) </w:t>
      </w:r>
      <w:r>
        <w:rPr>
          <w:lang w:val="en-GB"/>
        </w:rPr>
        <w:t>s</w:t>
      </w:r>
      <w:r w:rsidR="0065683C">
        <w:rPr>
          <w:lang w:val="en-GB"/>
        </w:rPr>
        <w:t>ection</w:t>
      </w:r>
      <w:r>
        <w:rPr>
          <w:lang w:val="en-GB"/>
        </w:rPr>
        <w:t xml:space="preserve"> 71; Basin Plan</w:t>
      </w:r>
      <w:r w:rsidR="0065683C">
        <w:rPr>
          <w:lang w:val="en-GB"/>
        </w:rPr>
        <w:t xml:space="preserve"> 2012</w:t>
      </w:r>
      <w:r>
        <w:rPr>
          <w:lang w:val="en-GB"/>
        </w:rPr>
        <w:t xml:space="preserve"> s</w:t>
      </w:r>
      <w:r w:rsidR="0065683C">
        <w:rPr>
          <w:lang w:val="en-GB"/>
        </w:rPr>
        <w:t xml:space="preserve">ection </w:t>
      </w:r>
      <w:r>
        <w:rPr>
          <w:lang w:val="en-GB"/>
        </w:rPr>
        <w:t>6.12(3), (5) (surface water); s</w:t>
      </w:r>
      <w:r w:rsidR="0065683C">
        <w:rPr>
          <w:lang w:val="en-GB"/>
        </w:rPr>
        <w:t>ection</w:t>
      </w:r>
      <w:r>
        <w:rPr>
          <w:lang w:val="en-GB"/>
        </w:rPr>
        <w:t xml:space="preserve"> 6.12C(3), (5) (ground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FC5D" w14:textId="34CACC02" w:rsidR="0079272B" w:rsidRDefault="00792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A7A0" w14:textId="63012EA2" w:rsidR="00CD346C" w:rsidRDefault="003A39E1">
    <w:pPr>
      <w:pStyle w:val="Header"/>
    </w:pPr>
    <w:r>
      <w:rPr>
        <w:noProof/>
      </w:rPr>
      <w:drawing>
        <wp:anchor distT="0" distB="0" distL="114300" distR="114300" simplePos="0" relativeHeight="251658240" behindDoc="1" locked="0" layoutInCell="1" allowOverlap="1" wp14:anchorId="6A4A6ABC" wp14:editId="43ED9074">
          <wp:simplePos x="0" y="0"/>
          <wp:positionH relativeFrom="column">
            <wp:posOffset>2277110</wp:posOffset>
          </wp:positionH>
          <wp:positionV relativeFrom="paragraph">
            <wp:posOffset>2607945</wp:posOffset>
          </wp:positionV>
          <wp:extent cx="7416800" cy="8849590"/>
          <wp:effectExtent l="0" t="0" r="0" b="254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416800" cy="88495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2E64" w14:textId="54EA1F97" w:rsidR="00473F5B" w:rsidRDefault="00AD6FA7" w:rsidP="005C5D99">
    <w:r w:rsidRPr="003A6733">
      <w:rPr>
        <w:noProof/>
      </w:rPr>
      <w:drawing>
        <wp:anchor distT="0" distB="0" distL="114300" distR="114300" simplePos="0" relativeHeight="251658241" behindDoc="1" locked="0" layoutInCell="1" allowOverlap="1" wp14:anchorId="1A7B3138" wp14:editId="031C02CB">
          <wp:simplePos x="0" y="0"/>
          <wp:positionH relativeFrom="column">
            <wp:posOffset>-732790</wp:posOffset>
          </wp:positionH>
          <wp:positionV relativeFrom="paragraph">
            <wp:posOffset>-339725</wp:posOffset>
          </wp:positionV>
          <wp:extent cx="7597588" cy="10751549"/>
          <wp:effectExtent l="0" t="0" r="381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26026B0D" w14:textId="77777777" w:rsidR="00473F5B" w:rsidRDefault="00AD6FA7" w:rsidP="00070401">
    <w:pPr>
      <w:tabs>
        <w:tab w:val="left" w:pos="8761"/>
      </w:tabs>
    </w:pPr>
    <w:r>
      <w:tab/>
    </w:r>
  </w:p>
  <w:p w14:paraId="45D19874" w14:textId="77777777" w:rsidR="00473F5B" w:rsidRDefault="00473F5B" w:rsidP="005C5D99"/>
  <w:p w14:paraId="14D285F7" w14:textId="77777777" w:rsidR="00473F5B" w:rsidRDefault="00473F5B" w:rsidP="005C5D99"/>
  <w:p w14:paraId="6B6A16D1" w14:textId="77777777" w:rsidR="00473F5B" w:rsidRDefault="00473F5B" w:rsidP="005C5D99"/>
  <w:p w14:paraId="5FFA31B5" w14:textId="77777777" w:rsidR="00473F5B" w:rsidRDefault="00473F5B" w:rsidP="005C5D99"/>
  <w:p w14:paraId="1C51C83E" w14:textId="77777777" w:rsidR="00473F5B" w:rsidRDefault="00473F5B" w:rsidP="005C5D99"/>
  <w:p w14:paraId="087BC40D" w14:textId="77777777" w:rsidR="001345C9" w:rsidRDefault="001345C9" w:rsidP="005C5D99"/>
  <w:p w14:paraId="0F1CCBD1" w14:textId="77777777" w:rsidR="00617D03" w:rsidRPr="00DC6237" w:rsidRDefault="00AD6FA7" w:rsidP="00071327">
    <w:pPr>
      <w:rPr>
        <w:color w:val="00B050"/>
      </w:rPr>
    </w:pPr>
    <w:r>
      <w:rPr>
        <w:noProof/>
      </w:rPr>
      <w:drawing>
        <wp:anchor distT="0" distB="0" distL="114300" distR="114300" simplePos="0" relativeHeight="251658242" behindDoc="1" locked="0" layoutInCell="1" allowOverlap="1" wp14:anchorId="64A3EA3B" wp14:editId="7F5DB405">
          <wp:simplePos x="0" y="0"/>
          <wp:positionH relativeFrom="page">
            <wp:posOffset>622300</wp:posOffset>
          </wp:positionH>
          <wp:positionV relativeFrom="page">
            <wp:posOffset>546100</wp:posOffset>
          </wp:positionV>
          <wp:extent cx="3600450" cy="104013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707D" w14:textId="69FBD6CE" w:rsidR="0079272B" w:rsidRDefault="007927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8971" w14:textId="7D6C7A7E" w:rsidR="0079272B" w:rsidRDefault="007927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0BE8" w14:textId="3F66E8C0" w:rsidR="002C07A5" w:rsidRPr="00DC6237" w:rsidRDefault="002C07A5" w:rsidP="00071327">
    <w:pPr>
      <w:rPr>
        <w:color w:val="00B0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04E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6722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436FC3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67EC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92A67E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D7F0279"/>
    <w:multiLevelType w:val="hybridMultilevel"/>
    <w:tmpl w:val="AE28B470"/>
    <w:lvl w:ilvl="0" w:tplc="33688792">
      <w:start w:val="1"/>
      <w:numFmt w:val="bullet"/>
      <w:lvlText w:val=""/>
      <w:lvlJc w:val="left"/>
      <w:pPr>
        <w:ind w:left="720" w:hanging="360"/>
      </w:pPr>
      <w:rPr>
        <w:rFonts w:ascii="Symbol" w:hAnsi="Symbol" w:hint="default"/>
      </w:rPr>
    </w:lvl>
    <w:lvl w:ilvl="1" w:tplc="7FC66FFA">
      <w:start w:val="1"/>
      <w:numFmt w:val="bullet"/>
      <w:lvlText w:val="o"/>
      <w:lvlJc w:val="left"/>
      <w:pPr>
        <w:ind w:left="1440" w:hanging="360"/>
      </w:pPr>
      <w:rPr>
        <w:rFonts w:ascii="Courier New" w:hAnsi="Courier New" w:hint="default"/>
      </w:rPr>
    </w:lvl>
    <w:lvl w:ilvl="2" w:tplc="3B9E953E">
      <w:start w:val="1"/>
      <w:numFmt w:val="bullet"/>
      <w:lvlText w:val=""/>
      <w:lvlJc w:val="left"/>
      <w:pPr>
        <w:ind w:left="2160" w:hanging="360"/>
      </w:pPr>
      <w:rPr>
        <w:rFonts w:ascii="Wingdings" w:hAnsi="Wingdings" w:hint="default"/>
      </w:rPr>
    </w:lvl>
    <w:lvl w:ilvl="3" w:tplc="FA5099F8">
      <w:start w:val="1"/>
      <w:numFmt w:val="bullet"/>
      <w:lvlText w:val=""/>
      <w:lvlJc w:val="left"/>
      <w:pPr>
        <w:ind w:left="2880" w:hanging="360"/>
      </w:pPr>
      <w:rPr>
        <w:rFonts w:ascii="Symbol" w:hAnsi="Symbol" w:hint="default"/>
      </w:rPr>
    </w:lvl>
    <w:lvl w:ilvl="4" w:tplc="3998C8B0">
      <w:start w:val="1"/>
      <w:numFmt w:val="bullet"/>
      <w:lvlText w:val="o"/>
      <w:lvlJc w:val="left"/>
      <w:pPr>
        <w:ind w:left="3600" w:hanging="360"/>
      </w:pPr>
      <w:rPr>
        <w:rFonts w:ascii="Courier New" w:hAnsi="Courier New" w:hint="default"/>
      </w:rPr>
    </w:lvl>
    <w:lvl w:ilvl="5" w:tplc="C5DE77BE">
      <w:start w:val="1"/>
      <w:numFmt w:val="bullet"/>
      <w:lvlText w:val=""/>
      <w:lvlJc w:val="left"/>
      <w:pPr>
        <w:ind w:left="4320" w:hanging="360"/>
      </w:pPr>
      <w:rPr>
        <w:rFonts w:ascii="Wingdings" w:hAnsi="Wingdings" w:hint="default"/>
      </w:rPr>
    </w:lvl>
    <w:lvl w:ilvl="6" w:tplc="12B4D78A">
      <w:start w:val="1"/>
      <w:numFmt w:val="bullet"/>
      <w:lvlText w:val=""/>
      <w:lvlJc w:val="left"/>
      <w:pPr>
        <w:ind w:left="5040" w:hanging="360"/>
      </w:pPr>
      <w:rPr>
        <w:rFonts w:ascii="Symbol" w:hAnsi="Symbol" w:hint="default"/>
      </w:rPr>
    </w:lvl>
    <w:lvl w:ilvl="7" w:tplc="681EC5E8">
      <w:start w:val="1"/>
      <w:numFmt w:val="bullet"/>
      <w:lvlText w:val="o"/>
      <w:lvlJc w:val="left"/>
      <w:pPr>
        <w:ind w:left="5760" w:hanging="360"/>
      </w:pPr>
      <w:rPr>
        <w:rFonts w:ascii="Courier New" w:hAnsi="Courier New" w:hint="default"/>
      </w:rPr>
    </w:lvl>
    <w:lvl w:ilvl="8" w:tplc="FD5EACF4">
      <w:start w:val="1"/>
      <w:numFmt w:val="bullet"/>
      <w:lvlText w:val=""/>
      <w:lvlJc w:val="left"/>
      <w:pPr>
        <w:ind w:left="6480" w:hanging="360"/>
      </w:pPr>
      <w:rPr>
        <w:rFonts w:ascii="Wingdings" w:hAnsi="Wingdings" w:hint="default"/>
      </w:rPr>
    </w:lvl>
  </w:abstractNum>
  <w:abstractNum w:abstractNumId="7" w15:restartNumberingAfterBreak="0">
    <w:nsid w:val="1D091BF0"/>
    <w:multiLevelType w:val="hybridMultilevel"/>
    <w:tmpl w:val="E6C82B98"/>
    <w:lvl w:ilvl="0" w:tplc="78F27554">
      <w:start w:val="1"/>
      <w:numFmt w:val="bullet"/>
      <w:lvlText w:val=""/>
      <w:lvlJc w:val="left"/>
      <w:pPr>
        <w:ind w:left="1440" w:hanging="360"/>
      </w:pPr>
      <w:rPr>
        <w:rFonts w:ascii="Symbol" w:hAnsi="Symbol" w:hint="default"/>
      </w:rPr>
    </w:lvl>
    <w:lvl w:ilvl="1" w:tplc="8CF642BC" w:tentative="1">
      <w:start w:val="1"/>
      <w:numFmt w:val="bullet"/>
      <w:lvlText w:val="o"/>
      <w:lvlJc w:val="left"/>
      <w:pPr>
        <w:ind w:left="2160" w:hanging="360"/>
      </w:pPr>
      <w:rPr>
        <w:rFonts w:ascii="Courier New" w:hAnsi="Courier New" w:cs="Courier New" w:hint="default"/>
      </w:rPr>
    </w:lvl>
    <w:lvl w:ilvl="2" w:tplc="9586C582" w:tentative="1">
      <w:start w:val="1"/>
      <w:numFmt w:val="bullet"/>
      <w:lvlText w:val=""/>
      <w:lvlJc w:val="left"/>
      <w:pPr>
        <w:ind w:left="2880" w:hanging="360"/>
      </w:pPr>
      <w:rPr>
        <w:rFonts w:ascii="Wingdings" w:hAnsi="Wingdings" w:hint="default"/>
      </w:rPr>
    </w:lvl>
    <w:lvl w:ilvl="3" w:tplc="A19413CC" w:tentative="1">
      <w:start w:val="1"/>
      <w:numFmt w:val="bullet"/>
      <w:lvlText w:val=""/>
      <w:lvlJc w:val="left"/>
      <w:pPr>
        <w:ind w:left="3600" w:hanging="360"/>
      </w:pPr>
      <w:rPr>
        <w:rFonts w:ascii="Symbol" w:hAnsi="Symbol" w:hint="default"/>
      </w:rPr>
    </w:lvl>
    <w:lvl w:ilvl="4" w:tplc="FC7A5FAA" w:tentative="1">
      <w:start w:val="1"/>
      <w:numFmt w:val="bullet"/>
      <w:lvlText w:val="o"/>
      <w:lvlJc w:val="left"/>
      <w:pPr>
        <w:ind w:left="4320" w:hanging="360"/>
      </w:pPr>
      <w:rPr>
        <w:rFonts w:ascii="Courier New" w:hAnsi="Courier New" w:cs="Courier New" w:hint="default"/>
      </w:rPr>
    </w:lvl>
    <w:lvl w:ilvl="5" w:tplc="90F45CAC" w:tentative="1">
      <w:start w:val="1"/>
      <w:numFmt w:val="bullet"/>
      <w:lvlText w:val=""/>
      <w:lvlJc w:val="left"/>
      <w:pPr>
        <w:ind w:left="5040" w:hanging="360"/>
      </w:pPr>
      <w:rPr>
        <w:rFonts w:ascii="Wingdings" w:hAnsi="Wingdings" w:hint="default"/>
      </w:rPr>
    </w:lvl>
    <w:lvl w:ilvl="6" w:tplc="876E2938" w:tentative="1">
      <w:start w:val="1"/>
      <w:numFmt w:val="bullet"/>
      <w:lvlText w:val=""/>
      <w:lvlJc w:val="left"/>
      <w:pPr>
        <w:ind w:left="5760" w:hanging="360"/>
      </w:pPr>
      <w:rPr>
        <w:rFonts w:ascii="Symbol" w:hAnsi="Symbol" w:hint="default"/>
      </w:rPr>
    </w:lvl>
    <w:lvl w:ilvl="7" w:tplc="C858548E" w:tentative="1">
      <w:start w:val="1"/>
      <w:numFmt w:val="bullet"/>
      <w:lvlText w:val="o"/>
      <w:lvlJc w:val="left"/>
      <w:pPr>
        <w:ind w:left="6480" w:hanging="360"/>
      </w:pPr>
      <w:rPr>
        <w:rFonts w:ascii="Courier New" w:hAnsi="Courier New" w:cs="Courier New" w:hint="default"/>
      </w:rPr>
    </w:lvl>
    <w:lvl w:ilvl="8" w:tplc="2932A640" w:tentative="1">
      <w:start w:val="1"/>
      <w:numFmt w:val="bullet"/>
      <w:lvlText w:val=""/>
      <w:lvlJc w:val="left"/>
      <w:pPr>
        <w:ind w:left="7200" w:hanging="360"/>
      </w:pPr>
      <w:rPr>
        <w:rFonts w:ascii="Wingdings" w:hAnsi="Wingdings" w:hint="default"/>
      </w:rPr>
    </w:lvl>
  </w:abstractNum>
  <w:abstractNum w:abstractNumId="8" w15:restartNumberingAfterBreak="0">
    <w:nsid w:val="1F745BC2"/>
    <w:multiLevelType w:val="multilevel"/>
    <w:tmpl w:val="E5E89F92"/>
    <w:numStyleLink w:val="BulletList"/>
  </w:abstractNum>
  <w:abstractNum w:abstractNumId="9" w15:restartNumberingAfterBreak="0">
    <w:nsid w:val="245D3DC9"/>
    <w:multiLevelType w:val="hybridMultilevel"/>
    <w:tmpl w:val="F3A238E0"/>
    <w:lvl w:ilvl="0" w:tplc="A91660B6">
      <w:start w:val="1"/>
      <w:numFmt w:val="decimal"/>
      <w:lvlText w:val="%1."/>
      <w:lvlJc w:val="left"/>
      <w:pPr>
        <w:ind w:left="720" w:hanging="360"/>
      </w:pPr>
    </w:lvl>
    <w:lvl w:ilvl="1" w:tplc="92565926" w:tentative="1">
      <w:start w:val="1"/>
      <w:numFmt w:val="lowerLetter"/>
      <w:lvlText w:val="%2."/>
      <w:lvlJc w:val="left"/>
      <w:pPr>
        <w:ind w:left="1440" w:hanging="360"/>
      </w:pPr>
    </w:lvl>
    <w:lvl w:ilvl="2" w:tplc="5E1E060A" w:tentative="1">
      <w:start w:val="1"/>
      <w:numFmt w:val="lowerRoman"/>
      <w:lvlText w:val="%3."/>
      <w:lvlJc w:val="right"/>
      <w:pPr>
        <w:ind w:left="2160" w:hanging="180"/>
      </w:pPr>
    </w:lvl>
    <w:lvl w:ilvl="3" w:tplc="F232F6D0" w:tentative="1">
      <w:start w:val="1"/>
      <w:numFmt w:val="decimal"/>
      <w:lvlText w:val="%4."/>
      <w:lvlJc w:val="left"/>
      <w:pPr>
        <w:ind w:left="2880" w:hanging="360"/>
      </w:pPr>
    </w:lvl>
    <w:lvl w:ilvl="4" w:tplc="23ACBEE2" w:tentative="1">
      <w:start w:val="1"/>
      <w:numFmt w:val="lowerLetter"/>
      <w:lvlText w:val="%5."/>
      <w:lvlJc w:val="left"/>
      <w:pPr>
        <w:ind w:left="3600" w:hanging="360"/>
      </w:pPr>
    </w:lvl>
    <w:lvl w:ilvl="5" w:tplc="983CCAE6" w:tentative="1">
      <w:start w:val="1"/>
      <w:numFmt w:val="lowerRoman"/>
      <w:lvlText w:val="%6."/>
      <w:lvlJc w:val="right"/>
      <w:pPr>
        <w:ind w:left="4320" w:hanging="180"/>
      </w:pPr>
    </w:lvl>
    <w:lvl w:ilvl="6" w:tplc="89F612A8" w:tentative="1">
      <w:start w:val="1"/>
      <w:numFmt w:val="decimal"/>
      <w:lvlText w:val="%7."/>
      <w:lvlJc w:val="left"/>
      <w:pPr>
        <w:ind w:left="5040" w:hanging="360"/>
      </w:pPr>
    </w:lvl>
    <w:lvl w:ilvl="7" w:tplc="115C4634" w:tentative="1">
      <w:start w:val="1"/>
      <w:numFmt w:val="lowerLetter"/>
      <w:lvlText w:val="%8."/>
      <w:lvlJc w:val="left"/>
      <w:pPr>
        <w:ind w:left="5760" w:hanging="360"/>
      </w:pPr>
    </w:lvl>
    <w:lvl w:ilvl="8" w:tplc="B964BB3E" w:tentative="1">
      <w:start w:val="1"/>
      <w:numFmt w:val="lowerRoman"/>
      <w:lvlText w:val="%9."/>
      <w:lvlJc w:val="right"/>
      <w:pPr>
        <w:ind w:left="6480" w:hanging="180"/>
      </w:p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864C75"/>
    <w:multiLevelType w:val="hybridMultilevel"/>
    <w:tmpl w:val="068C64D4"/>
    <w:lvl w:ilvl="0" w:tplc="984E8A50">
      <w:start w:val="1"/>
      <w:numFmt w:val="decimal"/>
      <w:lvlText w:val="%1."/>
      <w:lvlJc w:val="left"/>
      <w:pPr>
        <w:ind w:left="720" w:hanging="360"/>
      </w:pPr>
      <w:rPr>
        <w:rFonts w:hint="default"/>
      </w:rPr>
    </w:lvl>
    <w:lvl w:ilvl="1" w:tplc="B82CE6B2" w:tentative="1">
      <w:start w:val="1"/>
      <w:numFmt w:val="lowerLetter"/>
      <w:lvlText w:val="%2."/>
      <w:lvlJc w:val="left"/>
      <w:pPr>
        <w:ind w:left="1440" w:hanging="360"/>
      </w:pPr>
    </w:lvl>
    <w:lvl w:ilvl="2" w:tplc="D054BB1C" w:tentative="1">
      <w:start w:val="1"/>
      <w:numFmt w:val="lowerRoman"/>
      <w:lvlText w:val="%3."/>
      <w:lvlJc w:val="right"/>
      <w:pPr>
        <w:ind w:left="2160" w:hanging="180"/>
      </w:pPr>
    </w:lvl>
    <w:lvl w:ilvl="3" w:tplc="C9601B3A" w:tentative="1">
      <w:start w:val="1"/>
      <w:numFmt w:val="decimal"/>
      <w:lvlText w:val="%4."/>
      <w:lvlJc w:val="left"/>
      <w:pPr>
        <w:ind w:left="2880" w:hanging="360"/>
      </w:pPr>
    </w:lvl>
    <w:lvl w:ilvl="4" w:tplc="F05EE766" w:tentative="1">
      <w:start w:val="1"/>
      <w:numFmt w:val="lowerLetter"/>
      <w:lvlText w:val="%5."/>
      <w:lvlJc w:val="left"/>
      <w:pPr>
        <w:ind w:left="3600" w:hanging="360"/>
      </w:pPr>
    </w:lvl>
    <w:lvl w:ilvl="5" w:tplc="C17A17EE" w:tentative="1">
      <w:start w:val="1"/>
      <w:numFmt w:val="lowerRoman"/>
      <w:lvlText w:val="%6."/>
      <w:lvlJc w:val="right"/>
      <w:pPr>
        <w:ind w:left="4320" w:hanging="180"/>
      </w:pPr>
    </w:lvl>
    <w:lvl w:ilvl="6" w:tplc="7DBC1346" w:tentative="1">
      <w:start w:val="1"/>
      <w:numFmt w:val="decimal"/>
      <w:lvlText w:val="%7."/>
      <w:lvlJc w:val="left"/>
      <w:pPr>
        <w:ind w:left="5040" w:hanging="360"/>
      </w:pPr>
    </w:lvl>
    <w:lvl w:ilvl="7" w:tplc="BC548784" w:tentative="1">
      <w:start w:val="1"/>
      <w:numFmt w:val="lowerLetter"/>
      <w:lvlText w:val="%8."/>
      <w:lvlJc w:val="left"/>
      <w:pPr>
        <w:ind w:left="5760" w:hanging="360"/>
      </w:pPr>
    </w:lvl>
    <w:lvl w:ilvl="8" w:tplc="494A2B4E" w:tentative="1">
      <w:start w:val="1"/>
      <w:numFmt w:val="lowerRoman"/>
      <w:lvlText w:val="%9."/>
      <w:lvlJc w:val="right"/>
      <w:pPr>
        <w:ind w:left="6480" w:hanging="180"/>
      </w:pPr>
    </w:lvl>
  </w:abstractNum>
  <w:abstractNum w:abstractNumId="12"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6D285A5B"/>
    <w:multiLevelType w:val="hybridMultilevel"/>
    <w:tmpl w:val="5DD646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699358609">
    <w:abstractNumId w:val="14"/>
  </w:num>
  <w:num w:numId="2" w16cid:durableId="1580139870">
    <w:abstractNumId w:val="5"/>
  </w:num>
  <w:num w:numId="3" w16cid:durableId="1775203103">
    <w:abstractNumId w:val="10"/>
  </w:num>
  <w:num w:numId="4" w16cid:durableId="2025007779">
    <w:abstractNumId w:val="8"/>
  </w:num>
  <w:num w:numId="5" w16cid:durableId="1067344481">
    <w:abstractNumId w:val="12"/>
  </w:num>
  <w:num w:numId="6" w16cid:durableId="1051031274">
    <w:abstractNumId w:val="7"/>
  </w:num>
  <w:num w:numId="7" w16cid:durableId="383674494">
    <w:abstractNumId w:val="9"/>
  </w:num>
  <w:num w:numId="8" w16cid:durableId="634020366">
    <w:abstractNumId w:val="4"/>
  </w:num>
  <w:num w:numId="9" w16cid:durableId="1274091384">
    <w:abstractNumId w:val="3"/>
  </w:num>
  <w:num w:numId="10" w16cid:durableId="911936108">
    <w:abstractNumId w:val="2"/>
  </w:num>
  <w:num w:numId="11" w16cid:durableId="1221019085">
    <w:abstractNumId w:val="1"/>
  </w:num>
  <w:num w:numId="12" w16cid:durableId="1973291608">
    <w:abstractNumId w:val="0"/>
  </w:num>
  <w:num w:numId="13" w16cid:durableId="1788769110">
    <w:abstractNumId w:val="6"/>
  </w:num>
  <w:num w:numId="14" w16cid:durableId="434836405">
    <w:abstractNumId w:val="11"/>
  </w:num>
  <w:num w:numId="15" w16cid:durableId="56429754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77D"/>
    <w:rsid w:val="000008D2"/>
    <w:rsid w:val="00000B5B"/>
    <w:rsid w:val="00000F82"/>
    <w:rsid w:val="0000143C"/>
    <w:rsid w:val="00002903"/>
    <w:rsid w:val="00002ABE"/>
    <w:rsid w:val="00002CD6"/>
    <w:rsid w:val="00002F55"/>
    <w:rsid w:val="000032A0"/>
    <w:rsid w:val="0000340C"/>
    <w:rsid w:val="00003656"/>
    <w:rsid w:val="00003737"/>
    <w:rsid w:val="00003D95"/>
    <w:rsid w:val="00003ED2"/>
    <w:rsid w:val="00004BE7"/>
    <w:rsid w:val="00004CC7"/>
    <w:rsid w:val="00005160"/>
    <w:rsid w:val="0000585D"/>
    <w:rsid w:val="0000598F"/>
    <w:rsid w:val="00005ECE"/>
    <w:rsid w:val="000062A4"/>
    <w:rsid w:val="00006B3C"/>
    <w:rsid w:val="00007C19"/>
    <w:rsid w:val="00007DE1"/>
    <w:rsid w:val="000101E6"/>
    <w:rsid w:val="0001118E"/>
    <w:rsid w:val="000131EE"/>
    <w:rsid w:val="00013735"/>
    <w:rsid w:val="000138FD"/>
    <w:rsid w:val="00013FD1"/>
    <w:rsid w:val="00014BE1"/>
    <w:rsid w:val="00014DD5"/>
    <w:rsid w:val="0001582A"/>
    <w:rsid w:val="0001622C"/>
    <w:rsid w:val="00016335"/>
    <w:rsid w:val="00016775"/>
    <w:rsid w:val="000178F8"/>
    <w:rsid w:val="00017EDF"/>
    <w:rsid w:val="00020551"/>
    <w:rsid w:val="00021B36"/>
    <w:rsid w:val="00023EEA"/>
    <w:rsid w:val="000244B9"/>
    <w:rsid w:val="00024765"/>
    <w:rsid w:val="000257F7"/>
    <w:rsid w:val="00025D1D"/>
    <w:rsid w:val="00026141"/>
    <w:rsid w:val="00026803"/>
    <w:rsid w:val="00027ADB"/>
    <w:rsid w:val="00027F32"/>
    <w:rsid w:val="000300ED"/>
    <w:rsid w:val="00030EAB"/>
    <w:rsid w:val="0003264A"/>
    <w:rsid w:val="00032B6F"/>
    <w:rsid w:val="00034A8D"/>
    <w:rsid w:val="0003506E"/>
    <w:rsid w:val="00035827"/>
    <w:rsid w:val="00035F31"/>
    <w:rsid w:val="0003625A"/>
    <w:rsid w:val="00036D19"/>
    <w:rsid w:val="000378A8"/>
    <w:rsid w:val="00040388"/>
    <w:rsid w:val="00041CFD"/>
    <w:rsid w:val="000420D4"/>
    <w:rsid w:val="0004252F"/>
    <w:rsid w:val="000425FC"/>
    <w:rsid w:val="00042CEF"/>
    <w:rsid w:val="00043E7B"/>
    <w:rsid w:val="00044CA7"/>
    <w:rsid w:val="00044D9C"/>
    <w:rsid w:val="000454E8"/>
    <w:rsid w:val="00045ACD"/>
    <w:rsid w:val="00045B8F"/>
    <w:rsid w:val="0004603F"/>
    <w:rsid w:val="00046183"/>
    <w:rsid w:val="00046482"/>
    <w:rsid w:val="000466B9"/>
    <w:rsid w:val="000472CF"/>
    <w:rsid w:val="0004764B"/>
    <w:rsid w:val="000508AE"/>
    <w:rsid w:val="000514BD"/>
    <w:rsid w:val="000517F7"/>
    <w:rsid w:val="00052C8B"/>
    <w:rsid w:val="00052FE1"/>
    <w:rsid w:val="000530FC"/>
    <w:rsid w:val="000539D2"/>
    <w:rsid w:val="00054F6F"/>
    <w:rsid w:val="00055589"/>
    <w:rsid w:val="00057886"/>
    <w:rsid w:val="00057DE1"/>
    <w:rsid w:val="00060E10"/>
    <w:rsid w:val="000613B1"/>
    <w:rsid w:val="000614A5"/>
    <w:rsid w:val="000626AD"/>
    <w:rsid w:val="00063641"/>
    <w:rsid w:val="00064CE9"/>
    <w:rsid w:val="0006505D"/>
    <w:rsid w:val="00065864"/>
    <w:rsid w:val="00065CB7"/>
    <w:rsid w:val="000669E1"/>
    <w:rsid w:val="00067B02"/>
    <w:rsid w:val="00070033"/>
    <w:rsid w:val="00070401"/>
    <w:rsid w:val="00070493"/>
    <w:rsid w:val="00070682"/>
    <w:rsid w:val="00071327"/>
    <w:rsid w:val="00071780"/>
    <w:rsid w:val="00071D1E"/>
    <w:rsid w:val="0007454C"/>
    <w:rsid w:val="00075482"/>
    <w:rsid w:val="000756EF"/>
    <w:rsid w:val="0007779B"/>
    <w:rsid w:val="0007797E"/>
    <w:rsid w:val="00080382"/>
    <w:rsid w:val="00080FE8"/>
    <w:rsid w:val="000811E5"/>
    <w:rsid w:val="0008166A"/>
    <w:rsid w:val="00082E59"/>
    <w:rsid w:val="00083A9E"/>
    <w:rsid w:val="00084DAA"/>
    <w:rsid w:val="00085629"/>
    <w:rsid w:val="00086F2C"/>
    <w:rsid w:val="0008712A"/>
    <w:rsid w:val="00087849"/>
    <w:rsid w:val="00090C89"/>
    <w:rsid w:val="00091734"/>
    <w:rsid w:val="00091B06"/>
    <w:rsid w:val="00093F64"/>
    <w:rsid w:val="0009439E"/>
    <w:rsid w:val="00094982"/>
    <w:rsid w:val="00094F82"/>
    <w:rsid w:val="00095F21"/>
    <w:rsid w:val="00096589"/>
    <w:rsid w:val="0009756A"/>
    <w:rsid w:val="00097A09"/>
    <w:rsid w:val="00097FDE"/>
    <w:rsid w:val="000A0A4E"/>
    <w:rsid w:val="000A0A8A"/>
    <w:rsid w:val="000A112B"/>
    <w:rsid w:val="000A1860"/>
    <w:rsid w:val="000A1C5E"/>
    <w:rsid w:val="000A1CE0"/>
    <w:rsid w:val="000A1D25"/>
    <w:rsid w:val="000A1D92"/>
    <w:rsid w:val="000A2367"/>
    <w:rsid w:val="000A2814"/>
    <w:rsid w:val="000A3112"/>
    <w:rsid w:val="000A3C3A"/>
    <w:rsid w:val="000A4751"/>
    <w:rsid w:val="000A5317"/>
    <w:rsid w:val="000A5DD7"/>
    <w:rsid w:val="000A6E78"/>
    <w:rsid w:val="000A6FAC"/>
    <w:rsid w:val="000A78C3"/>
    <w:rsid w:val="000A7A4F"/>
    <w:rsid w:val="000B0067"/>
    <w:rsid w:val="000B00A1"/>
    <w:rsid w:val="000B1F5E"/>
    <w:rsid w:val="000B203D"/>
    <w:rsid w:val="000B2ED9"/>
    <w:rsid w:val="000B314E"/>
    <w:rsid w:val="000B33FD"/>
    <w:rsid w:val="000B3A41"/>
    <w:rsid w:val="000B3AEA"/>
    <w:rsid w:val="000B42C1"/>
    <w:rsid w:val="000B57D1"/>
    <w:rsid w:val="000B72D4"/>
    <w:rsid w:val="000B73B4"/>
    <w:rsid w:val="000B7DE4"/>
    <w:rsid w:val="000B7EFF"/>
    <w:rsid w:val="000C06F6"/>
    <w:rsid w:val="000C24DE"/>
    <w:rsid w:val="000C2D33"/>
    <w:rsid w:val="000C3ED1"/>
    <w:rsid w:val="000C3F8D"/>
    <w:rsid w:val="000C47D9"/>
    <w:rsid w:val="000C4B94"/>
    <w:rsid w:val="000C4BBA"/>
    <w:rsid w:val="000C54E7"/>
    <w:rsid w:val="000C5F14"/>
    <w:rsid w:val="000C612D"/>
    <w:rsid w:val="000C6A6D"/>
    <w:rsid w:val="000C7C03"/>
    <w:rsid w:val="000D06D9"/>
    <w:rsid w:val="000D1600"/>
    <w:rsid w:val="000D1751"/>
    <w:rsid w:val="000D2200"/>
    <w:rsid w:val="000D22E6"/>
    <w:rsid w:val="000D4571"/>
    <w:rsid w:val="000D52F1"/>
    <w:rsid w:val="000D6044"/>
    <w:rsid w:val="000D609B"/>
    <w:rsid w:val="000D656C"/>
    <w:rsid w:val="000E0172"/>
    <w:rsid w:val="000E0836"/>
    <w:rsid w:val="000E0AEB"/>
    <w:rsid w:val="000E0D73"/>
    <w:rsid w:val="000E17DA"/>
    <w:rsid w:val="000E1DCF"/>
    <w:rsid w:val="000E1E03"/>
    <w:rsid w:val="000E2181"/>
    <w:rsid w:val="000E2282"/>
    <w:rsid w:val="000E247B"/>
    <w:rsid w:val="000E2E60"/>
    <w:rsid w:val="000E30E8"/>
    <w:rsid w:val="000E3400"/>
    <w:rsid w:val="000E3C26"/>
    <w:rsid w:val="000E3E85"/>
    <w:rsid w:val="000E4063"/>
    <w:rsid w:val="000E49E7"/>
    <w:rsid w:val="000E4FF5"/>
    <w:rsid w:val="000E5C12"/>
    <w:rsid w:val="000E5D6E"/>
    <w:rsid w:val="000E668B"/>
    <w:rsid w:val="000E6D8E"/>
    <w:rsid w:val="000E71C6"/>
    <w:rsid w:val="000E73CC"/>
    <w:rsid w:val="000E7B93"/>
    <w:rsid w:val="000E7BDD"/>
    <w:rsid w:val="000F0795"/>
    <w:rsid w:val="000F171F"/>
    <w:rsid w:val="000F29A7"/>
    <w:rsid w:val="000F2AD6"/>
    <w:rsid w:val="000F3000"/>
    <w:rsid w:val="000F337A"/>
    <w:rsid w:val="000F40FD"/>
    <w:rsid w:val="000F4252"/>
    <w:rsid w:val="000F5429"/>
    <w:rsid w:val="000F55E7"/>
    <w:rsid w:val="000F568D"/>
    <w:rsid w:val="000F5CDA"/>
    <w:rsid w:val="000F5F49"/>
    <w:rsid w:val="000F6732"/>
    <w:rsid w:val="000F6C0A"/>
    <w:rsid w:val="00100301"/>
    <w:rsid w:val="00100377"/>
    <w:rsid w:val="00100BDD"/>
    <w:rsid w:val="00100CFA"/>
    <w:rsid w:val="00101243"/>
    <w:rsid w:val="0010165E"/>
    <w:rsid w:val="001024F5"/>
    <w:rsid w:val="00102847"/>
    <w:rsid w:val="00102CC7"/>
    <w:rsid w:val="00103997"/>
    <w:rsid w:val="0010451C"/>
    <w:rsid w:val="00104D1D"/>
    <w:rsid w:val="00105455"/>
    <w:rsid w:val="001055D0"/>
    <w:rsid w:val="001056E0"/>
    <w:rsid w:val="0010774E"/>
    <w:rsid w:val="00107A17"/>
    <w:rsid w:val="00107A54"/>
    <w:rsid w:val="001106ED"/>
    <w:rsid w:val="00110711"/>
    <w:rsid w:val="0011074D"/>
    <w:rsid w:val="001114FD"/>
    <w:rsid w:val="001116AD"/>
    <w:rsid w:val="00112CFD"/>
    <w:rsid w:val="00113148"/>
    <w:rsid w:val="00113985"/>
    <w:rsid w:val="00113B4D"/>
    <w:rsid w:val="00114BA0"/>
    <w:rsid w:val="00116170"/>
    <w:rsid w:val="0011663E"/>
    <w:rsid w:val="001174C7"/>
    <w:rsid w:val="00120C94"/>
    <w:rsid w:val="001219C9"/>
    <w:rsid w:val="001222B8"/>
    <w:rsid w:val="00125904"/>
    <w:rsid w:val="00126F9B"/>
    <w:rsid w:val="00127082"/>
    <w:rsid w:val="001272F9"/>
    <w:rsid w:val="00127BC7"/>
    <w:rsid w:val="0013007B"/>
    <w:rsid w:val="00130337"/>
    <w:rsid w:val="00132D70"/>
    <w:rsid w:val="00132FA1"/>
    <w:rsid w:val="00133DEC"/>
    <w:rsid w:val="001345C9"/>
    <w:rsid w:val="001345EC"/>
    <w:rsid w:val="001359A1"/>
    <w:rsid w:val="00136064"/>
    <w:rsid w:val="001369BB"/>
    <w:rsid w:val="00137277"/>
    <w:rsid w:val="00137642"/>
    <w:rsid w:val="00137DDD"/>
    <w:rsid w:val="00140FF9"/>
    <w:rsid w:val="0014168D"/>
    <w:rsid w:val="0014182C"/>
    <w:rsid w:val="00141B38"/>
    <w:rsid w:val="00141B6D"/>
    <w:rsid w:val="00142D4B"/>
    <w:rsid w:val="00142E0B"/>
    <w:rsid w:val="00142F42"/>
    <w:rsid w:val="001430A0"/>
    <w:rsid w:val="001433E0"/>
    <w:rsid w:val="00143989"/>
    <w:rsid w:val="00143CEE"/>
    <w:rsid w:val="0014411C"/>
    <w:rsid w:val="00144F23"/>
    <w:rsid w:val="00145079"/>
    <w:rsid w:val="00145186"/>
    <w:rsid w:val="00145415"/>
    <w:rsid w:val="00145936"/>
    <w:rsid w:val="00147C11"/>
    <w:rsid w:val="001503B0"/>
    <w:rsid w:val="001517F4"/>
    <w:rsid w:val="001518C3"/>
    <w:rsid w:val="00153685"/>
    <w:rsid w:val="00153BE9"/>
    <w:rsid w:val="001558C9"/>
    <w:rsid w:val="00156132"/>
    <w:rsid w:val="001562BF"/>
    <w:rsid w:val="0015695F"/>
    <w:rsid w:val="00157847"/>
    <w:rsid w:val="00157DCD"/>
    <w:rsid w:val="001602F0"/>
    <w:rsid w:val="00160485"/>
    <w:rsid w:val="0016060F"/>
    <w:rsid w:val="00161186"/>
    <w:rsid w:val="00161713"/>
    <w:rsid w:val="00162B70"/>
    <w:rsid w:val="00162FB1"/>
    <w:rsid w:val="001631B9"/>
    <w:rsid w:val="00163E82"/>
    <w:rsid w:val="00163FB4"/>
    <w:rsid w:val="00165BFC"/>
    <w:rsid w:val="00165C95"/>
    <w:rsid w:val="00166246"/>
    <w:rsid w:val="0017077A"/>
    <w:rsid w:val="0017086D"/>
    <w:rsid w:val="001708C7"/>
    <w:rsid w:val="00170B93"/>
    <w:rsid w:val="00170D66"/>
    <w:rsid w:val="00170DC6"/>
    <w:rsid w:val="0017103D"/>
    <w:rsid w:val="001716ED"/>
    <w:rsid w:val="0017351A"/>
    <w:rsid w:val="00173CA7"/>
    <w:rsid w:val="00174599"/>
    <w:rsid w:val="001747DA"/>
    <w:rsid w:val="00174EB2"/>
    <w:rsid w:val="001752F8"/>
    <w:rsid w:val="001757EE"/>
    <w:rsid w:val="00175B52"/>
    <w:rsid w:val="00176728"/>
    <w:rsid w:val="0017673B"/>
    <w:rsid w:val="00176CFE"/>
    <w:rsid w:val="001776D6"/>
    <w:rsid w:val="00177CBF"/>
    <w:rsid w:val="001800E0"/>
    <w:rsid w:val="00181314"/>
    <w:rsid w:val="00182766"/>
    <w:rsid w:val="001827C2"/>
    <w:rsid w:val="001846EA"/>
    <w:rsid w:val="0018495B"/>
    <w:rsid w:val="00184F7A"/>
    <w:rsid w:val="001868F5"/>
    <w:rsid w:val="001868FD"/>
    <w:rsid w:val="00186E6F"/>
    <w:rsid w:val="00186EE3"/>
    <w:rsid w:val="00191404"/>
    <w:rsid w:val="001914B9"/>
    <w:rsid w:val="00191A7C"/>
    <w:rsid w:val="00192C9E"/>
    <w:rsid w:val="001941C2"/>
    <w:rsid w:val="001959C2"/>
    <w:rsid w:val="001960EF"/>
    <w:rsid w:val="00196236"/>
    <w:rsid w:val="001964A3"/>
    <w:rsid w:val="00196965"/>
    <w:rsid w:val="00196CC0"/>
    <w:rsid w:val="001977B6"/>
    <w:rsid w:val="00197E7D"/>
    <w:rsid w:val="00197EA5"/>
    <w:rsid w:val="001A0035"/>
    <w:rsid w:val="001A0A95"/>
    <w:rsid w:val="001A10AD"/>
    <w:rsid w:val="001A1494"/>
    <w:rsid w:val="001A1E12"/>
    <w:rsid w:val="001A2F19"/>
    <w:rsid w:val="001A4491"/>
    <w:rsid w:val="001A50D0"/>
    <w:rsid w:val="001A5DA3"/>
    <w:rsid w:val="001A6479"/>
    <w:rsid w:val="001A7153"/>
    <w:rsid w:val="001A7C3B"/>
    <w:rsid w:val="001B02F1"/>
    <w:rsid w:val="001B0407"/>
    <w:rsid w:val="001B2D3C"/>
    <w:rsid w:val="001B32B2"/>
    <w:rsid w:val="001B39EA"/>
    <w:rsid w:val="001B4A87"/>
    <w:rsid w:val="001B4FBB"/>
    <w:rsid w:val="001B7128"/>
    <w:rsid w:val="001C0255"/>
    <w:rsid w:val="001C0F11"/>
    <w:rsid w:val="001C1ABF"/>
    <w:rsid w:val="001C1BA6"/>
    <w:rsid w:val="001C1FD5"/>
    <w:rsid w:val="001C28D3"/>
    <w:rsid w:val="001C3174"/>
    <w:rsid w:val="001C4046"/>
    <w:rsid w:val="001C486B"/>
    <w:rsid w:val="001C6779"/>
    <w:rsid w:val="001C6EE7"/>
    <w:rsid w:val="001C70E1"/>
    <w:rsid w:val="001D0189"/>
    <w:rsid w:val="001D053B"/>
    <w:rsid w:val="001D05FD"/>
    <w:rsid w:val="001D0FE7"/>
    <w:rsid w:val="001D207B"/>
    <w:rsid w:val="001D3123"/>
    <w:rsid w:val="001D346D"/>
    <w:rsid w:val="001D3BD5"/>
    <w:rsid w:val="001D4201"/>
    <w:rsid w:val="001D47D2"/>
    <w:rsid w:val="001D524A"/>
    <w:rsid w:val="001D5AD2"/>
    <w:rsid w:val="001D655C"/>
    <w:rsid w:val="001D6F9F"/>
    <w:rsid w:val="001D7552"/>
    <w:rsid w:val="001D774B"/>
    <w:rsid w:val="001D7DF6"/>
    <w:rsid w:val="001E014C"/>
    <w:rsid w:val="001E06A9"/>
    <w:rsid w:val="001E0B61"/>
    <w:rsid w:val="001E0FEC"/>
    <w:rsid w:val="001E1B61"/>
    <w:rsid w:val="001E2129"/>
    <w:rsid w:val="001E2764"/>
    <w:rsid w:val="001E2946"/>
    <w:rsid w:val="001E2BFA"/>
    <w:rsid w:val="001E324A"/>
    <w:rsid w:val="001E3473"/>
    <w:rsid w:val="001E3900"/>
    <w:rsid w:val="001E3D97"/>
    <w:rsid w:val="001E3FAE"/>
    <w:rsid w:val="001E42BD"/>
    <w:rsid w:val="001E5C0C"/>
    <w:rsid w:val="001E7DC5"/>
    <w:rsid w:val="001F0973"/>
    <w:rsid w:val="001F12FC"/>
    <w:rsid w:val="001F177A"/>
    <w:rsid w:val="001F2051"/>
    <w:rsid w:val="001F2A15"/>
    <w:rsid w:val="001F3016"/>
    <w:rsid w:val="001F3564"/>
    <w:rsid w:val="001F5B0D"/>
    <w:rsid w:val="001F7AC5"/>
    <w:rsid w:val="001F7EC0"/>
    <w:rsid w:val="001F7FA2"/>
    <w:rsid w:val="00200031"/>
    <w:rsid w:val="0020009C"/>
    <w:rsid w:val="00200990"/>
    <w:rsid w:val="0020104E"/>
    <w:rsid w:val="0020181F"/>
    <w:rsid w:val="002019A6"/>
    <w:rsid w:val="00201EF1"/>
    <w:rsid w:val="002021BE"/>
    <w:rsid w:val="00202D28"/>
    <w:rsid w:val="0020305F"/>
    <w:rsid w:val="00204E35"/>
    <w:rsid w:val="00206429"/>
    <w:rsid w:val="00206774"/>
    <w:rsid w:val="00206C98"/>
    <w:rsid w:val="00207035"/>
    <w:rsid w:val="00207EC5"/>
    <w:rsid w:val="0021041D"/>
    <w:rsid w:val="002115D8"/>
    <w:rsid w:val="00211A3C"/>
    <w:rsid w:val="00211D76"/>
    <w:rsid w:val="00212A84"/>
    <w:rsid w:val="00212FBA"/>
    <w:rsid w:val="002136BB"/>
    <w:rsid w:val="00214BA6"/>
    <w:rsid w:val="00215230"/>
    <w:rsid w:val="002166E9"/>
    <w:rsid w:val="002168DB"/>
    <w:rsid w:val="00217BC8"/>
    <w:rsid w:val="00221051"/>
    <w:rsid w:val="002214B0"/>
    <w:rsid w:val="00223992"/>
    <w:rsid w:val="002257E1"/>
    <w:rsid w:val="00227006"/>
    <w:rsid w:val="002271AD"/>
    <w:rsid w:val="002273F1"/>
    <w:rsid w:val="00230B68"/>
    <w:rsid w:val="00231A97"/>
    <w:rsid w:val="00232EE0"/>
    <w:rsid w:val="00232FF9"/>
    <w:rsid w:val="00233339"/>
    <w:rsid w:val="0023340B"/>
    <w:rsid w:val="00233F0C"/>
    <w:rsid w:val="00234917"/>
    <w:rsid w:val="002354B5"/>
    <w:rsid w:val="00235BA1"/>
    <w:rsid w:val="00235D9B"/>
    <w:rsid w:val="00236561"/>
    <w:rsid w:val="00236B1D"/>
    <w:rsid w:val="0024021E"/>
    <w:rsid w:val="00243A97"/>
    <w:rsid w:val="002448F7"/>
    <w:rsid w:val="00246780"/>
    <w:rsid w:val="002469C1"/>
    <w:rsid w:val="00247327"/>
    <w:rsid w:val="00247428"/>
    <w:rsid w:val="0024794F"/>
    <w:rsid w:val="00247DE3"/>
    <w:rsid w:val="00250577"/>
    <w:rsid w:val="00250607"/>
    <w:rsid w:val="00250697"/>
    <w:rsid w:val="002507B3"/>
    <w:rsid w:val="00250B02"/>
    <w:rsid w:val="00250BCD"/>
    <w:rsid w:val="002521B2"/>
    <w:rsid w:val="002536C5"/>
    <w:rsid w:val="00253A68"/>
    <w:rsid w:val="002545BF"/>
    <w:rsid w:val="00254C04"/>
    <w:rsid w:val="00255CA3"/>
    <w:rsid w:val="00256067"/>
    <w:rsid w:val="002561B9"/>
    <w:rsid w:val="002568E0"/>
    <w:rsid w:val="00256C9F"/>
    <w:rsid w:val="00256DBC"/>
    <w:rsid w:val="002573E2"/>
    <w:rsid w:val="00257C3D"/>
    <w:rsid w:val="00260643"/>
    <w:rsid w:val="0026089D"/>
    <w:rsid w:val="00260D9B"/>
    <w:rsid w:val="00261336"/>
    <w:rsid w:val="002614A3"/>
    <w:rsid w:val="0026193B"/>
    <w:rsid w:val="0026223A"/>
    <w:rsid w:val="002624E4"/>
    <w:rsid w:val="00262ABF"/>
    <w:rsid w:val="00263505"/>
    <w:rsid w:val="00264B98"/>
    <w:rsid w:val="00265126"/>
    <w:rsid w:val="00265B34"/>
    <w:rsid w:val="002664E7"/>
    <w:rsid w:val="00266DA6"/>
    <w:rsid w:val="00270205"/>
    <w:rsid w:val="0027032E"/>
    <w:rsid w:val="002725C7"/>
    <w:rsid w:val="00272B0B"/>
    <w:rsid w:val="00272CAC"/>
    <w:rsid w:val="00273F8A"/>
    <w:rsid w:val="00274E04"/>
    <w:rsid w:val="00275198"/>
    <w:rsid w:val="00276D46"/>
    <w:rsid w:val="00276E00"/>
    <w:rsid w:val="00276E0C"/>
    <w:rsid w:val="00277521"/>
    <w:rsid w:val="0027768C"/>
    <w:rsid w:val="002778B0"/>
    <w:rsid w:val="002804DA"/>
    <w:rsid w:val="00283501"/>
    <w:rsid w:val="002850CA"/>
    <w:rsid w:val="002855F3"/>
    <w:rsid w:val="002858A7"/>
    <w:rsid w:val="0028640A"/>
    <w:rsid w:val="0028713C"/>
    <w:rsid w:val="00287789"/>
    <w:rsid w:val="00287E78"/>
    <w:rsid w:val="002913FA"/>
    <w:rsid w:val="00291770"/>
    <w:rsid w:val="00291DBF"/>
    <w:rsid w:val="00291E2A"/>
    <w:rsid w:val="0029205F"/>
    <w:rsid w:val="00292D0F"/>
    <w:rsid w:val="00292D45"/>
    <w:rsid w:val="00294FB6"/>
    <w:rsid w:val="00295AC1"/>
    <w:rsid w:val="00295CFD"/>
    <w:rsid w:val="00296FDC"/>
    <w:rsid w:val="002A2078"/>
    <w:rsid w:val="002A20F6"/>
    <w:rsid w:val="002A2307"/>
    <w:rsid w:val="002A3934"/>
    <w:rsid w:val="002A4BF7"/>
    <w:rsid w:val="002A58C8"/>
    <w:rsid w:val="002A5A1E"/>
    <w:rsid w:val="002A5E13"/>
    <w:rsid w:val="002A611E"/>
    <w:rsid w:val="002A6B15"/>
    <w:rsid w:val="002A6E86"/>
    <w:rsid w:val="002A7384"/>
    <w:rsid w:val="002A76AD"/>
    <w:rsid w:val="002A7BF2"/>
    <w:rsid w:val="002A7DCB"/>
    <w:rsid w:val="002B2D49"/>
    <w:rsid w:val="002B34F1"/>
    <w:rsid w:val="002B38B5"/>
    <w:rsid w:val="002B406F"/>
    <w:rsid w:val="002B4251"/>
    <w:rsid w:val="002B47AC"/>
    <w:rsid w:val="002B6650"/>
    <w:rsid w:val="002B670C"/>
    <w:rsid w:val="002B7D74"/>
    <w:rsid w:val="002C007D"/>
    <w:rsid w:val="002C0153"/>
    <w:rsid w:val="002C01AE"/>
    <w:rsid w:val="002C07A4"/>
    <w:rsid w:val="002C07A5"/>
    <w:rsid w:val="002C086E"/>
    <w:rsid w:val="002C0B44"/>
    <w:rsid w:val="002C0FB0"/>
    <w:rsid w:val="002C1249"/>
    <w:rsid w:val="002C30A4"/>
    <w:rsid w:val="002C3140"/>
    <w:rsid w:val="002C4B9D"/>
    <w:rsid w:val="002C5116"/>
    <w:rsid w:val="002C5B49"/>
    <w:rsid w:val="002C6C13"/>
    <w:rsid w:val="002C745C"/>
    <w:rsid w:val="002C74F9"/>
    <w:rsid w:val="002D0319"/>
    <w:rsid w:val="002D1175"/>
    <w:rsid w:val="002D1AA6"/>
    <w:rsid w:val="002D1B4B"/>
    <w:rsid w:val="002D2F89"/>
    <w:rsid w:val="002D3EC0"/>
    <w:rsid w:val="002D494E"/>
    <w:rsid w:val="002D508C"/>
    <w:rsid w:val="002D60E9"/>
    <w:rsid w:val="002D6A75"/>
    <w:rsid w:val="002E04D0"/>
    <w:rsid w:val="002E0926"/>
    <w:rsid w:val="002E17CE"/>
    <w:rsid w:val="002E1A65"/>
    <w:rsid w:val="002E1BAD"/>
    <w:rsid w:val="002E1F57"/>
    <w:rsid w:val="002E1F62"/>
    <w:rsid w:val="002E23DA"/>
    <w:rsid w:val="002E351B"/>
    <w:rsid w:val="002E45B3"/>
    <w:rsid w:val="002E52E3"/>
    <w:rsid w:val="002E5A71"/>
    <w:rsid w:val="002E5D61"/>
    <w:rsid w:val="002E6850"/>
    <w:rsid w:val="002E74EF"/>
    <w:rsid w:val="002F01A0"/>
    <w:rsid w:val="002F02C2"/>
    <w:rsid w:val="002F0B2C"/>
    <w:rsid w:val="002F18A7"/>
    <w:rsid w:val="002F32C3"/>
    <w:rsid w:val="002F4F56"/>
    <w:rsid w:val="002F5C0E"/>
    <w:rsid w:val="002F5EAC"/>
    <w:rsid w:val="002F6504"/>
    <w:rsid w:val="002F681D"/>
    <w:rsid w:val="002F6A37"/>
    <w:rsid w:val="002F6B12"/>
    <w:rsid w:val="002F6C10"/>
    <w:rsid w:val="002F769F"/>
    <w:rsid w:val="002F7B75"/>
    <w:rsid w:val="00300315"/>
    <w:rsid w:val="00300D28"/>
    <w:rsid w:val="00302169"/>
    <w:rsid w:val="003030AC"/>
    <w:rsid w:val="00303AD3"/>
    <w:rsid w:val="00303B7B"/>
    <w:rsid w:val="00304523"/>
    <w:rsid w:val="003046DD"/>
    <w:rsid w:val="00304F34"/>
    <w:rsid w:val="003057D7"/>
    <w:rsid w:val="00305B32"/>
    <w:rsid w:val="00305F20"/>
    <w:rsid w:val="00306556"/>
    <w:rsid w:val="00306EF1"/>
    <w:rsid w:val="003073F8"/>
    <w:rsid w:val="003077EF"/>
    <w:rsid w:val="003108BD"/>
    <w:rsid w:val="00310FEC"/>
    <w:rsid w:val="003124D8"/>
    <w:rsid w:val="00312BC1"/>
    <w:rsid w:val="00313B17"/>
    <w:rsid w:val="00314606"/>
    <w:rsid w:val="003167B5"/>
    <w:rsid w:val="00316A6B"/>
    <w:rsid w:val="0031701F"/>
    <w:rsid w:val="003175BB"/>
    <w:rsid w:val="00317A3B"/>
    <w:rsid w:val="00320C02"/>
    <w:rsid w:val="00321D08"/>
    <w:rsid w:val="003223AA"/>
    <w:rsid w:val="00322AD2"/>
    <w:rsid w:val="0032356E"/>
    <w:rsid w:val="003237B4"/>
    <w:rsid w:val="00323D93"/>
    <w:rsid w:val="00323F1B"/>
    <w:rsid w:val="003242FB"/>
    <w:rsid w:val="00324707"/>
    <w:rsid w:val="00324C44"/>
    <w:rsid w:val="00325CB7"/>
    <w:rsid w:val="00326012"/>
    <w:rsid w:val="003263CC"/>
    <w:rsid w:val="00326581"/>
    <w:rsid w:val="003268F7"/>
    <w:rsid w:val="00327F24"/>
    <w:rsid w:val="0033000D"/>
    <w:rsid w:val="0033005D"/>
    <w:rsid w:val="003305BB"/>
    <w:rsid w:val="003310B8"/>
    <w:rsid w:val="003312B6"/>
    <w:rsid w:val="00331C8C"/>
    <w:rsid w:val="00331FE6"/>
    <w:rsid w:val="00332959"/>
    <w:rsid w:val="003343E0"/>
    <w:rsid w:val="00334FCD"/>
    <w:rsid w:val="00335301"/>
    <w:rsid w:val="003353E6"/>
    <w:rsid w:val="00335981"/>
    <w:rsid w:val="00336432"/>
    <w:rsid w:val="00336A1F"/>
    <w:rsid w:val="00340485"/>
    <w:rsid w:val="003409E3"/>
    <w:rsid w:val="00341CF3"/>
    <w:rsid w:val="00343351"/>
    <w:rsid w:val="00343B44"/>
    <w:rsid w:val="003441F6"/>
    <w:rsid w:val="003449A2"/>
    <w:rsid w:val="00344A9C"/>
    <w:rsid w:val="00345578"/>
    <w:rsid w:val="00345610"/>
    <w:rsid w:val="00345D36"/>
    <w:rsid w:val="00345F9F"/>
    <w:rsid w:val="0034692D"/>
    <w:rsid w:val="00346E58"/>
    <w:rsid w:val="00347B91"/>
    <w:rsid w:val="003501EA"/>
    <w:rsid w:val="00350A22"/>
    <w:rsid w:val="0035123A"/>
    <w:rsid w:val="00351301"/>
    <w:rsid w:val="00352BB1"/>
    <w:rsid w:val="0035369E"/>
    <w:rsid w:val="00353A75"/>
    <w:rsid w:val="00353E14"/>
    <w:rsid w:val="00353EA2"/>
    <w:rsid w:val="003547BB"/>
    <w:rsid w:val="003548B0"/>
    <w:rsid w:val="003573FA"/>
    <w:rsid w:val="00360572"/>
    <w:rsid w:val="003609AA"/>
    <w:rsid w:val="003612DE"/>
    <w:rsid w:val="00362B23"/>
    <w:rsid w:val="00363224"/>
    <w:rsid w:val="00363F61"/>
    <w:rsid w:val="00364A45"/>
    <w:rsid w:val="003652C7"/>
    <w:rsid w:val="003662AE"/>
    <w:rsid w:val="00366AF6"/>
    <w:rsid w:val="003670A6"/>
    <w:rsid w:val="0036729E"/>
    <w:rsid w:val="003674AD"/>
    <w:rsid w:val="00370593"/>
    <w:rsid w:val="003706BE"/>
    <w:rsid w:val="00370BAD"/>
    <w:rsid w:val="0037260B"/>
    <w:rsid w:val="00372867"/>
    <w:rsid w:val="003733FC"/>
    <w:rsid w:val="00373816"/>
    <w:rsid w:val="003739B3"/>
    <w:rsid w:val="00373AD9"/>
    <w:rsid w:val="00374080"/>
    <w:rsid w:val="00374588"/>
    <w:rsid w:val="00374903"/>
    <w:rsid w:val="00374EB6"/>
    <w:rsid w:val="00374F2C"/>
    <w:rsid w:val="003759AC"/>
    <w:rsid w:val="00375DFA"/>
    <w:rsid w:val="00376A5A"/>
    <w:rsid w:val="00376F5D"/>
    <w:rsid w:val="00380CB7"/>
    <w:rsid w:val="00380F3D"/>
    <w:rsid w:val="0038107B"/>
    <w:rsid w:val="00381450"/>
    <w:rsid w:val="00381CF9"/>
    <w:rsid w:val="003821D4"/>
    <w:rsid w:val="00382766"/>
    <w:rsid w:val="00382788"/>
    <w:rsid w:val="00384E03"/>
    <w:rsid w:val="00384EC2"/>
    <w:rsid w:val="00385801"/>
    <w:rsid w:val="00385B17"/>
    <w:rsid w:val="003868E2"/>
    <w:rsid w:val="003871E7"/>
    <w:rsid w:val="0038752D"/>
    <w:rsid w:val="0038792B"/>
    <w:rsid w:val="00391007"/>
    <w:rsid w:val="00391628"/>
    <w:rsid w:val="00392AC7"/>
    <w:rsid w:val="003933E3"/>
    <w:rsid w:val="00393443"/>
    <w:rsid w:val="00393A98"/>
    <w:rsid w:val="00393FFC"/>
    <w:rsid w:val="0039416C"/>
    <w:rsid w:val="00395B25"/>
    <w:rsid w:val="003961CB"/>
    <w:rsid w:val="0039731E"/>
    <w:rsid w:val="003A0BC0"/>
    <w:rsid w:val="003A17D0"/>
    <w:rsid w:val="003A1985"/>
    <w:rsid w:val="003A2785"/>
    <w:rsid w:val="003A2A11"/>
    <w:rsid w:val="003A39E1"/>
    <w:rsid w:val="003A55EF"/>
    <w:rsid w:val="003A5944"/>
    <w:rsid w:val="003A5F75"/>
    <w:rsid w:val="003A6733"/>
    <w:rsid w:val="003A6EF5"/>
    <w:rsid w:val="003A7927"/>
    <w:rsid w:val="003B0336"/>
    <w:rsid w:val="003B04D3"/>
    <w:rsid w:val="003B052A"/>
    <w:rsid w:val="003B10AF"/>
    <w:rsid w:val="003B18A5"/>
    <w:rsid w:val="003B3449"/>
    <w:rsid w:val="003B3811"/>
    <w:rsid w:val="003B45F6"/>
    <w:rsid w:val="003B48EB"/>
    <w:rsid w:val="003B5483"/>
    <w:rsid w:val="003B59D7"/>
    <w:rsid w:val="003B5A1C"/>
    <w:rsid w:val="003B5BF9"/>
    <w:rsid w:val="003B64C4"/>
    <w:rsid w:val="003B658B"/>
    <w:rsid w:val="003B7B80"/>
    <w:rsid w:val="003B7C90"/>
    <w:rsid w:val="003C03FE"/>
    <w:rsid w:val="003C0490"/>
    <w:rsid w:val="003C2344"/>
    <w:rsid w:val="003C237B"/>
    <w:rsid w:val="003C2662"/>
    <w:rsid w:val="003C325B"/>
    <w:rsid w:val="003C3D7A"/>
    <w:rsid w:val="003C464C"/>
    <w:rsid w:val="003C4CB8"/>
    <w:rsid w:val="003C4CFB"/>
    <w:rsid w:val="003C4FEE"/>
    <w:rsid w:val="003C5829"/>
    <w:rsid w:val="003C65AD"/>
    <w:rsid w:val="003C707F"/>
    <w:rsid w:val="003C79BA"/>
    <w:rsid w:val="003D076F"/>
    <w:rsid w:val="003D086C"/>
    <w:rsid w:val="003D1003"/>
    <w:rsid w:val="003D1E23"/>
    <w:rsid w:val="003D1F2F"/>
    <w:rsid w:val="003D2380"/>
    <w:rsid w:val="003D2BAD"/>
    <w:rsid w:val="003D2D23"/>
    <w:rsid w:val="003D4EDA"/>
    <w:rsid w:val="003D5376"/>
    <w:rsid w:val="003D610E"/>
    <w:rsid w:val="003D63BD"/>
    <w:rsid w:val="003D68C2"/>
    <w:rsid w:val="003D6C8E"/>
    <w:rsid w:val="003D75B1"/>
    <w:rsid w:val="003E0626"/>
    <w:rsid w:val="003E0B83"/>
    <w:rsid w:val="003E0D94"/>
    <w:rsid w:val="003E1360"/>
    <w:rsid w:val="003E191C"/>
    <w:rsid w:val="003E1AA2"/>
    <w:rsid w:val="003E1C77"/>
    <w:rsid w:val="003E1D8C"/>
    <w:rsid w:val="003E1E73"/>
    <w:rsid w:val="003E20AB"/>
    <w:rsid w:val="003E29F6"/>
    <w:rsid w:val="003E32A6"/>
    <w:rsid w:val="003E4365"/>
    <w:rsid w:val="003E43AC"/>
    <w:rsid w:val="003E6D0E"/>
    <w:rsid w:val="003E792F"/>
    <w:rsid w:val="003F089F"/>
    <w:rsid w:val="003F0D23"/>
    <w:rsid w:val="003F21D5"/>
    <w:rsid w:val="003F2872"/>
    <w:rsid w:val="003F29F4"/>
    <w:rsid w:val="003F40E0"/>
    <w:rsid w:val="003F4A3B"/>
    <w:rsid w:val="003F4EF5"/>
    <w:rsid w:val="003F50C3"/>
    <w:rsid w:val="003F5B5D"/>
    <w:rsid w:val="003F5FD4"/>
    <w:rsid w:val="003F6716"/>
    <w:rsid w:val="003F68DE"/>
    <w:rsid w:val="003F727A"/>
    <w:rsid w:val="003F7DA8"/>
    <w:rsid w:val="004001E0"/>
    <w:rsid w:val="004007B8"/>
    <w:rsid w:val="0040095A"/>
    <w:rsid w:val="00400A35"/>
    <w:rsid w:val="004014CB"/>
    <w:rsid w:val="00401E24"/>
    <w:rsid w:val="00402EF9"/>
    <w:rsid w:val="0040454E"/>
    <w:rsid w:val="0040530B"/>
    <w:rsid w:val="00405DAB"/>
    <w:rsid w:val="004068CA"/>
    <w:rsid w:val="00406AFC"/>
    <w:rsid w:val="00406DCC"/>
    <w:rsid w:val="00407968"/>
    <w:rsid w:val="00407D3B"/>
    <w:rsid w:val="00407FBA"/>
    <w:rsid w:val="004103FB"/>
    <w:rsid w:val="00410F8E"/>
    <w:rsid w:val="00411C96"/>
    <w:rsid w:val="004120FF"/>
    <w:rsid w:val="00412531"/>
    <w:rsid w:val="00412CAC"/>
    <w:rsid w:val="00413B35"/>
    <w:rsid w:val="0041485B"/>
    <w:rsid w:val="00415560"/>
    <w:rsid w:val="00415CA7"/>
    <w:rsid w:val="0041656D"/>
    <w:rsid w:val="00416D05"/>
    <w:rsid w:val="00417824"/>
    <w:rsid w:val="00417A25"/>
    <w:rsid w:val="0042053F"/>
    <w:rsid w:val="00420A2E"/>
    <w:rsid w:val="00420A94"/>
    <w:rsid w:val="00421EDA"/>
    <w:rsid w:val="004221FB"/>
    <w:rsid w:val="00422411"/>
    <w:rsid w:val="00422E75"/>
    <w:rsid w:val="00423214"/>
    <w:rsid w:val="00423C94"/>
    <w:rsid w:val="004242CC"/>
    <w:rsid w:val="004246DF"/>
    <w:rsid w:val="004250FF"/>
    <w:rsid w:val="00425F3A"/>
    <w:rsid w:val="00426549"/>
    <w:rsid w:val="004265D3"/>
    <w:rsid w:val="00426C05"/>
    <w:rsid w:val="00426D1B"/>
    <w:rsid w:val="00427346"/>
    <w:rsid w:val="00427AFC"/>
    <w:rsid w:val="00427C5A"/>
    <w:rsid w:val="00427E57"/>
    <w:rsid w:val="0043080C"/>
    <w:rsid w:val="00431074"/>
    <w:rsid w:val="0043212E"/>
    <w:rsid w:val="00432B51"/>
    <w:rsid w:val="00435004"/>
    <w:rsid w:val="00436581"/>
    <w:rsid w:val="00440BBE"/>
    <w:rsid w:val="00440CF0"/>
    <w:rsid w:val="004410A8"/>
    <w:rsid w:val="004410F2"/>
    <w:rsid w:val="00442137"/>
    <w:rsid w:val="004422DD"/>
    <w:rsid w:val="00442D69"/>
    <w:rsid w:val="004444BE"/>
    <w:rsid w:val="004445F5"/>
    <w:rsid w:val="004478ED"/>
    <w:rsid w:val="00447B06"/>
    <w:rsid w:val="0045102F"/>
    <w:rsid w:val="004510B2"/>
    <w:rsid w:val="004513E7"/>
    <w:rsid w:val="004517C7"/>
    <w:rsid w:val="004520A2"/>
    <w:rsid w:val="00452256"/>
    <w:rsid w:val="00453826"/>
    <w:rsid w:val="004545FA"/>
    <w:rsid w:val="0045651F"/>
    <w:rsid w:val="00456674"/>
    <w:rsid w:val="00456D24"/>
    <w:rsid w:val="00457727"/>
    <w:rsid w:val="00457F5F"/>
    <w:rsid w:val="0046166C"/>
    <w:rsid w:val="0046221B"/>
    <w:rsid w:val="004632E2"/>
    <w:rsid w:val="004633BF"/>
    <w:rsid w:val="00463BE8"/>
    <w:rsid w:val="0046450A"/>
    <w:rsid w:val="00466FE6"/>
    <w:rsid w:val="00467EDA"/>
    <w:rsid w:val="004701A8"/>
    <w:rsid w:val="0047104E"/>
    <w:rsid w:val="00472329"/>
    <w:rsid w:val="00472788"/>
    <w:rsid w:val="00472B57"/>
    <w:rsid w:val="00473F5B"/>
    <w:rsid w:val="00474394"/>
    <w:rsid w:val="004745B4"/>
    <w:rsid w:val="00474D5B"/>
    <w:rsid w:val="004759C0"/>
    <w:rsid w:val="0047652C"/>
    <w:rsid w:val="00476EC7"/>
    <w:rsid w:val="00477519"/>
    <w:rsid w:val="004776D1"/>
    <w:rsid w:val="00480594"/>
    <w:rsid w:val="00480C34"/>
    <w:rsid w:val="004810F4"/>
    <w:rsid w:val="00481253"/>
    <w:rsid w:val="004819EA"/>
    <w:rsid w:val="00482268"/>
    <w:rsid w:val="00482577"/>
    <w:rsid w:val="0048411E"/>
    <w:rsid w:val="004874A4"/>
    <w:rsid w:val="0048793D"/>
    <w:rsid w:val="00487D5D"/>
    <w:rsid w:val="00490047"/>
    <w:rsid w:val="00490931"/>
    <w:rsid w:val="00490F5F"/>
    <w:rsid w:val="00490FAA"/>
    <w:rsid w:val="00491ACF"/>
    <w:rsid w:val="00491B42"/>
    <w:rsid w:val="004923CB"/>
    <w:rsid w:val="00492451"/>
    <w:rsid w:val="0049284F"/>
    <w:rsid w:val="00492884"/>
    <w:rsid w:val="004929B4"/>
    <w:rsid w:val="00492CC5"/>
    <w:rsid w:val="00492D40"/>
    <w:rsid w:val="00492D74"/>
    <w:rsid w:val="00492F61"/>
    <w:rsid w:val="00492F64"/>
    <w:rsid w:val="004932DF"/>
    <w:rsid w:val="00493C56"/>
    <w:rsid w:val="0049408D"/>
    <w:rsid w:val="0049433E"/>
    <w:rsid w:val="00495077"/>
    <w:rsid w:val="0049523F"/>
    <w:rsid w:val="004957AB"/>
    <w:rsid w:val="00495DBC"/>
    <w:rsid w:val="004967C9"/>
    <w:rsid w:val="004969BB"/>
    <w:rsid w:val="00496C36"/>
    <w:rsid w:val="00496D49"/>
    <w:rsid w:val="00496DC6"/>
    <w:rsid w:val="00497B74"/>
    <w:rsid w:val="00497D75"/>
    <w:rsid w:val="00497DE0"/>
    <w:rsid w:val="004A021D"/>
    <w:rsid w:val="004A0576"/>
    <w:rsid w:val="004A077C"/>
    <w:rsid w:val="004A07B9"/>
    <w:rsid w:val="004A27D2"/>
    <w:rsid w:val="004A30CF"/>
    <w:rsid w:val="004A3264"/>
    <w:rsid w:val="004A33E1"/>
    <w:rsid w:val="004A366B"/>
    <w:rsid w:val="004A3F90"/>
    <w:rsid w:val="004A43B6"/>
    <w:rsid w:val="004A4ECA"/>
    <w:rsid w:val="004A5F01"/>
    <w:rsid w:val="004A619F"/>
    <w:rsid w:val="004A7AF6"/>
    <w:rsid w:val="004B0833"/>
    <w:rsid w:val="004B0858"/>
    <w:rsid w:val="004B3749"/>
    <w:rsid w:val="004B3827"/>
    <w:rsid w:val="004B45F4"/>
    <w:rsid w:val="004B4F88"/>
    <w:rsid w:val="004B52AD"/>
    <w:rsid w:val="004B53D7"/>
    <w:rsid w:val="004B59CA"/>
    <w:rsid w:val="004B6469"/>
    <w:rsid w:val="004B6AB8"/>
    <w:rsid w:val="004B6B60"/>
    <w:rsid w:val="004B7548"/>
    <w:rsid w:val="004C0C65"/>
    <w:rsid w:val="004C14B0"/>
    <w:rsid w:val="004C1E9F"/>
    <w:rsid w:val="004C4006"/>
    <w:rsid w:val="004C4D6D"/>
    <w:rsid w:val="004C5408"/>
    <w:rsid w:val="004C5614"/>
    <w:rsid w:val="004C561D"/>
    <w:rsid w:val="004C57F5"/>
    <w:rsid w:val="004C618B"/>
    <w:rsid w:val="004C6665"/>
    <w:rsid w:val="004C670F"/>
    <w:rsid w:val="004C6BE9"/>
    <w:rsid w:val="004D1D59"/>
    <w:rsid w:val="004D1F5A"/>
    <w:rsid w:val="004D2487"/>
    <w:rsid w:val="004D37BE"/>
    <w:rsid w:val="004D438B"/>
    <w:rsid w:val="004D535B"/>
    <w:rsid w:val="004D5E3F"/>
    <w:rsid w:val="004D6A8C"/>
    <w:rsid w:val="004D6C08"/>
    <w:rsid w:val="004D6C38"/>
    <w:rsid w:val="004D7B7C"/>
    <w:rsid w:val="004D7C42"/>
    <w:rsid w:val="004E05D3"/>
    <w:rsid w:val="004E09A7"/>
    <w:rsid w:val="004E0A11"/>
    <w:rsid w:val="004E0EB0"/>
    <w:rsid w:val="004E0F99"/>
    <w:rsid w:val="004E1261"/>
    <w:rsid w:val="004E1D6D"/>
    <w:rsid w:val="004E24EA"/>
    <w:rsid w:val="004E27CC"/>
    <w:rsid w:val="004E30CC"/>
    <w:rsid w:val="004E330A"/>
    <w:rsid w:val="004E3690"/>
    <w:rsid w:val="004E40F1"/>
    <w:rsid w:val="004E45B5"/>
    <w:rsid w:val="004E4B07"/>
    <w:rsid w:val="004E676D"/>
    <w:rsid w:val="004E6A9C"/>
    <w:rsid w:val="004E6C38"/>
    <w:rsid w:val="004E71CD"/>
    <w:rsid w:val="004E72A1"/>
    <w:rsid w:val="004E7BFE"/>
    <w:rsid w:val="004F33A8"/>
    <w:rsid w:val="004F37A4"/>
    <w:rsid w:val="004F38B5"/>
    <w:rsid w:val="004F3A12"/>
    <w:rsid w:val="004F4F55"/>
    <w:rsid w:val="004F5AD3"/>
    <w:rsid w:val="004F5BB5"/>
    <w:rsid w:val="004F6985"/>
    <w:rsid w:val="004F793E"/>
    <w:rsid w:val="004F7F36"/>
    <w:rsid w:val="00501496"/>
    <w:rsid w:val="00501F71"/>
    <w:rsid w:val="00502119"/>
    <w:rsid w:val="00502908"/>
    <w:rsid w:val="005033C0"/>
    <w:rsid w:val="00503B2D"/>
    <w:rsid w:val="00503B44"/>
    <w:rsid w:val="00503DEF"/>
    <w:rsid w:val="005055D8"/>
    <w:rsid w:val="005056D0"/>
    <w:rsid w:val="005059C8"/>
    <w:rsid w:val="0050670C"/>
    <w:rsid w:val="00506CF1"/>
    <w:rsid w:val="00507317"/>
    <w:rsid w:val="00507FB9"/>
    <w:rsid w:val="0051022F"/>
    <w:rsid w:val="005102AB"/>
    <w:rsid w:val="0051096B"/>
    <w:rsid w:val="00510BCE"/>
    <w:rsid w:val="00510F41"/>
    <w:rsid w:val="0051140D"/>
    <w:rsid w:val="00511E05"/>
    <w:rsid w:val="00512898"/>
    <w:rsid w:val="0051399C"/>
    <w:rsid w:val="00513ED7"/>
    <w:rsid w:val="00514520"/>
    <w:rsid w:val="00514CB1"/>
    <w:rsid w:val="00514EB0"/>
    <w:rsid w:val="00515E11"/>
    <w:rsid w:val="005165A7"/>
    <w:rsid w:val="00517215"/>
    <w:rsid w:val="00517A1B"/>
    <w:rsid w:val="00521F7A"/>
    <w:rsid w:val="005220C4"/>
    <w:rsid w:val="005227E3"/>
    <w:rsid w:val="0052446E"/>
    <w:rsid w:val="00524517"/>
    <w:rsid w:val="00524518"/>
    <w:rsid w:val="00524BA7"/>
    <w:rsid w:val="005268BF"/>
    <w:rsid w:val="00530327"/>
    <w:rsid w:val="00530630"/>
    <w:rsid w:val="0053063F"/>
    <w:rsid w:val="00531397"/>
    <w:rsid w:val="005313FA"/>
    <w:rsid w:val="00531622"/>
    <w:rsid w:val="005324B7"/>
    <w:rsid w:val="00532948"/>
    <w:rsid w:val="00532D70"/>
    <w:rsid w:val="00532F9D"/>
    <w:rsid w:val="00533952"/>
    <w:rsid w:val="00534E9A"/>
    <w:rsid w:val="0053547D"/>
    <w:rsid w:val="00535506"/>
    <w:rsid w:val="00535883"/>
    <w:rsid w:val="005359F0"/>
    <w:rsid w:val="0053619C"/>
    <w:rsid w:val="00536B93"/>
    <w:rsid w:val="00542931"/>
    <w:rsid w:val="00542D42"/>
    <w:rsid w:val="00543A0B"/>
    <w:rsid w:val="00543E98"/>
    <w:rsid w:val="0054412B"/>
    <w:rsid w:val="00544DDA"/>
    <w:rsid w:val="005454FA"/>
    <w:rsid w:val="00545605"/>
    <w:rsid w:val="00545E1A"/>
    <w:rsid w:val="00546BFA"/>
    <w:rsid w:val="005501DA"/>
    <w:rsid w:val="005502B6"/>
    <w:rsid w:val="005515B0"/>
    <w:rsid w:val="00551866"/>
    <w:rsid w:val="00551A36"/>
    <w:rsid w:val="00553245"/>
    <w:rsid w:val="00553F81"/>
    <w:rsid w:val="00554265"/>
    <w:rsid w:val="00554D46"/>
    <w:rsid w:val="00554FA5"/>
    <w:rsid w:val="005564D6"/>
    <w:rsid w:val="00557365"/>
    <w:rsid w:val="00557725"/>
    <w:rsid w:val="00557E32"/>
    <w:rsid w:val="00560E20"/>
    <w:rsid w:val="00561D2B"/>
    <w:rsid w:val="00563121"/>
    <w:rsid w:val="005631FB"/>
    <w:rsid w:val="0056488B"/>
    <w:rsid w:val="00564FB9"/>
    <w:rsid w:val="0056517D"/>
    <w:rsid w:val="005659E1"/>
    <w:rsid w:val="005667F4"/>
    <w:rsid w:val="005671E0"/>
    <w:rsid w:val="00567879"/>
    <w:rsid w:val="0057005A"/>
    <w:rsid w:val="00570C45"/>
    <w:rsid w:val="00571539"/>
    <w:rsid w:val="00572185"/>
    <w:rsid w:val="00572979"/>
    <w:rsid w:val="0057298A"/>
    <w:rsid w:val="00575D09"/>
    <w:rsid w:val="00576351"/>
    <w:rsid w:val="00576AAE"/>
    <w:rsid w:val="005778E9"/>
    <w:rsid w:val="00580DFA"/>
    <w:rsid w:val="00581729"/>
    <w:rsid w:val="00581D2D"/>
    <w:rsid w:val="00581D81"/>
    <w:rsid w:val="0058340F"/>
    <w:rsid w:val="00583770"/>
    <w:rsid w:val="005843EF"/>
    <w:rsid w:val="00584EFA"/>
    <w:rsid w:val="00585FD1"/>
    <w:rsid w:val="005862E6"/>
    <w:rsid w:val="00586959"/>
    <w:rsid w:val="005870AF"/>
    <w:rsid w:val="005879AB"/>
    <w:rsid w:val="00587B4A"/>
    <w:rsid w:val="0059008E"/>
    <w:rsid w:val="005900C7"/>
    <w:rsid w:val="00592069"/>
    <w:rsid w:val="0059267F"/>
    <w:rsid w:val="00592F79"/>
    <w:rsid w:val="005938D3"/>
    <w:rsid w:val="005942AA"/>
    <w:rsid w:val="00595D5A"/>
    <w:rsid w:val="0059628F"/>
    <w:rsid w:val="00596294"/>
    <w:rsid w:val="00596D15"/>
    <w:rsid w:val="005970AD"/>
    <w:rsid w:val="00597C5F"/>
    <w:rsid w:val="005A00E4"/>
    <w:rsid w:val="005A0189"/>
    <w:rsid w:val="005A0239"/>
    <w:rsid w:val="005A030B"/>
    <w:rsid w:val="005A0496"/>
    <w:rsid w:val="005A051C"/>
    <w:rsid w:val="005A287E"/>
    <w:rsid w:val="005A3C69"/>
    <w:rsid w:val="005A4E0D"/>
    <w:rsid w:val="005A56BF"/>
    <w:rsid w:val="005A58E3"/>
    <w:rsid w:val="005A5B6E"/>
    <w:rsid w:val="005A5D99"/>
    <w:rsid w:val="005A61B4"/>
    <w:rsid w:val="005A623E"/>
    <w:rsid w:val="005A6E79"/>
    <w:rsid w:val="005A7140"/>
    <w:rsid w:val="005A7D49"/>
    <w:rsid w:val="005B04CF"/>
    <w:rsid w:val="005B2801"/>
    <w:rsid w:val="005B2F0A"/>
    <w:rsid w:val="005B2F67"/>
    <w:rsid w:val="005B2FBD"/>
    <w:rsid w:val="005B3926"/>
    <w:rsid w:val="005B527A"/>
    <w:rsid w:val="005B5C13"/>
    <w:rsid w:val="005B5EEE"/>
    <w:rsid w:val="005B61B2"/>
    <w:rsid w:val="005B66D9"/>
    <w:rsid w:val="005B6B1B"/>
    <w:rsid w:val="005B6CBE"/>
    <w:rsid w:val="005B772E"/>
    <w:rsid w:val="005C0517"/>
    <w:rsid w:val="005C07EA"/>
    <w:rsid w:val="005C0B93"/>
    <w:rsid w:val="005C0E20"/>
    <w:rsid w:val="005C0F55"/>
    <w:rsid w:val="005C16F3"/>
    <w:rsid w:val="005C1715"/>
    <w:rsid w:val="005C2556"/>
    <w:rsid w:val="005C275E"/>
    <w:rsid w:val="005C3111"/>
    <w:rsid w:val="005C3EE8"/>
    <w:rsid w:val="005C43F0"/>
    <w:rsid w:val="005C450F"/>
    <w:rsid w:val="005C47B8"/>
    <w:rsid w:val="005C4968"/>
    <w:rsid w:val="005C4C07"/>
    <w:rsid w:val="005C5B95"/>
    <w:rsid w:val="005C5D99"/>
    <w:rsid w:val="005C675B"/>
    <w:rsid w:val="005C73EE"/>
    <w:rsid w:val="005C74BD"/>
    <w:rsid w:val="005D07B7"/>
    <w:rsid w:val="005D15E2"/>
    <w:rsid w:val="005D2061"/>
    <w:rsid w:val="005D20BF"/>
    <w:rsid w:val="005D4052"/>
    <w:rsid w:val="005D4D88"/>
    <w:rsid w:val="005D58EE"/>
    <w:rsid w:val="005D71FB"/>
    <w:rsid w:val="005E0764"/>
    <w:rsid w:val="005E151E"/>
    <w:rsid w:val="005E1803"/>
    <w:rsid w:val="005E27FF"/>
    <w:rsid w:val="005E38DA"/>
    <w:rsid w:val="005E3F3F"/>
    <w:rsid w:val="005E4F3A"/>
    <w:rsid w:val="005E53DB"/>
    <w:rsid w:val="005E5E9F"/>
    <w:rsid w:val="005E6AB0"/>
    <w:rsid w:val="005E6EBA"/>
    <w:rsid w:val="005E7122"/>
    <w:rsid w:val="005E7196"/>
    <w:rsid w:val="005F00F9"/>
    <w:rsid w:val="005F0162"/>
    <w:rsid w:val="005F08B5"/>
    <w:rsid w:val="005F0EB3"/>
    <w:rsid w:val="005F1054"/>
    <w:rsid w:val="005F1351"/>
    <w:rsid w:val="005F18BF"/>
    <w:rsid w:val="005F19D1"/>
    <w:rsid w:val="005F1C75"/>
    <w:rsid w:val="005F2C17"/>
    <w:rsid w:val="005F435A"/>
    <w:rsid w:val="005F51AE"/>
    <w:rsid w:val="005F5E5D"/>
    <w:rsid w:val="005F6366"/>
    <w:rsid w:val="005F75A2"/>
    <w:rsid w:val="005F762E"/>
    <w:rsid w:val="006003F5"/>
    <w:rsid w:val="006007B0"/>
    <w:rsid w:val="006009C4"/>
    <w:rsid w:val="00600AE2"/>
    <w:rsid w:val="00602D15"/>
    <w:rsid w:val="00602D39"/>
    <w:rsid w:val="00603416"/>
    <w:rsid w:val="0060399A"/>
    <w:rsid w:val="00604AA3"/>
    <w:rsid w:val="00604AF8"/>
    <w:rsid w:val="00605237"/>
    <w:rsid w:val="00605EE8"/>
    <w:rsid w:val="00606383"/>
    <w:rsid w:val="006063CF"/>
    <w:rsid w:val="0060675D"/>
    <w:rsid w:val="006068BA"/>
    <w:rsid w:val="00606C45"/>
    <w:rsid w:val="0060776D"/>
    <w:rsid w:val="00607DC5"/>
    <w:rsid w:val="00607DE8"/>
    <w:rsid w:val="00610EEC"/>
    <w:rsid w:val="0061263C"/>
    <w:rsid w:val="00612F30"/>
    <w:rsid w:val="00613806"/>
    <w:rsid w:val="00614904"/>
    <w:rsid w:val="00614C9A"/>
    <w:rsid w:val="006157C3"/>
    <w:rsid w:val="00616436"/>
    <w:rsid w:val="006164BE"/>
    <w:rsid w:val="0061664A"/>
    <w:rsid w:val="00617549"/>
    <w:rsid w:val="00617D03"/>
    <w:rsid w:val="00620C47"/>
    <w:rsid w:val="006217EF"/>
    <w:rsid w:val="00622053"/>
    <w:rsid w:val="006227BB"/>
    <w:rsid w:val="006229F4"/>
    <w:rsid w:val="00622CF7"/>
    <w:rsid w:val="00623136"/>
    <w:rsid w:val="006232C1"/>
    <w:rsid w:val="00623478"/>
    <w:rsid w:val="0062357A"/>
    <w:rsid w:val="00623DD5"/>
    <w:rsid w:val="00625871"/>
    <w:rsid w:val="00626F58"/>
    <w:rsid w:val="0062709F"/>
    <w:rsid w:val="00627350"/>
    <w:rsid w:val="00630629"/>
    <w:rsid w:val="006318A8"/>
    <w:rsid w:val="00631913"/>
    <w:rsid w:val="00631CE3"/>
    <w:rsid w:val="00632864"/>
    <w:rsid w:val="00632C6C"/>
    <w:rsid w:val="006331A4"/>
    <w:rsid w:val="006332C7"/>
    <w:rsid w:val="0063341F"/>
    <w:rsid w:val="0063386E"/>
    <w:rsid w:val="00633E58"/>
    <w:rsid w:val="006355FC"/>
    <w:rsid w:val="00640610"/>
    <w:rsid w:val="00640CD3"/>
    <w:rsid w:val="00640E2E"/>
    <w:rsid w:val="006421F9"/>
    <w:rsid w:val="0064237C"/>
    <w:rsid w:val="00642BE9"/>
    <w:rsid w:val="0064355A"/>
    <w:rsid w:val="0064381C"/>
    <w:rsid w:val="00643C78"/>
    <w:rsid w:val="00644707"/>
    <w:rsid w:val="00644AD0"/>
    <w:rsid w:val="0064586A"/>
    <w:rsid w:val="0064662E"/>
    <w:rsid w:val="00646D4E"/>
    <w:rsid w:val="00647892"/>
    <w:rsid w:val="00650CB8"/>
    <w:rsid w:val="0065148E"/>
    <w:rsid w:val="0065299A"/>
    <w:rsid w:val="00652B37"/>
    <w:rsid w:val="006530D2"/>
    <w:rsid w:val="0065323D"/>
    <w:rsid w:val="006538BF"/>
    <w:rsid w:val="00653DE2"/>
    <w:rsid w:val="00654829"/>
    <w:rsid w:val="00654C5B"/>
    <w:rsid w:val="00655341"/>
    <w:rsid w:val="006557D4"/>
    <w:rsid w:val="00655AB6"/>
    <w:rsid w:val="00655D51"/>
    <w:rsid w:val="0065683C"/>
    <w:rsid w:val="006568DB"/>
    <w:rsid w:val="0065699B"/>
    <w:rsid w:val="00657A5D"/>
    <w:rsid w:val="00657A64"/>
    <w:rsid w:val="00657E7C"/>
    <w:rsid w:val="00657EA7"/>
    <w:rsid w:val="006615A1"/>
    <w:rsid w:val="0066217F"/>
    <w:rsid w:val="00662B82"/>
    <w:rsid w:val="00662F18"/>
    <w:rsid w:val="00663252"/>
    <w:rsid w:val="0066359E"/>
    <w:rsid w:val="00664950"/>
    <w:rsid w:val="00664B6D"/>
    <w:rsid w:val="00665279"/>
    <w:rsid w:val="00665989"/>
    <w:rsid w:val="00666CFD"/>
    <w:rsid w:val="00667E51"/>
    <w:rsid w:val="006701E1"/>
    <w:rsid w:val="006701F7"/>
    <w:rsid w:val="00670241"/>
    <w:rsid w:val="0067082B"/>
    <w:rsid w:val="00670F99"/>
    <w:rsid w:val="00671860"/>
    <w:rsid w:val="0067193C"/>
    <w:rsid w:val="00672C58"/>
    <w:rsid w:val="00673475"/>
    <w:rsid w:val="006736B5"/>
    <w:rsid w:val="00673EE6"/>
    <w:rsid w:val="00674865"/>
    <w:rsid w:val="00674F2D"/>
    <w:rsid w:val="00675739"/>
    <w:rsid w:val="0067591E"/>
    <w:rsid w:val="00675A09"/>
    <w:rsid w:val="00677267"/>
    <w:rsid w:val="006773BD"/>
    <w:rsid w:val="00677607"/>
    <w:rsid w:val="006802EC"/>
    <w:rsid w:val="00680794"/>
    <w:rsid w:val="00680B4D"/>
    <w:rsid w:val="00680F69"/>
    <w:rsid w:val="006819C3"/>
    <w:rsid w:val="006828A8"/>
    <w:rsid w:val="00682BAF"/>
    <w:rsid w:val="0068414C"/>
    <w:rsid w:val="006844D3"/>
    <w:rsid w:val="00684C24"/>
    <w:rsid w:val="006858B0"/>
    <w:rsid w:val="00686CD0"/>
    <w:rsid w:val="00686F64"/>
    <w:rsid w:val="00687DCC"/>
    <w:rsid w:val="00690A0E"/>
    <w:rsid w:val="0069104B"/>
    <w:rsid w:val="0069134C"/>
    <w:rsid w:val="0069227B"/>
    <w:rsid w:val="0069290D"/>
    <w:rsid w:val="006939B4"/>
    <w:rsid w:val="00694126"/>
    <w:rsid w:val="006941B6"/>
    <w:rsid w:val="006942A4"/>
    <w:rsid w:val="0069455D"/>
    <w:rsid w:val="00695493"/>
    <w:rsid w:val="006955EA"/>
    <w:rsid w:val="0069583D"/>
    <w:rsid w:val="00696880"/>
    <w:rsid w:val="00697837"/>
    <w:rsid w:val="006A068E"/>
    <w:rsid w:val="006A0790"/>
    <w:rsid w:val="006A1D71"/>
    <w:rsid w:val="006A25FF"/>
    <w:rsid w:val="006A2F9F"/>
    <w:rsid w:val="006A3241"/>
    <w:rsid w:val="006A3ED9"/>
    <w:rsid w:val="006A5385"/>
    <w:rsid w:val="006A66FB"/>
    <w:rsid w:val="006A6DAD"/>
    <w:rsid w:val="006A6E5C"/>
    <w:rsid w:val="006B0650"/>
    <w:rsid w:val="006B1C79"/>
    <w:rsid w:val="006B1EA1"/>
    <w:rsid w:val="006B1F21"/>
    <w:rsid w:val="006B2122"/>
    <w:rsid w:val="006B2472"/>
    <w:rsid w:val="006B2B83"/>
    <w:rsid w:val="006B46A5"/>
    <w:rsid w:val="006B503D"/>
    <w:rsid w:val="006B50CC"/>
    <w:rsid w:val="006B73FB"/>
    <w:rsid w:val="006B74A3"/>
    <w:rsid w:val="006C05AF"/>
    <w:rsid w:val="006C1132"/>
    <w:rsid w:val="006C19C9"/>
    <w:rsid w:val="006C2395"/>
    <w:rsid w:val="006C265A"/>
    <w:rsid w:val="006C3083"/>
    <w:rsid w:val="006C3642"/>
    <w:rsid w:val="006C3F39"/>
    <w:rsid w:val="006C4D29"/>
    <w:rsid w:val="006C614A"/>
    <w:rsid w:val="006C6D73"/>
    <w:rsid w:val="006C7B45"/>
    <w:rsid w:val="006C7C0B"/>
    <w:rsid w:val="006C7F49"/>
    <w:rsid w:val="006D00EB"/>
    <w:rsid w:val="006D01B3"/>
    <w:rsid w:val="006D0702"/>
    <w:rsid w:val="006D1920"/>
    <w:rsid w:val="006D1FC5"/>
    <w:rsid w:val="006D2A69"/>
    <w:rsid w:val="006D2FEC"/>
    <w:rsid w:val="006D35F6"/>
    <w:rsid w:val="006D381A"/>
    <w:rsid w:val="006D392C"/>
    <w:rsid w:val="006D3E1B"/>
    <w:rsid w:val="006D4337"/>
    <w:rsid w:val="006D4595"/>
    <w:rsid w:val="006D4BF4"/>
    <w:rsid w:val="006D5D0B"/>
    <w:rsid w:val="006D6D93"/>
    <w:rsid w:val="006D6DDA"/>
    <w:rsid w:val="006E01B0"/>
    <w:rsid w:val="006E01EA"/>
    <w:rsid w:val="006E0EC3"/>
    <w:rsid w:val="006E1974"/>
    <w:rsid w:val="006E1F32"/>
    <w:rsid w:val="006E1FF0"/>
    <w:rsid w:val="006E2B5F"/>
    <w:rsid w:val="006E408F"/>
    <w:rsid w:val="006E56FF"/>
    <w:rsid w:val="006E702D"/>
    <w:rsid w:val="006E73F1"/>
    <w:rsid w:val="006E7A9E"/>
    <w:rsid w:val="006E7EEB"/>
    <w:rsid w:val="006F0635"/>
    <w:rsid w:val="006F1777"/>
    <w:rsid w:val="006F1BDB"/>
    <w:rsid w:val="006F294B"/>
    <w:rsid w:val="006F2D5D"/>
    <w:rsid w:val="006F3470"/>
    <w:rsid w:val="006F3B8C"/>
    <w:rsid w:val="006F4568"/>
    <w:rsid w:val="006F50A9"/>
    <w:rsid w:val="006F5395"/>
    <w:rsid w:val="006F5A24"/>
    <w:rsid w:val="006F5E9F"/>
    <w:rsid w:val="006F6EE1"/>
    <w:rsid w:val="006F75E0"/>
    <w:rsid w:val="006F7F5B"/>
    <w:rsid w:val="00700865"/>
    <w:rsid w:val="00700CC0"/>
    <w:rsid w:val="00702139"/>
    <w:rsid w:val="00702725"/>
    <w:rsid w:val="00702F8C"/>
    <w:rsid w:val="007036F0"/>
    <w:rsid w:val="00704441"/>
    <w:rsid w:val="0070566F"/>
    <w:rsid w:val="00705B3E"/>
    <w:rsid w:val="007063D8"/>
    <w:rsid w:val="007064F4"/>
    <w:rsid w:val="00706CCB"/>
    <w:rsid w:val="0070774C"/>
    <w:rsid w:val="00707AE1"/>
    <w:rsid w:val="00707B3C"/>
    <w:rsid w:val="00707CC3"/>
    <w:rsid w:val="00710673"/>
    <w:rsid w:val="00710B4D"/>
    <w:rsid w:val="00711605"/>
    <w:rsid w:val="0071194B"/>
    <w:rsid w:val="00712A00"/>
    <w:rsid w:val="007133AA"/>
    <w:rsid w:val="00713B24"/>
    <w:rsid w:val="00713DE4"/>
    <w:rsid w:val="0071417D"/>
    <w:rsid w:val="0071458D"/>
    <w:rsid w:val="00716BF7"/>
    <w:rsid w:val="007175B1"/>
    <w:rsid w:val="00720831"/>
    <w:rsid w:val="00720BA4"/>
    <w:rsid w:val="007218B0"/>
    <w:rsid w:val="00723BDE"/>
    <w:rsid w:val="0072411C"/>
    <w:rsid w:val="007247E8"/>
    <w:rsid w:val="00724918"/>
    <w:rsid w:val="00724DCC"/>
    <w:rsid w:val="00725B2A"/>
    <w:rsid w:val="0073039C"/>
    <w:rsid w:val="0073180D"/>
    <w:rsid w:val="00733BA9"/>
    <w:rsid w:val="00734E5D"/>
    <w:rsid w:val="0073513A"/>
    <w:rsid w:val="0073532F"/>
    <w:rsid w:val="00735CB2"/>
    <w:rsid w:val="00736215"/>
    <w:rsid w:val="007362F8"/>
    <w:rsid w:val="00736851"/>
    <w:rsid w:val="007375C0"/>
    <w:rsid w:val="00740620"/>
    <w:rsid w:val="007407DB"/>
    <w:rsid w:val="007409A9"/>
    <w:rsid w:val="007411E2"/>
    <w:rsid w:val="00741212"/>
    <w:rsid w:val="007412EC"/>
    <w:rsid w:val="00742282"/>
    <w:rsid w:val="0074246D"/>
    <w:rsid w:val="00742EFE"/>
    <w:rsid w:val="00743098"/>
    <w:rsid w:val="007439CF"/>
    <w:rsid w:val="00743ABB"/>
    <w:rsid w:val="007440F7"/>
    <w:rsid w:val="0074454B"/>
    <w:rsid w:val="00744F47"/>
    <w:rsid w:val="007454C3"/>
    <w:rsid w:val="00746120"/>
    <w:rsid w:val="007469DC"/>
    <w:rsid w:val="00746F74"/>
    <w:rsid w:val="007509B3"/>
    <w:rsid w:val="0075217A"/>
    <w:rsid w:val="00752604"/>
    <w:rsid w:val="007526B2"/>
    <w:rsid w:val="00753605"/>
    <w:rsid w:val="00754632"/>
    <w:rsid w:val="0075579E"/>
    <w:rsid w:val="00757094"/>
    <w:rsid w:val="00757619"/>
    <w:rsid w:val="007600F6"/>
    <w:rsid w:val="00762038"/>
    <w:rsid w:val="007620B6"/>
    <w:rsid w:val="00763126"/>
    <w:rsid w:val="007635F1"/>
    <w:rsid w:val="007639CF"/>
    <w:rsid w:val="00764644"/>
    <w:rsid w:val="007650F9"/>
    <w:rsid w:val="00765A5C"/>
    <w:rsid w:val="00765D17"/>
    <w:rsid w:val="00766120"/>
    <w:rsid w:val="0076686F"/>
    <w:rsid w:val="00766D52"/>
    <w:rsid w:val="00766DFC"/>
    <w:rsid w:val="0076708E"/>
    <w:rsid w:val="007700AA"/>
    <w:rsid w:val="00770DD9"/>
    <w:rsid w:val="0077147C"/>
    <w:rsid w:val="00771642"/>
    <w:rsid w:val="00772880"/>
    <w:rsid w:val="00773579"/>
    <w:rsid w:val="0077391E"/>
    <w:rsid w:val="00773C70"/>
    <w:rsid w:val="0077436B"/>
    <w:rsid w:val="00774B4C"/>
    <w:rsid w:val="00774F6D"/>
    <w:rsid w:val="0077527A"/>
    <w:rsid w:val="0077594E"/>
    <w:rsid w:val="00775F55"/>
    <w:rsid w:val="00777A78"/>
    <w:rsid w:val="00777B2C"/>
    <w:rsid w:val="00781AB7"/>
    <w:rsid w:val="00783454"/>
    <w:rsid w:val="00783495"/>
    <w:rsid w:val="00784445"/>
    <w:rsid w:val="00784743"/>
    <w:rsid w:val="0078506E"/>
    <w:rsid w:val="0078549F"/>
    <w:rsid w:val="00785C4A"/>
    <w:rsid w:val="0078774E"/>
    <w:rsid w:val="00787B11"/>
    <w:rsid w:val="007904DC"/>
    <w:rsid w:val="007905C2"/>
    <w:rsid w:val="00790E34"/>
    <w:rsid w:val="00791D02"/>
    <w:rsid w:val="0079272B"/>
    <w:rsid w:val="00792822"/>
    <w:rsid w:val="007935B6"/>
    <w:rsid w:val="007943A1"/>
    <w:rsid w:val="00794BF4"/>
    <w:rsid w:val="0079510D"/>
    <w:rsid w:val="00795B73"/>
    <w:rsid w:val="00796355"/>
    <w:rsid w:val="0079684C"/>
    <w:rsid w:val="00796B11"/>
    <w:rsid w:val="00796E9E"/>
    <w:rsid w:val="00797C78"/>
    <w:rsid w:val="007A194A"/>
    <w:rsid w:val="007A1AAF"/>
    <w:rsid w:val="007A29DB"/>
    <w:rsid w:val="007A2B4C"/>
    <w:rsid w:val="007A39B4"/>
    <w:rsid w:val="007A3F91"/>
    <w:rsid w:val="007A4B92"/>
    <w:rsid w:val="007A5019"/>
    <w:rsid w:val="007A53EE"/>
    <w:rsid w:val="007A66F2"/>
    <w:rsid w:val="007A69D9"/>
    <w:rsid w:val="007A6EA2"/>
    <w:rsid w:val="007A7CF8"/>
    <w:rsid w:val="007B0126"/>
    <w:rsid w:val="007B0362"/>
    <w:rsid w:val="007B1273"/>
    <w:rsid w:val="007B1F9C"/>
    <w:rsid w:val="007B24F9"/>
    <w:rsid w:val="007B42BA"/>
    <w:rsid w:val="007B4797"/>
    <w:rsid w:val="007B4C7A"/>
    <w:rsid w:val="007B5023"/>
    <w:rsid w:val="007B5162"/>
    <w:rsid w:val="007B5483"/>
    <w:rsid w:val="007B6F5D"/>
    <w:rsid w:val="007B7361"/>
    <w:rsid w:val="007B74F2"/>
    <w:rsid w:val="007B77FA"/>
    <w:rsid w:val="007B7A00"/>
    <w:rsid w:val="007C0678"/>
    <w:rsid w:val="007C2DA2"/>
    <w:rsid w:val="007C30C0"/>
    <w:rsid w:val="007C33C9"/>
    <w:rsid w:val="007C3F00"/>
    <w:rsid w:val="007C4A4D"/>
    <w:rsid w:val="007C4AB3"/>
    <w:rsid w:val="007C4C63"/>
    <w:rsid w:val="007C4D58"/>
    <w:rsid w:val="007C54B2"/>
    <w:rsid w:val="007C6C03"/>
    <w:rsid w:val="007C7C4E"/>
    <w:rsid w:val="007D1646"/>
    <w:rsid w:val="007D20FC"/>
    <w:rsid w:val="007D281F"/>
    <w:rsid w:val="007D4407"/>
    <w:rsid w:val="007D69DD"/>
    <w:rsid w:val="007D7268"/>
    <w:rsid w:val="007D7E25"/>
    <w:rsid w:val="007E0598"/>
    <w:rsid w:val="007E15AE"/>
    <w:rsid w:val="007E17AB"/>
    <w:rsid w:val="007E17AE"/>
    <w:rsid w:val="007E1C9F"/>
    <w:rsid w:val="007E26F5"/>
    <w:rsid w:val="007E2839"/>
    <w:rsid w:val="007E46C8"/>
    <w:rsid w:val="007E6077"/>
    <w:rsid w:val="007E60B7"/>
    <w:rsid w:val="007E63C3"/>
    <w:rsid w:val="007E796B"/>
    <w:rsid w:val="007F000D"/>
    <w:rsid w:val="007F0BE1"/>
    <w:rsid w:val="007F1BA2"/>
    <w:rsid w:val="007F226A"/>
    <w:rsid w:val="007F274B"/>
    <w:rsid w:val="007F2BA5"/>
    <w:rsid w:val="007F311A"/>
    <w:rsid w:val="007F4704"/>
    <w:rsid w:val="007F4898"/>
    <w:rsid w:val="007F4C26"/>
    <w:rsid w:val="007F5B1D"/>
    <w:rsid w:val="007F6CC2"/>
    <w:rsid w:val="007F75E7"/>
    <w:rsid w:val="007F76CB"/>
    <w:rsid w:val="007F7E04"/>
    <w:rsid w:val="008015ED"/>
    <w:rsid w:val="0080294D"/>
    <w:rsid w:val="00802BA8"/>
    <w:rsid w:val="00803FB5"/>
    <w:rsid w:val="00804DB0"/>
    <w:rsid w:val="00804F5F"/>
    <w:rsid w:val="008051F1"/>
    <w:rsid w:val="0080536E"/>
    <w:rsid w:val="008066FA"/>
    <w:rsid w:val="008068DD"/>
    <w:rsid w:val="00806ACD"/>
    <w:rsid w:val="00806B77"/>
    <w:rsid w:val="008077AA"/>
    <w:rsid w:val="00807B6C"/>
    <w:rsid w:val="008101C5"/>
    <w:rsid w:val="00810445"/>
    <w:rsid w:val="00810A11"/>
    <w:rsid w:val="00812462"/>
    <w:rsid w:val="008126B7"/>
    <w:rsid w:val="00813E95"/>
    <w:rsid w:val="0081435D"/>
    <w:rsid w:val="00814C91"/>
    <w:rsid w:val="00815461"/>
    <w:rsid w:val="00816553"/>
    <w:rsid w:val="00816EBF"/>
    <w:rsid w:val="00817805"/>
    <w:rsid w:val="0082047B"/>
    <w:rsid w:val="008216DC"/>
    <w:rsid w:val="00822D3F"/>
    <w:rsid w:val="0082320B"/>
    <w:rsid w:val="008238E0"/>
    <w:rsid w:val="0082443D"/>
    <w:rsid w:val="008250E9"/>
    <w:rsid w:val="0082652D"/>
    <w:rsid w:val="00826DFF"/>
    <w:rsid w:val="0083052D"/>
    <w:rsid w:val="0083215C"/>
    <w:rsid w:val="00832F65"/>
    <w:rsid w:val="0083302A"/>
    <w:rsid w:val="00833401"/>
    <w:rsid w:val="0083366F"/>
    <w:rsid w:val="008348E5"/>
    <w:rsid w:val="00834EB6"/>
    <w:rsid w:val="00835162"/>
    <w:rsid w:val="008352AD"/>
    <w:rsid w:val="0084281B"/>
    <w:rsid w:val="008429B9"/>
    <w:rsid w:val="00842CE0"/>
    <w:rsid w:val="00842D87"/>
    <w:rsid w:val="00842F85"/>
    <w:rsid w:val="0084330F"/>
    <w:rsid w:val="00843C1C"/>
    <w:rsid w:val="00844086"/>
    <w:rsid w:val="0084467A"/>
    <w:rsid w:val="00844DE1"/>
    <w:rsid w:val="008463E2"/>
    <w:rsid w:val="0084641C"/>
    <w:rsid w:val="00846550"/>
    <w:rsid w:val="008467A4"/>
    <w:rsid w:val="00846DD1"/>
    <w:rsid w:val="0084732C"/>
    <w:rsid w:val="008473B3"/>
    <w:rsid w:val="00847778"/>
    <w:rsid w:val="008508A6"/>
    <w:rsid w:val="0085158F"/>
    <w:rsid w:val="0085350C"/>
    <w:rsid w:val="0085359F"/>
    <w:rsid w:val="00854106"/>
    <w:rsid w:val="00854301"/>
    <w:rsid w:val="00854866"/>
    <w:rsid w:val="00854B6D"/>
    <w:rsid w:val="00854F37"/>
    <w:rsid w:val="00854F40"/>
    <w:rsid w:val="008556AC"/>
    <w:rsid w:val="00856785"/>
    <w:rsid w:val="00856887"/>
    <w:rsid w:val="008577EF"/>
    <w:rsid w:val="00857CEC"/>
    <w:rsid w:val="00861326"/>
    <w:rsid w:val="0086177C"/>
    <w:rsid w:val="00861EA0"/>
    <w:rsid w:val="00862411"/>
    <w:rsid w:val="00863041"/>
    <w:rsid w:val="0086412E"/>
    <w:rsid w:val="00864C20"/>
    <w:rsid w:val="008655F9"/>
    <w:rsid w:val="00865D56"/>
    <w:rsid w:val="0086797A"/>
    <w:rsid w:val="008679F5"/>
    <w:rsid w:val="00870E44"/>
    <w:rsid w:val="008718E2"/>
    <w:rsid w:val="00872416"/>
    <w:rsid w:val="00872A99"/>
    <w:rsid w:val="00872B92"/>
    <w:rsid w:val="00872E15"/>
    <w:rsid w:val="0087312F"/>
    <w:rsid w:val="00873489"/>
    <w:rsid w:val="00873AB0"/>
    <w:rsid w:val="008743AF"/>
    <w:rsid w:val="0087489F"/>
    <w:rsid w:val="00875A25"/>
    <w:rsid w:val="008767C9"/>
    <w:rsid w:val="00876A68"/>
    <w:rsid w:val="00876CAF"/>
    <w:rsid w:val="008772AF"/>
    <w:rsid w:val="008773E5"/>
    <w:rsid w:val="008779BB"/>
    <w:rsid w:val="00880044"/>
    <w:rsid w:val="00884AA8"/>
    <w:rsid w:val="008860DE"/>
    <w:rsid w:val="0088701B"/>
    <w:rsid w:val="00887E1E"/>
    <w:rsid w:val="00890482"/>
    <w:rsid w:val="00890649"/>
    <w:rsid w:val="00891302"/>
    <w:rsid w:val="00891365"/>
    <w:rsid w:val="008919AB"/>
    <w:rsid w:val="00891A65"/>
    <w:rsid w:val="00891CF3"/>
    <w:rsid w:val="00892987"/>
    <w:rsid w:val="00892AB5"/>
    <w:rsid w:val="00892B80"/>
    <w:rsid w:val="00892D96"/>
    <w:rsid w:val="00893A6E"/>
    <w:rsid w:val="00894494"/>
    <w:rsid w:val="0089612D"/>
    <w:rsid w:val="00896291"/>
    <w:rsid w:val="00896E69"/>
    <w:rsid w:val="008972F4"/>
    <w:rsid w:val="00897D70"/>
    <w:rsid w:val="008A0169"/>
    <w:rsid w:val="008A0665"/>
    <w:rsid w:val="008A1493"/>
    <w:rsid w:val="008A1571"/>
    <w:rsid w:val="008A22A6"/>
    <w:rsid w:val="008A2AB3"/>
    <w:rsid w:val="008A3709"/>
    <w:rsid w:val="008A3D40"/>
    <w:rsid w:val="008A44E4"/>
    <w:rsid w:val="008A4719"/>
    <w:rsid w:val="008A5061"/>
    <w:rsid w:val="008A5D89"/>
    <w:rsid w:val="008A681D"/>
    <w:rsid w:val="008A6A60"/>
    <w:rsid w:val="008A6BDC"/>
    <w:rsid w:val="008A7280"/>
    <w:rsid w:val="008A7636"/>
    <w:rsid w:val="008B018F"/>
    <w:rsid w:val="008B11FB"/>
    <w:rsid w:val="008B1487"/>
    <w:rsid w:val="008B1BA2"/>
    <w:rsid w:val="008B1DD6"/>
    <w:rsid w:val="008B2175"/>
    <w:rsid w:val="008B22B6"/>
    <w:rsid w:val="008B346B"/>
    <w:rsid w:val="008B3A6F"/>
    <w:rsid w:val="008B3C40"/>
    <w:rsid w:val="008B409E"/>
    <w:rsid w:val="008B43A0"/>
    <w:rsid w:val="008B47A9"/>
    <w:rsid w:val="008B49A3"/>
    <w:rsid w:val="008B59B6"/>
    <w:rsid w:val="008B660A"/>
    <w:rsid w:val="008B7DA0"/>
    <w:rsid w:val="008B7E56"/>
    <w:rsid w:val="008C0332"/>
    <w:rsid w:val="008C0446"/>
    <w:rsid w:val="008C0A6F"/>
    <w:rsid w:val="008C0E42"/>
    <w:rsid w:val="008C1AA8"/>
    <w:rsid w:val="008C22E1"/>
    <w:rsid w:val="008C3D7D"/>
    <w:rsid w:val="008C5205"/>
    <w:rsid w:val="008C578E"/>
    <w:rsid w:val="008C5C14"/>
    <w:rsid w:val="008C7239"/>
    <w:rsid w:val="008C73B1"/>
    <w:rsid w:val="008C76F1"/>
    <w:rsid w:val="008D07FB"/>
    <w:rsid w:val="008D1DD1"/>
    <w:rsid w:val="008D217A"/>
    <w:rsid w:val="008D2323"/>
    <w:rsid w:val="008D331B"/>
    <w:rsid w:val="008D3714"/>
    <w:rsid w:val="008D3755"/>
    <w:rsid w:val="008D3DF1"/>
    <w:rsid w:val="008D4AD0"/>
    <w:rsid w:val="008D5EF9"/>
    <w:rsid w:val="008D5F73"/>
    <w:rsid w:val="008E05F8"/>
    <w:rsid w:val="008E063F"/>
    <w:rsid w:val="008E1109"/>
    <w:rsid w:val="008E1A98"/>
    <w:rsid w:val="008E2717"/>
    <w:rsid w:val="008E401C"/>
    <w:rsid w:val="008E4919"/>
    <w:rsid w:val="008E4F62"/>
    <w:rsid w:val="008E5356"/>
    <w:rsid w:val="008E63F2"/>
    <w:rsid w:val="008E6599"/>
    <w:rsid w:val="008E7394"/>
    <w:rsid w:val="008E7654"/>
    <w:rsid w:val="008E7773"/>
    <w:rsid w:val="008E79BE"/>
    <w:rsid w:val="008F0163"/>
    <w:rsid w:val="008F0214"/>
    <w:rsid w:val="008F0D14"/>
    <w:rsid w:val="008F1DAD"/>
    <w:rsid w:val="008F1E81"/>
    <w:rsid w:val="008F202F"/>
    <w:rsid w:val="008F4603"/>
    <w:rsid w:val="008F5920"/>
    <w:rsid w:val="008F67A4"/>
    <w:rsid w:val="008F793B"/>
    <w:rsid w:val="00900B82"/>
    <w:rsid w:val="00901567"/>
    <w:rsid w:val="00901B57"/>
    <w:rsid w:val="009024CF"/>
    <w:rsid w:val="009031D3"/>
    <w:rsid w:val="00903A4A"/>
    <w:rsid w:val="0090416A"/>
    <w:rsid w:val="00904527"/>
    <w:rsid w:val="00905961"/>
    <w:rsid w:val="009060F3"/>
    <w:rsid w:val="009067DC"/>
    <w:rsid w:val="00906D1A"/>
    <w:rsid w:val="009072EA"/>
    <w:rsid w:val="009075CF"/>
    <w:rsid w:val="00907909"/>
    <w:rsid w:val="0091080D"/>
    <w:rsid w:val="009125C0"/>
    <w:rsid w:val="00912B2C"/>
    <w:rsid w:val="00912BF7"/>
    <w:rsid w:val="009141CF"/>
    <w:rsid w:val="0091450D"/>
    <w:rsid w:val="009148CD"/>
    <w:rsid w:val="00914E67"/>
    <w:rsid w:val="00914E8D"/>
    <w:rsid w:val="009167BB"/>
    <w:rsid w:val="009168A5"/>
    <w:rsid w:val="00917108"/>
    <w:rsid w:val="00917CED"/>
    <w:rsid w:val="00920EE8"/>
    <w:rsid w:val="009221BD"/>
    <w:rsid w:val="00922989"/>
    <w:rsid w:val="00922BD5"/>
    <w:rsid w:val="00922F68"/>
    <w:rsid w:val="009253B8"/>
    <w:rsid w:val="009257F1"/>
    <w:rsid w:val="009307FE"/>
    <w:rsid w:val="00930DA9"/>
    <w:rsid w:val="00932F5A"/>
    <w:rsid w:val="009333C9"/>
    <w:rsid w:val="00933F75"/>
    <w:rsid w:val="00934225"/>
    <w:rsid w:val="00934342"/>
    <w:rsid w:val="00935B8F"/>
    <w:rsid w:val="00936B81"/>
    <w:rsid w:val="00936F82"/>
    <w:rsid w:val="0093765A"/>
    <w:rsid w:val="009412B6"/>
    <w:rsid w:val="009417F4"/>
    <w:rsid w:val="00941867"/>
    <w:rsid w:val="00941956"/>
    <w:rsid w:val="009427AA"/>
    <w:rsid w:val="0094291E"/>
    <w:rsid w:val="00943325"/>
    <w:rsid w:val="00944E13"/>
    <w:rsid w:val="00944EC2"/>
    <w:rsid w:val="00944FDD"/>
    <w:rsid w:val="00945862"/>
    <w:rsid w:val="009458AE"/>
    <w:rsid w:val="00946619"/>
    <w:rsid w:val="009467AC"/>
    <w:rsid w:val="009473D3"/>
    <w:rsid w:val="009502DF"/>
    <w:rsid w:val="00950A2E"/>
    <w:rsid w:val="00950B8E"/>
    <w:rsid w:val="00950CCE"/>
    <w:rsid w:val="009513FF"/>
    <w:rsid w:val="00951AD8"/>
    <w:rsid w:val="00952311"/>
    <w:rsid w:val="00952606"/>
    <w:rsid w:val="009526D2"/>
    <w:rsid w:val="0095287B"/>
    <w:rsid w:val="009531CE"/>
    <w:rsid w:val="0095334A"/>
    <w:rsid w:val="009552A4"/>
    <w:rsid w:val="009561DB"/>
    <w:rsid w:val="00956346"/>
    <w:rsid w:val="0095654F"/>
    <w:rsid w:val="00957721"/>
    <w:rsid w:val="00957829"/>
    <w:rsid w:val="00960347"/>
    <w:rsid w:val="00962659"/>
    <w:rsid w:val="00962C80"/>
    <w:rsid w:val="00963CC1"/>
    <w:rsid w:val="0096489D"/>
    <w:rsid w:val="00965402"/>
    <w:rsid w:val="00965A36"/>
    <w:rsid w:val="00965ED0"/>
    <w:rsid w:val="0096715C"/>
    <w:rsid w:val="0097019A"/>
    <w:rsid w:val="00970367"/>
    <w:rsid w:val="009706F6"/>
    <w:rsid w:val="009708EE"/>
    <w:rsid w:val="0097091B"/>
    <w:rsid w:val="00973185"/>
    <w:rsid w:val="00973857"/>
    <w:rsid w:val="00973BCA"/>
    <w:rsid w:val="00980560"/>
    <w:rsid w:val="009814EA"/>
    <w:rsid w:val="00981E45"/>
    <w:rsid w:val="009820C3"/>
    <w:rsid w:val="0098286E"/>
    <w:rsid w:val="00982BCB"/>
    <w:rsid w:val="009835BB"/>
    <w:rsid w:val="0098381C"/>
    <w:rsid w:val="00983BBB"/>
    <w:rsid w:val="00984F4C"/>
    <w:rsid w:val="00985369"/>
    <w:rsid w:val="009853C2"/>
    <w:rsid w:val="00986403"/>
    <w:rsid w:val="00987201"/>
    <w:rsid w:val="009879D9"/>
    <w:rsid w:val="0099115C"/>
    <w:rsid w:val="009922ED"/>
    <w:rsid w:val="009923A1"/>
    <w:rsid w:val="00993BA6"/>
    <w:rsid w:val="009945DE"/>
    <w:rsid w:val="00994A0D"/>
    <w:rsid w:val="00994D84"/>
    <w:rsid w:val="00994E77"/>
    <w:rsid w:val="00996394"/>
    <w:rsid w:val="00996AA2"/>
    <w:rsid w:val="00996C60"/>
    <w:rsid w:val="00996C64"/>
    <w:rsid w:val="00996D65"/>
    <w:rsid w:val="00997261"/>
    <w:rsid w:val="00997F96"/>
    <w:rsid w:val="009A0A07"/>
    <w:rsid w:val="009A0F57"/>
    <w:rsid w:val="009A2A41"/>
    <w:rsid w:val="009A32DB"/>
    <w:rsid w:val="009A32F8"/>
    <w:rsid w:val="009A3C35"/>
    <w:rsid w:val="009A3EE1"/>
    <w:rsid w:val="009A412F"/>
    <w:rsid w:val="009A4ED3"/>
    <w:rsid w:val="009A6BD4"/>
    <w:rsid w:val="009A6DF7"/>
    <w:rsid w:val="009A7369"/>
    <w:rsid w:val="009A74D6"/>
    <w:rsid w:val="009A74DE"/>
    <w:rsid w:val="009B02A1"/>
    <w:rsid w:val="009B0B10"/>
    <w:rsid w:val="009B0B15"/>
    <w:rsid w:val="009B10B7"/>
    <w:rsid w:val="009B1487"/>
    <w:rsid w:val="009B16E5"/>
    <w:rsid w:val="009B2061"/>
    <w:rsid w:val="009B2772"/>
    <w:rsid w:val="009B428F"/>
    <w:rsid w:val="009B4E04"/>
    <w:rsid w:val="009B540C"/>
    <w:rsid w:val="009B580D"/>
    <w:rsid w:val="009B65DA"/>
    <w:rsid w:val="009B7164"/>
    <w:rsid w:val="009B7A5B"/>
    <w:rsid w:val="009C0294"/>
    <w:rsid w:val="009C057B"/>
    <w:rsid w:val="009C1836"/>
    <w:rsid w:val="009C2061"/>
    <w:rsid w:val="009C3050"/>
    <w:rsid w:val="009C31CE"/>
    <w:rsid w:val="009C3310"/>
    <w:rsid w:val="009C3510"/>
    <w:rsid w:val="009C3A68"/>
    <w:rsid w:val="009C474F"/>
    <w:rsid w:val="009C47DF"/>
    <w:rsid w:val="009C4EA3"/>
    <w:rsid w:val="009C5CA8"/>
    <w:rsid w:val="009C6855"/>
    <w:rsid w:val="009C6CBC"/>
    <w:rsid w:val="009C6DDD"/>
    <w:rsid w:val="009C77E4"/>
    <w:rsid w:val="009D0AD7"/>
    <w:rsid w:val="009D1442"/>
    <w:rsid w:val="009D2B92"/>
    <w:rsid w:val="009D2DE5"/>
    <w:rsid w:val="009D3012"/>
    <w:rsid w:val="009D31B5"/>
    <w:rsid w:val="009D46E6"/>
    <w:rsid w:val="009D4870"/>
    <w:rsid w:val="009D50D0"/>
    <w:rsid w:val="009D543D"/>
    <w:rsid w:val="009D54BA"/>
    <w:rsid w:val="009D59EB"/>
    <w:rsid w:val="009D6264"/>
    <w:rsid w:val="009D66F1"/>
    <w:rsid w:val="009D6FEB"/>
    <w:rsid w:val="009D7549"/>
    <w:rsid w:val="009D7897"/>
    <w:rsid w:val="009D7E26"/>
    <w:rsid w:val="009E078F"/>
    <w:rsid w:val="009E161A"/>
    <w:rsid w:val="009E22AC"/>
    <w:rsid w:val="009E284C"/>
    <w:rsid w:val="009E293D"/>
    <w:rsid w:val="009E3363"/>
    <w:rsid w:val="009E5605"/>
    <w:rsid w:val="009E67F7"/>
    <w:rsid w:val="009E6E30"/>
    <w:rsid w:val="009F0367"/>
    <w:rsid w:val="009F1028"/>
    <w:rsid w:val="009F248F"/>
    <w:rsid w:val="009F24FF"/>
    <w:rsid w:val="009F2CE9"/>
    <w:rsid w:val="009F3C6C"/>
    <w:rsid w:val="009F4A0B"/>
    <w:rsid w:val="009F5102"/>
    <w:rsid w:val="009F54C3"/>
    <w:rsid w:val="009F559C"/>
    <w:rsid w:val="009F5629"/>
    <w:rsid w:val="009F567B"/>
    <w:rsid w:val="009F640D"/>
    <w:rsid w:val="009F6868"/>
    <w:rsid w:val="009F71FE"/>
    <w:rsid w:val="009F7D9C"/>
    <w:rsid w:val="00A0041E"/>
    <w:rsid w:val="00A0135C"/>
    <w:rsid w:val="00A01AA3"/>
    <w:rsid w:val="00A021F4"/>
    <w:rsid w:val="00A034FC"/>
    <w:rsid w:val="00A0359D"/>
    <w:rsid w:val="00A035D5"/>
    <w:rsid w:val="00A04372"/>
    <w:rsid w:val="00A047BB"/>
    <w:rsid w:val="00A05A53"/>
    <w:rsid w:val="00A05D64"/>
    <w:rsid w:val="00A06BAD"/>
    <w:rsid w:val="00A0701A"/>
    <w:rsid w:val="00A079A5"/>
    <w:rsid w:val="00A1131E"/>
    <w:rsid w:val="00A11A15"/>
    <w:rsid w:val="00A11A80"/>
    <w:rsid w:val="00A11C2A"/>
    <w:rsid w:val="00A122AB"/>
    <w:rsid w:val="00A1259E"/>
    <w:rsid w:val="00A13A0F"/>
    <w:rsid w:val="00A13B0A"/>
    <w:rsid w:val="00A13D4C"/>
    <w:rsid w:val="00A1763D"/>
    <w:rsid w:val="00A17A67"/>
    <w:rsid w:val="00A200E8"/>
    <w:rsid w:val="00A208C7"/>
    <w:rsid w:val="00A20E53"/>
    <w:rsid w:val="00A20F3A"/>
    <w:rsid w:val="00A21026"/>
    <w:rsid w:val="00A212E3"/>
    <w:rsid w:val="00A21B26"/>
    <w:rsid w:val="00A21FAD"/>
    <w:rsid w:val="00A220E7"/>
    <w:rsid w:val="00A2239C"/>
    <w:rsid w:val="00A2373D"/>
    <w:rsid w:val="00A24DEC"/>
    <w:rsid w:val="00A25157"/>
    <w:rsid w:val="00A25282"/>
    <w:rsid w:val="00A26BF4"/>
    <w:rsid w:val="00A27E49"/>
    <w:rsid w:val="00A30033"/>
    <w:rsid w:val="00A31640"/>
    <w:rsid w:val="00A3193A"/>
    <w:rsid w:val="00A321FF"/>
    <w:rsid w:val="00A335EE"/>
    <w:rsid w:val="00A3513C"/>
    <w:rsid w:val="00A36AC8"/>
    <w:rsid w:val="00A36E9D"/>
    <w:rsid w:val="00A377B0"/>
    <w:rsid w:val="00A40174"/>
    <w:rsid w:val="00A40E5F"/>
    <w:rsid w:val="00A42010"/>
    <w:rsid w:val="00A42046"/>
    <w:rsid w:val="00A4261E"/>
    <w:rsid w:val="00A42658"/>
    <w:rsid w:val="00A42757"/>
    <w:rsid w:val="00A434BA"/>
    <w:rsid w:val="00A43707"/>
    <w:rsid w:val="00A44FE5"/>
    <w:rsid w:val="00A4582F"/>
    <w:rsid w:val="00A45FF0"/>
    <w:rsid w:val="00A4639E"/>
    <w:rsid w:val="00A463F5"/>
    <w:rsid w:val="00A46AFD"/>
    <w:rsid w:val="00A5017C"/>
    <w:rsid w:val="00A51097"/>
    <w:rsid w:val="00A515D5"/>
    <w:rsid w:val="00A51A54"/>
    <w:rsid w:val="00A52A9E"/>
    <w:rsid w:val="00A54E13"/>
    <w:rsid w:val="00A5592B"/>
    <w:rsid w:val="00A55BE4"/>
    <w:rsid w:val="00A55D77"/>
    <w:rsid w:val="00A567CE"/>
    <w:rsid w:val="00A5700F"/>
    <w:rsid w:val="00A573AB"/>
    <w:rsid w:val="00A6071F"/>
    <w:rsid w:val="00A61097"/>
    <w:rsid w:val="00A61A73"/>
    <w:rsid w:val="00A6248F"/>
    <w:rsid w:val="00A63F58"/>
    <w:rsid w:val="00A645E5"/>
    <w:rsid w:val="00A64723"/>
    <w:rsid w:val="00A655F4"/>
    <w:rsid w:val="00A67616"/>
    <w:rsid w:val="00A677A8"/>
    <w:rsid w:val="00A67AF4"/>
    <w:rsid w:val="00A71A73"/>
    <w:rsid w:val="00A71BD7"/>
    <w:rsid w:val="00A71DDC"/>
    <w:rsid w:val="00A72B03"/>
    <w:rsid w:val="00A73EE5"/>
    <w:rsid w:val="00A74736"/>
    <w:rsid w:val="00A74C3E"/>
    <w:rsid w:val="00A74C64"/>
    <w:rsid w:val="00A752FD"/>
    <w:rsid w:val="00A759CC"/>
    <w:rsid w:val="00A75D5C"/>
    <w:rsid w:val="00A75EBD"/>
    <w:rsid w:val="00A769D0"/>
    <w:rsid w:val="00A76C17"/>
    <w:rsid w:val="00A80261"/>
    <w:rsid w:val="00A802D6"/>
    <w:rsid w:val="00A80526"/>
    <w:rsid w:val="00A80603"/>
    <w:rsid w:val="00A812D3"/>
    <w:rsid w:val="00A81C7A"/>
    <w:rsid w:val="00A82DF6"/>
    <w:rsid w:val="00A82F29"/>
    <w:rsid w:val="00A83085"/>
    <w:rsid w:val="00A84393"/>
    <w:rsid w:val="00A84709"/>
    <w:rsid w:val="00A86595"/>
    <w:rsid w:val="00A903F5"/>
    <w:rsid w:val="00A91714"/>
    <w:rsid w:val="00A91DC6"/>
    <w:rsid w:val="00A928BC"/>
    <w:rsid w:val="00A928CA"/>
    <w:rsid w:val="00A92A7B"/>
    <w:rsid w:val="00A92BAB"/>
    <w:rsid w:val="00A92F10"/>
    <w:rsid w:val="00A9354B"/>
    <w:rsid w:val="00A935EA"/>
    <w:rsid w:val="00A94B6B"/>
    <w:rsid w:val="00A94BCC"/>
    <w:rsid w:val="00A95C66"/>
    <w:rsid w:val="00A95F2C"/>
    <w:rsid w:val="00A97AC3"/>
    <w:rsid w:val="00AA0106"/>
    <w:rsid w:val="00AA0B3B"/>
    <w:rsid w:val="00AA15AA"/>
    <w:rsid w:val="00AA2167"/>
    <w:rsid w:val="00AA2670"/>
    <w:rsid w:val="00AA34DC"/>
    <w:rsid w:val="00AA3A67"/>
    <w:rsid w:val="00AA3B0F"/>
    <w:rsid w:val="00AA4350"/>
    <w:rsid w:val="00AA51F8"/>
    <w:rsid w:val="00AA57F9"/>
    <w:rsid w:val="00AA5D99"/>
    <w:rsid w:val="00AA63D6"/>
    <w:rsid w:val="00AA6A7D"/>
    <w:rsid w:val="00AA6B20"/>
    <w:rsid w:val="00AA776A"/>
    <w:rsid w:val="00AA7CB2"/>
    <w:rsid w:val="00AA7F12"/>
    <w:rsid w:val="00AB1C32"/>
    <w:rsid w:val="00AB1D9B"/>
    <w:rsid w:val="00AB21E4"/>
    <w:rsid w:val="00AB22D6"/>
    <w:rsid w:val="00AB266E"/>
    <w:rsid w:val="00AB3D50"/>
    <w:rsid w:val="00AB40EA"/>
    <w:rsid w:val="00AB4E64"/>
    <w:rsid w:val="00AB5AE3"/>
    <w:rsid w:val="00AB5CD2"/>
    <w:rsid w:val="00AB5FE9"/>
    <w:rsid w:val="00AB69A2"/>
    <w:rsid w:val="00AB6FCB"/>
    <w:rsid w:val="00AB7981"/>
    <w:rsid w:val="00AB7C10"/>
    <w:rsid w:val="00AC175A"/>
    <w:rsid w:val="00AC2122"/>
    <w:rsid w:val="00AC3051"/>
    <w:rsid w:val="00AC3072"/>
    <w:rsid w:val="00AC44FC"/>
    <w:rsid w:val="00AC4678"/>
    <w:rsid w:val="00AC4BC4"/>
    <w:rsid w:val="00AC4EA9"/>
    <w:rsid w:val="00AC4F64"/>
    <w:rsid w:val="00AC5117"/>
    <w:rsid w:val="00AC56F5"/>
    <w:rsid w:val="00AC5DA4"/>
    <w:rsid w:val="00AC5ECF"/>
    <w:rsid w:val="00AC69DC"/>
    <w:rsid w:val="00AC74DA"/>
    <w:rsid w:val="00AC7576"/>
    <w:rsid w:val="00AD110C"/>
    <w:rsid w:val="00AD1162"/>
    <w:rsid w:val="00AD2A30"/>
    <w:rsid w:val="00AD5516"/>
    <w:rsid w:val="00AD5AD1"/>
    <w:rsid w:val="00AD5F4F"/>
    <w:rsid w:val="00AD63B2"/>
    <w:rsid w:val="00AD6FA7"/>
    <w:rsid w:val="00AD7146"/>
    <w:rsid w:val="00AD7283"/>
    <w:rsid w:val="00AD78E2"/>
    <w:rsid w:val="00AD7A61"/>
    <w:rsid w:val="00AD7F77"/>
    <w:rsid w:val="00AE067C"/>
    <w:rsid w:val="00AE102C"/>
    <w:rsid w:val="00AE1413"/>
    <w:rsid w:val="00AE1734"/>
    <w:rsid w:val="00AE1B12"/>
    <w:rsid w:val="00AE1BD6"/>
    <w:rsid w:val="00AE20FE"/>
    <w:rsid w:val="00AE30CB"/>
    <w:rsid w:val="00AE34ED"/>
    <w:rsid w:val="00AE35AA"/>
    <w:rsid w:val="00AE3D59"/>
    <w:rsid w:val="00AE4F61"/>
    <w:rsid w:val="00AE547E"/>
    <w:rsid w:val="00AE55BE"/>
    <w:rsid w:val="00AE6C86"/>
    <w:rsid w:val="00AE72AF"/>
    <w:rsid w:val="00AE7511"/>
    <w:rsid w:val="00AE7CC1"/>
    <w:rsid w:val="00AE7D1D"/>
    <w:rsid w:val="00AF0089"/>
    <w:rsid w:val="00AF110B"/>
    <w:rsid w:val="00AF35A1"/>
    <w:rsid w:val="00AF3EA1"/>
    <w:rsid w:val="00AF40F0"/>
    <w:rsid w:val="00AF41BC"/>
    <w:rsid w:val="00AF4E01"/>
    <w:rsid w:val="00AF5D62"/>
    <w:rsid w:val="00AF63BF"/>
    <w:rsid w:val="00AF668A"/>
    <w:rsid w:val="00AF7740"/>
    <w:rsid w:val="00B01241"/>
    <w:rsid w:val="00B0164B"/>
    <w:rsid w:val="00B01AAF"/>
    <w:rsid w:val="00B037E8"/>
    <w:rsid w:val="00B03A71"/>
    <w:rsid w:val="00B042C1"/>
    <w:rsid w:val="00B0471F"/>
    <w:rsid w:val="00B04746"/>
    <w:rsid w:val="00B047C3"/>
    <w:rsid w:val="00B048DF"/>
    <w:rsid w:val="00B05609"/>
    <w:rsid w:val="00B06385"/>
    <w:rsid w:val="00B101AA"/>
    <w:rsid w:val="00B10261"/>
    <w:rsid w:val="00B11277"/>
    <w:rsid w:val="00B1156A"/>
    <w:rsid w:val="00B11BC0"/>
    <w:rsid w:val="00B12041"/>
    <w:rsid w:val="00B1289E"/>
    <w:rsid w:val="00B12E90"/>
    <w:rsid w:val="00B137B3"/>
    <w:rsid w:val="00B13E62"/>
    <w:rsid w:val="00B145E3"/>
    <w:rsid w:val="00B15CD5"/>
    <w:rsid w:val="00B16559"/>
    <w:rsid w:val="00B16570"/>
    <w:rsid w:val="00B16666"/>
    <w:rsid w:val="00B172AC"/>
    <w:rsid w:val="00B173BE"/>
    <w:rsid w:val="00B2011A"/>
    <w:rsid w:val="00B202A9"/>
    <w:rsid w:val="00B2055A"/>
    <w:rsid w:val="00B209C7"/>
    <w:rsid w:val="00B209DE"/>
    <w:rsid w:val="00B2219E"/>
    <w:rsid w:val="00B22563"/>
    <w:rsid w:val="00B23BD5"/>
    <w:rsid w:val="00B23FB3"/>
    <w:rsid w:val="00B249D7"/>
    <w:rsid w:val="00B24B0F"/>
    <w:rsid w:val="00B252FF"/>
    <w:rsid w:val="00B25458"/>
    <w:rsid w:val="00B26995"/>
    <w:rsid w:val="00B26B26"/>
    <w:rsid w:val="00B2723D"/>
    <w:rsid w:val="00B27880"/>
    <w:rsid w:val="00B27AEA"/>
    <w:rsid w:val="00B27C22"/>
    <w:rsid w:val="00B27D28"/>
    <w:rsid w:val="00B30082"/>
    <w:rsid w:val="00B31AB3"/>
    <w:rsid w:val="00B3243E"/>
    <w:rsid w:val="00B329F2"/>
    <w:rsid w:val="00B32BDC"/>
    <w:rsid w:val="00B32F0D"/>
    <w:rsid w:val="00B33704"/>
    <w:rsid w:val="00B33BCE"/>
    <w:rsid w:val="00B34E66"/>
    <w:rsid w:val="00B35877"/>
    <w:rsid w:val="00B35CAE"/>
    <w:rsid w:val="00B35D3C"/>
    <w:rsid w:val="00B35F35"/>
    <w:rsid w:val="00B36A8F"/>
    <w:rsid w:val="00B36D4D"/>
    <w:rsid w:val="00B37FB7"/>
    <w:rsid w:val="00B40267"/>
    <w:rsid w:val="00B40FAB"/>
    <w:rsid w:val="00B427B3"/>
    <w:rsid w:val="00B429BD"/>
    <w:rsid w:val="00B43246"/>
    <w:rsid w:val="00B43566"/>
    <w:rsid w:val="00B43623"/>
    <w:rsid w:val="00B45128"/>
    <w:rsid w:val="00B45789"/>
    <w:rsid w:val="00B45949"/>
    <w:rsid w:val="00B45B3E"/>
    <w:rsid w:val="00B45DCF"/>
    <w:rsid w:val="00B461B9"/>
    <w:rsid w:val="00B47657"/>
    <w:rsid w:val="00B5047A"/>
    <w:rsid w:val="00B51968"/>
    <w:rsid w:val="00B51A00"/>
    <w:rsid w:val="00B527EC"/>
    <w:rsid w:val="00B52E0B"/>
    <w:rsid w:val="00B55DB1"/>
    <w:rsid w:val="00B5662D"/>
    <w:rsid w:val="00B569AA"/>
    <w:rsid w:val="00B573E1"/>
    <w:rsid w:val="00B57BE8"/>
    <w:rsid w:val="00B60726"/>
    <w:rsid w:val="00B60BEE"/>
    <w:rsid w:val="00B60CD8"/>
    <w:rsid w:val="00B61B09"/>
    <w:rsid w:val="00B62B38"/>
    <w:rsid w:val="00B62F89"/>
    <w:rsid w:val="00B63BBD"/>
    <w:rsid w:val="00B64453"/>
    <w:rsid w:val="00B64B7D"/>
    <w:rsid w:val="00B64E9E"/>
    <w:rsid w:val="00B6585A"/>
    <w:rsid w:val="00B65AA9"/>
    <w:rsid w:val="00B660D4"/>
    <w:rsid w:val="00B6638E"/>
    <w:rsid w:val="00B6712B"/>
    <w:rsid w:val="00B67AE6"/>
    <w:rsid w:val="00B713EE"/>
    <w:rsid w:val="00B71D7D"/>
    <w:rsid w:val="00B72C2E"/>
    <w:rsid w:val="00B7407A"/>
    <w:rsid w:val="00B76D60"/>
    <w:rsid w:val="00B777C2"/>
    <w:rsid w:val="00B779B4"/>
    <w:rsid w:val="00B77E48"/>
    <w:rsid w:val="00B815B9"/>
    <w:rsid w:val="00B82BC2"/>
    <w:rsid w:val="00B83996"/>
    <w:rsid w:val="00B83DA1"/>
    <w:rsid w:val="00B8435D"/>
    <w:rsid w:val="00B84AEE"/>
    <w:rsid w:val="00B85070"/>
    <w:rsid w:val="00B854E6"/>
    <w:rsid w:val="00B86445"/>
    <w:rsid w:val="00B8660F"/>
    <w:rsid w:val="00B90BA4"/>
    <w:rsid w:val="00B90E64"/>
    <w:rsid w:val="00B912FB"/>
    <w:rsid w:val="00B924B6"/>
    <w:rsid w:val="00B92531"/>
    <w:rsid w:val="00B92F91"/>
    <w:rsid w:val="00B93462"/>
    <w:rsid w:val="00B93564"/>
    <w:rsid w:val="00B93D40"/>
    <w:rsid w:val="00B94368"/>
    <w:rsid w:val="00B94B5D"/>
    <w:rsid w:val="00B953C4"/>
    <w:rsid w:val="00B96FE4"/>
    <w:rsid w:val="00B971F8"/>
    <w:rsid w:val="00B97FA7"/>
    <w:rsid w:val="00BA0F24"/>
    <w:rsid w:val="00BA314D"/>
    <w:rsid w:val="00BA3556"/>
    <w:rsid w:val="00BA3D9D"/>
    <w:rsid w:val="00BA3FCE"/>
    <w:rsid w:val="00BA5B98"/>
    <w:rsid w:val="00BA61F9"/>
    <w:rsid w:val="00BA74A3"/>
    <w:rsid w:val="00BA7881"/>
    <w:rsid w:val="00BB0CA0"/>
    <w:rsid w:val="00BB2760"/>
    <w:rsid w:val="00BB352D"/>
    <w:rsid w:val="00BB3649"/>
    <w:rsid w:val="00BB482A"/>
    <w:rsid w:val="00BB5979"/>
    <w:rsid w:val="00BB5CE4"/>
    <w:rsid w:val="00BB6401"/>
    <w:rsid w:val="00BB6C31"/>
    <w:rsid w:val="00BB7ED1"/>
    <w:rsid w:val="00BC0215"/>
    <w:rsid w:val="00BC0B3C"/>
    <w:rsid w:val="00BC1BDA"/>
    <w:rsid w:val="00BC273C"/>
    <w:rsid w:val="00BC35C2"/>
    <w:rsid w:val="00BC4213"/>
    <w:rsid w:val="00BC5853"/>
    <w:rsid w:val="00BC5D39"/>
    <w:rsid w:val="00BC6829"/>
    <w:rsid w:val="00BD02FB"/>
    <w:rsid w:val="00BD0E74"/>
    <w:rsid w:val="00BD12CD"/>
    <w:rsid w:val="00BD13DD"/>
    <w:rsid w:val="00BD1B0D"/>
    <w:rsid w:val="00BD216C"/>
    <w:rsid w:val="00BD22AB"/>
    <w:rsid w:val="00BD2442"/>
    <w:rsid w:val="00BD37FE"/>
    <w:rsid w:val="00BD4B70"/>
    <w:rsid w:val="00BD4C6D"/>
    <w:rsid w:val="00BD65C8"/>
    <w:rsid w:val="00BD667C"/>
    <w:rsid w:val="00BD73FF"/>
    <w:rsid w:val="00BE0724"/>
    <w:rsid w:val="00BE169B"/>
    <w:rsid w:val="00BE24CF"/>
    <w:rsid w:val="00BE25D4"/>
    <w:rsid w:val="00BE495B"/>
    <w:rsid w:val="00BE4A84"/>
    <w:rsid w:val="00BE4E02"/>
    <w:rsid w:val="00BE54C3"/>
    <w:rsid w:val="00BE60C9"/>
    <w:rsid w:val="00BE6304"/>
    <w:rsid w:val="00BE640F"/>
    <w:rsid w:val="00BE6865"/>
    <w:rsid w:val="00BE76F0"/>
    <w:rsid w:val="00BF178D"/>
    <w:rsid w:val="00BF18A9"/>
    <w:rsid w:val="00BF202B"/>
    <w:rsid w:val="00BF2B39"/>
    <w:rsid w:val="00BF3ED4"/>
    <w:rsid w:val="00BF44DB"/>
    <w:rsid w:val="00BF56C8"/>
    <w:rsid w:val="00BF5DD0"/>
    <w:rsid w:val="00BF6DA6"/>
    <w:rsid w:val="00BF7140"/>
    <w:rsid w:val="00BF78AC"/>
    <w:rsid w:val="00BF7940"/>
    <w:rsid w:val="00C0037E"/>
    <w:rsid w:val="00C005B9"/>
    <w:rsid w:val="00C0090E"/>
    <w:rsid w:val="00C0103F"/>
    <w:rsid w:val="00C0122C"/>
    <w:rsid w:val="00C016D4"/>
    <w:rsid w:val="00C01F89"/>
    <w:rsid w:val="00C02523"/>
    <w:rsid w:val="00C025A9"/>
    <w:rsid w:val="00C0297C"/>
    <w:rsid w:val="00C03453"/>
    <w:rsid w:val="00C0354A"/>
    <w:rsid w:val="00C04DA8"/>
    <w:rsid w:val="00C05407"/>
    <w:rsid w:val="00C0642C"/>
    <w:rsid w:val="00C064A2"/>
    <w:rsid w:val="00C0693C"/>
    <w:rsid w:val="00C06D83"/>
    <w:rsid w:val="00C07630"/>
    <w:rsid w:val="00C10210"/>
    <w:rsid w:val="00C109F2"/>
    <w:rsid w:val="00C118DE"/>
    <w:rsid w:val="00C118EA"/>
    <w:rsid w:val="00C11CC0"/>
    <w:rsid w:val="00C11EE3"/>
    <w:rsid w:val="00C11F15"/>
    <w:rsid w:val="00C123A3"/>
    <w:rsid w:val="00C136D5"/>
    <w:rsid w:val="00C1390B"/>
    <w:rsid w:val="00C13DD3"/>
    <w:rsid w:val="00C14180"/>
    <w:rsid w:val="00C14B49"/>
    <w:rsid w:val="00C14D90"/>
    <w:rsid w:val="00C156E8"/>
    <w:rsid w:val="00C164B1"/>
    <w:rsid w:val="00C16F93"/>
    <w:rsid w:val="00C17BE1"/>
    <w:rsid w:val="00C17D73"/>
    <w:rsid w:val="00C20828"/>
    <w:rsid w:val="00C208F3"/>
    <w:rsid w:val="00C22229"/>
    <w:rsid w:val="00C22391"/>
    <w:rsid w:val="00C229D1"/>
    <w:rsid w:val="00C22D43"/>
    <w:rsid w:val="00C2307E"/>
    <w:rsid w:val="00C23798"/>
    <w:rsid w:val="00C24119"/>
    <w:rsid w:val="00C247D3"/>
    <w:rsid w:val="00C24FD8"/>
    <w:rsid w:val="00C2580B"/>
    <w:rsid w:val="00C260BA"/>
    <w:rsid w:val="00C27117"/>
    <w:rsid w:val="00C27BD3"/>
    <w:rsid w:val="00C309E3"/>
    <w:rsid w:val="00C30AC2"/>
    <w:rsid w:val="00C31521"/>
    <w:rsid w:val="00C31756"/>
    <w:rsid w:val="00C31D0E"/>
    <w:rsid w:val="00C322D8"/>
    <w:rsid w:val="00C3268C"/>
    <w:rsid w:val="00C33286"/>
    <w:rsid w:val="00C33D14"/>
    <w:rsid w:val="00C34A81"/>
    <w:rsid w:val="00C35428"/>
    <w:rsid w:val="00C35D17"/>
    <w:rsid w:val="00C37736"/>
    <w:rsid w:val="00C37C7C"/>
    <w:rsid w:val="00C37EFE"/>
    <w:rsid w:val="00C411A7"/>
    <w:rsid w:val="00C4205C"/>
    <w:rsid w:val="00C4254E"/>
    <w:rsid w:val="00C42C47"/>
    <w:rsid w:val="00C43311"/>
    <w:rsid w:val="00C4401B"/>
    <w:rsid w:val="00C44074"/>
    <w:rsid w:val="00C4420A"/>
    <w:rsid w:val="00C448DA"/>
    <w:rsid w:val="00C448E2"/>
    <w:rsid w:val="00C44A0D"/>
    <w:rsid w:val="00C44B13"/>
    <w:rsid w:val="00C44C28"/>
    <w:rsid w:val="00C4688F"/>
    <w:rsid w:val="00C47057"/>
    <w:rsid w:val="00C471C8"/>
    <w:rsid w:val="00C47DD5"/>
    <w:rsid w:val="00C47E13"/>
    <w:rsid w:val="00C501A1"/>
    <w:rsid w:val="00C511CF"/>
    <w:rsid w:val="00C51EF0"/>
    <w:rsid w:val="00C52777"/>
    <w:rsid w:val="00C5281A"/>
    <w:rsid w:val="00C52B20"/>
    <w:rsid w:val="00C52D1B"/>
    <w:rsid w:val="00C530E2"/>
    <w:rsid w:val="00C533F7"/>
    <w:rsid w:val="00C53BFA"/>
    <w:rsid w:val="00C53D49"/>
    <w:rsid w:val="00C54243"/>
    <w:rsid w:val="00C546ED"/>
    <w:rsid w:val="00C5495A"/>
    <w:rsid w:val="00C552F0"/>
    <w:rsid w:val="00C555AB"/>
    <w:rsid w:val="00C556E2"/>
    <w:rsid w:val="00C567E5"/>
    <w:rsid w:val="00C60925"/>
    <w:rsid w:val="00C60AC3"/>
    <w:rsid w:val="00C611C0"/>
    <w:rsid w:val="00C61A32"/>
    <w:rsid w:val="00C61C29"/>
    <w:rsid w:val="00C61F50"/>
    <w:rsid w:val="00C63462"/>
    <w:rsid w:val="00C63F8F"/>
    <w:rsid w:val="00C6505C"/>
    <w:rsid w:val="00C65F8C"/>
    <w:rsid w:val="00C668F1"/>
    <w:rsid w:val="00C67CA8"/>
    <w:rsid w:val="00C70542"/>
    <w:rsid w:val="00C721EA"/>
    <w:rsid w:val="00C72950"/>
    <w:rsid w:val="00C72F25"/>
    <w:rsid w:val="00C731E5"/>
    <w:rsid w:val="00C736F6"/>
    <w:rsid w:val="00C74123"/>
    <w:rsid w:val="00C7414C"/>
    <w:rsid w:val="00C7531E"/>
    <w:rsid w:val="00C76050"/>
    <w:rsid w:val="00C769B0"/>
    <w:rsid w:val="00C76C24"/>
    <w:rsid w:val="00C77007"/>
    <w:rsid w:val="00C77833"/>
    <w:rsid w:val="00C8000F"/>
    <w:rsid w:val="00C804AB"/>
    <w:rsid w:val="00C804F2"/>
    <w:rsid w:val="00C81A5D"/>
    <w:rsid w:val="00C81F1D"/>
    <w:rsid w:val="00C82321"/>
    <w:rsid w:val="00C824AB"/>
    <w:rsid w:val="00C827DA"/>
    <w:rsid w:val="00C82C04"/>
    <w:rsid w:val="00C8303F"/>
    <w:rsid w:val="00C83D74"/>
    <w:rsid w:val="00C842DC"/>
    <w:rsid w:val="00C85179"/>
    <w:rsid w:val="00C85561"/>
    <w:rsid w:val="00C866F2"/>
    <w:rsid w:val="00C874D2"/>
    <w:rsid w:val="00C90A05"/>
    <w:rsid w:val="00C90AAA"/>
    <w:rsid w:val="00C90BD4"/>
    <w:rsid w:val="00C90F27"/>
    <w:rsid w:val="00C916AD"/>
    <w:rsid w:val="00C91C19"/>
    <w:rsid w:val="00C91DFD"/>
    <w:rsid w:val="00C9243D"/>
    <w:rsid w:val="00C93166"/>
    <w:rsid w:val="00C93D10"/>
    <w:rsid w:val="00C93D38"/>
    <w:rsid w:val="00C943C9"/>
    <w:rsid w:val="00C944C2"/>
    <w:rsid w:val="00C94F4C"/>
    <w:rsid w:val="00C95932"/>
    <w:rsid w:val="00C962F2"/>
    <w:rsid w:val="00C96C4D"/>
    <w:rsid w:val="00C975D0"/>
    <w:rsid w:val="00C9798B"/>
    <w:rsid w:val="00C979D5"/>
    <w:rsid w:val="00CA0329"/>
    <w:rsid w:val="00CA1D1B"/>
    <w:rsid w:val="00CA2102"/>
    <w:rsid w:val="00CA2F4E"/>
    <w:rsid w:val="00CA3931"/>
    <w:rsid w:val="00CA5006"/>
    <w:rsid w:val="00CA5D59"/>
    <w:rsid w:val="00CA61A9"/>
    <w:rsid w:val="00CA62BF"/>
    <w:rsid w:val="00CA6A33"/>
    <w:rsid w:val="00CA7640"/>
    <w:rsid w:val="00CB04BD"/>
    <w:rsid w:val="00CB0D57"/>
    <w:rsid w:val="00CB2458"/>
    <w:rsid w:val="00CB3364"/>
    <w:rsid w:val="00CB3602"/>
    <w:rsid w:val="00CB423F"/>
    <w:rsid w:val="00CB4365"/>
    <w:rsid w:val="00CB5BC3"/>
    <w:rsid w:val="00CB5C2D"/>
    <w:rsid w:val="00CB6460"/>
    <w:rsid w:val="00CB6813"/>
    <w:rsid w:val="00CB68D4"/>
    <w:rsid w:val="00CB6C0D"/>
    <w:rsid w:val="00CB734D"/>
    <w:rsid w:val="00CB73DA"/>
    <w:rsid w:val="00CB7C46"/>
    <w:rsid w:val="00CB7D9D"/>
    <w:rsid w:val="00CB7DFD"/>
    <w:rsid w:val="00CC0141"/>
    <w:rsid w:val="00CC0621"/>
    <w:rsid w:val="00CC0D65"/>
    <w:rsid w:val="00CC272C"/>
    <w:rsid w:val="00CC3ADF"/>
    <w:rsid w:val="00CC445F"/>
    <w:rsid w:val="00CC4476"/>
    <w:rsid w:val="00CC6061"/>
    <w:rsid w:val="00CC647D"/>
    <w:rsid w:val="00CC6691"/>
    <w:rsid w:val="00CC69C6"/>
    <w:rsid w:val="00CC7639"/>
    <w:rsid w:val="00CC76D5"/>
    <w:rsid w:val="00CC76EC"/>
    <w:rsid w:val="00CC7756"/>
    <w:rsid w:val="00CC7983"/>
    <w:rsid w:val="00CC7A0C"/>
    <w:rsid w:val="00CD00F7"/>
    <w:rsid w:val="00CD03D9"/>
    <w:rsid w:val="00CD12E6"/>
    <w:rsid w:val="00CD346C"/>
    <w:rsid w:val="00CD3767"/>
    <w:rsid w:val="00CD3932"/>
    <w:rsid w:val="00CD4332"/>
    <w:rsid w:val="00CD43BD"/>
    <w:rsid w:val="00CD4899"/>
    <w:rsid w:val="00CD502E"/>
    <w:rsid w:val="00CD5BAF"/>
    <w:rsid w:val="00CD6897"/>
    <w:rsid w:val="00CD7F0F"/>
    <w:rsid w:val="00CE10D2"/>
    <w:rsid w:val="00CE1792"/>
    <w:rsid w:val="00CE1828"/>
    <w:rsid w:val="00CE1D60"/>
    <w:rsid w:val="00CE2ADA"/>
    <w:rsid w:val="00CE3F0C"/>
    <w:rsid w:val="00CE5060"/>
    <w:rsid w:val="00CE5441"/>
    <w:rsid w:val="00CE77E8"/>
    <w:rsid w:val="00CF0A80"/>
    <w:rsid w:val="00CF0F0F"/>
    <w:rsid w:val="00CF1724"/>
    <w:rsid w:val="00CF2402"/>
    <w:rsid w:val="00CF37CD"/>
    <w:rsid w:val="00CF470E"/>
    <w:rsid w:val="00CF4919"/>
    <w:rsid w:val="00CF56C8"/>
    <w:rsid w:val="00CF5D6C"/>
    <w:rsid w:val="00CF6658"/>
    <w:rsid w:val="00CF6797"/>
    <w:rsid w:val="00CF721E"/>
    <w:rsid w:val="00CF7A50"/>
    <w:rsid w:val="00D00063"/>
    <w:rsid w:val="00D0026C"/>
    <w:rsid w:val="00D002AB"/>
    <w:rsid w:val="00D01262"/>
    <w:rsid w:val="00D0182F"/>
    <w:rsid w:val="00D02346"/>
    <w:rsid w:val="00D024E0"/>
    <w:rsid w:val="00D02834"/>
    <w:rsid w:val="00D03714"/>
    <w:rsid w:val="00D037BE"/>
    <w:rsid w:val="00D03DED"/>
    <w:rsid w:val="00D04699"/>
    <w:rsid w:val="00D04E75"/>
    <w:rsid w:val="00D1091C"/>
    <w:rsid w:val="00D10B8A"/>
    <w:rsid w:val="00D10C0C"/>
    <w:rsid w:val="00D1167F"/>
    <w:rsid w:val="00D11B26"/>
    <w:rsid w:val="00D11C03"/>
    <w:rsid w:val="00D12850"/>
    <w:rsid w:val="00D1365A"/>
    <w:rsid w:val="00D141A8"/>
    <w:rsid w:val="00D14304"/>
    <w:rsid w:val="00D14669"/>
    <w:rsid w:val="00D14CA1"/>
    <w:rsid w:val="00D14F6E"/>
    <w:rsid w:val="00D14FA9"/>
    <w:rsid w:val="00D15275"/>
    <w:rsid w:val="00D15332"/>
    <w:rsid w:val="00D15882"/>
    <w:rsid w:val="00D16E8C"/>
    <w:rsid w:val="00D171A4"/>
    <w:rsid w:val="00D1797E"/>
    <w:rsid w:val="00D2107C"/>
    <w:rsid w:val="00D21168"/>
    <w:rsid w:val="00D2119F"/>
    <w:rsid w:val="00D2233F"/>
    <w:rsid w:val="00D2295D"/>
    <w:rsid w:val="00D22FE8"/>
    <w:rsid w:val="00D239D6"/>
    <w:rsid w:val="00D23E33"/>
    <w:rsid w:val="00D25360"/>
    <w:rsid w:val="00D26A94"/>
    <w:rsid w:val="00D27C8E"/>
    <w:rsid w:val="00D3009E"/>
    <w:rsid w:val="00D30957"/>
    <w:rsid w:val="00D3126B"/>
    <w:rsid w:val="00D31E59"/>
    <w:rsid w:val="00D32E37"/>
    <w:rsid w:val="00D3331D"/>
    <w:rsid w:val="00D33C14"/>
    <w:rsid w:val="00D3429D"/>
    <w:rsid w:val="00D343D5"/>
    <w:rsid w:val="00D34902"/>
    <w:rsid w:val="00D3501A"/>
    <w:rsid w:val="00D35142"/>
    <w:rsid w:val="00D3516F"/>
    <w:rsid w:val="00D36764"/>
    <w:rsid w:val="00D36A88"/>
    <w:rsid w:val="00D36B3C"/>
    <w:rsid w:val="00D37335"/>
    <w:rsid w:val="00D4009F"/>
    <w:rsid w:val="00D40B25"/>
    <w:rsid w:val="00D4130B"/>
    <w:rsid w:val="00D41674"/>
    <w:rsid w:val="00D4209D"/>
    <w:rsid w:val="00D43B2C"/>
    <w:rsid w:val="00D446A8"/>
    <w:rsid w:val="00D45261"/>
    <w:rsid w:val="00D452A3"/>
    <w:rsid w:val="00D45DBA"/>
    <w:rsid w:val="00D46436"/>
    <w:rsid w:val="00D4663E"/>
    <w:rsid w:val="00D46821"/>
    <w:rsid w:val="00D468B2"/>
    <w:rsid w:val="00D468F5"/>
    <w:rsid w:val="00D46F68"/>
    <w:rsid w:val="00D4734E"/>
    <w:rsid w:val="00D478DF"/>
    <w:rsid w:val="00D47D27"/>
    <w:rsid w:val="00D501A9"/>
    <w:rsid w:val="00D50C76"/>
    <w:rsid w:val="00D50CCC"/>
    <w:rsid w:val="00D50DD9"/>
    <w:rsid w:val="00D50FFD"/>
    <w:rsid w:val="00D51C4A"/>
    <w:rsid w:val="00D52890"/>
    <w:rsid w:val="00D5314C"/>
    <w:rsid w:val="00D53380"/>
    <w:rsid w:val="00D54311"/>
    <w:rsid w:val="00D5470E"/>
    <w:rsid w:val="00D550B7"/>
    <w:rsid w:val="00D55F96"/>
    <w:rsid w:val="00D562C4"/>
    <w:rsid w:val="00D564BF"/>
    <w:rsid w:val="00D5669F"/>
    <w:rsid w:val="00D56F05"/>
    <w:rsid w:val="00D57CBE"/>
    <w:rsid w:val="00D6026C"/>
    <w:rsid w:val="00D602CF"/>
    <w:rsid w:val="00D60394"/>
    <w:rsid w:val="00D60E65"/>
    <w:rsid w:val="00D62303"/>
    <w:rsid w:val="00D6235C"/>
    <w:rsid w:val="00D624A3"/>
    <w:rsid w:val="00D628EF"/>
    <w:rsid w:val="00D62C6E"/>
    <w:rsid w:val="00D62C85"/>
    <w:rsid w:val="00D63291"/>
    <w:rsid w:val="00D64B03"/>
    <w:rsid w:val="00D65B71"/>
    <w:rsid w:val="00D65E36"/>
    <w:rsid w:val="00D6690A"/>
    <w:rsid w:val="00D66AC5"/>
    <w:rsid w:val="00D7110A"/>
    <w:rsid w:val="00D72350"/>
    <w:rsid w:val="00D73696"/>
    <w:rsid w:val="00D73CD7"/>
    <w:rsid w:val="00D7465B"/>
    <w:rsid w:val="00D761F6"/>
    <w:rsid w:val="00D7673B"/>
    <w:rsid w:val="00D76AF8"/>
    <w:rsid w:val="00D76FFA"/>
    <w:rsid w:val="00D77136"/>
    <w:rsid w:val="00D775D1"/>
    <w:rsid w:val="00D77814"/>
    <w:rsid w:val="00D77A6F"/>
    <w:rsid w:val="00D80574"/>
    <w:rsid w:val="00D80621"/>
    <w:rsid w:val="00D80F1C"/>
    <w:rsid w:val="00D8301F"/>
    <w:rsid w:val="00D83BF1"/>
    <w:rsid w:val="00D84802"/>
    <w:rsid w:val="00D84DEB"/>
    <w:rsid w:val="00D84E0E"/>
    <w:rsid w:val="00D852CE"/>
    <w:rsid w:val="00D85395"/>
    <w:rsid w:val="00D85EBA"/>
    <w:rsid w:val="00D86405"/>
    <w:rsid w:val="00D90C6C"/>
    <w:rsid w:val="00D90D63"/>
    <w:rsid w:val="00D921A4"/>
    <w:rsid w:val="00D9318F"/>
    <w:rsid w:val="00D933C7"/>
    <w:rsid w:val="00D934C9"/>
    <w:rsid w:val="00D9569D"/>
    <w:rsid w:val="00D958B5"/>
    <w:rsid w:val="00D972D8"/>
    <w:rsid w:val="00D977E5"/>
    <w:rsid w:val="00D979FF"/>
    <w:rsid w:val="00DA0A27"/>
    <w:rsid w:val="00DA0FA5"/>
    <w:rsid w:val="00DA16EF"/>
    <w:rsid w:val="00DA2757"/>
    <w:rsid w:val="00DA3630"/>
    <w:rsid w:val="00DA3E82"/>
    <w:rsid w:val="00DA417F"/>
    <w:rsid w:val="00DA52D1"/>
    <w:rsid w:val="00DA53D7"/>
    <w:rsid w:val="00DB0A7A"/>
    <w:rsid w:val="00DB0EC5"/>
    <w:rsid w:val="00DB1302"/>
    <w:rsid w:val="00DB29E0"/>
    <w:rsid w:val="00DB2D77"/>
    <w:rsid w:val="00DB4126"/>
    <w:rsid w:val="00DB4874"/>
    <w:rsid w:val="00DB4ACE"/>
    <w:rsid w:val="00DB4BB7"/>
    <w:rsid w:val="00DB52CA"/>
    <w:rsid w:val="00DB604D"/>
    <w:rsid w:val="00DB6B32"/>
    <w:rsid w:val="00DB6D3B"/>
    <w:rsid w:val="00DB7907"/>
    <w:rsid w:val="00DC07AB"/>
    <w:rsid w:val="00DC139B"/>
    <w:rsid w:val="00DC13A6"/>
    <w:rsid w:val="00DC1586"/>
    <w:rsid w:val="00DC2F0B"/>
    <w:rsid w:val="00DC31CB"/>
    <w:rsid w:val="00DC3E43"/>
    <w:rsid w:val="00DC3F8E"/>
    <w:rsid w:val="00DC465B"/>
    <w:rsid w:val="00DC508B"/>
    <w:rsid w:val="00DC518A"/>
    <w:rsid w:val="00DC6237"/>
    <w:rsid w:val="00DD0697"/>
    <w:rsid w:val="00DD10D8"/>
    <w:rsid w:val="00DD1183"/>
    <w:rsid w:val="00DD1E56"/>
    <w:rsid w:val="00DD2669"/>
    <w:rsid w:val="00DD28AA"/>
    <w:rsid w:val="00DD314C"/>
    <w:rsid w:val="00DD32CF"/>
    <w:rsid w:val="00DD4821"/>
    <w:rsid w:val="00DD4B77"/>
    <w:rsid w:val="00DD643E"/>
    <w:rsid w:val="00DD64D5"/>
    <w:rsid w:val="00DD6F7D"/>
    <w:rsid w:val="00DD7165"/>
    <w:rsid w:val="00DE06C0"/>
    <w:rsid w:val="00DE0825"/>
    <w:rsid w:val="00DE0A00"/>
    <w:rsid w:val="00DE150E"/>
    <w:rsid w:val="00DE1CB6"/>
    <w:rsid w:val="00DE1D43"/>
    <w:rsid w:val="00DE1F4B"/>
    <w:rsid w:val="00DE2C7B"/>
    <w:rsid w:val="00DE362D"/>
    <w:rsid w:val="00DE3C20"/>
    <w:rsid w:val="00DE3F9B"/>
    <w:rsid w:val="00DE4AB0"/>
    <w:rsid w:val="00DE6044"/>
    <w:rsid w:val="00DE6A2F"/>
    <w:rsid w:val="00DF0566"/>
    <w:rsid w:val="00DF09EF"/>
    <w:rsid w:val="00DF0A81"/>
    <w:rsid w:val="00DF1FD1"/>
    <w:rsid w:val="00DF1FFF"/>
    <w:rsid w:val="00DF2153"/>
    <w:rsid w:val="00DF23E7"/>
    <w:rsid w:val="00DF2DC2"/>
    <w:rsid w:val="00DF41A1"/>
    <w:rsid w:val="00DF5363"/>
    <w:rsid w:val="00DF723A"/>
    <w:rsid w:val="00E00757"/>
    <w:rsid w:val="00E01646"/>
    <w:rsid w:val="00E02CE1"/>
    <w:rsid w:val="00E038D2"/>
    <w:rsid w:val="00E03C90"/>
    <w:rsid w:val="00E03FC5"/>
    <w:rsid w:val="00E045AB"/>
    <w:rsid w:val="00E062BE"/>
    <w:rsid w:val="00E064E7"/>
    <w:rsid w:val="00E0685E"/>
    <w:rsid w:val="00E07780"/>
    <w:rsid w:val="00E07B1B"/>
    <w:rsid w:val="00E10BD1"/>
    <w:rsid w:val="00E10C71"/>
    <w:rsid w:val="00E1129D"/>
    <w:rsid w:val="00E11570"/>
    <w:rsid w:val="00E121C4"/>
    <w:rsid w:val="00E14DC6"/>
    <w:rsid w:val="00E14EB0"/>
    <w:rsid w:val="00E15669"/>
    <w:rsid w:val="00E158B6"/>
    <w:rsid w:val="00E15A53"/>
    <w:rsid w:val="00E15AC3"/>
    <w:rsid w:val="00E15BCB"/>
    <w:rsid w:val="00E16F67"/>
    <w:rsid w:val="00E17A73"/>
    <w:rsid w:val="00E17C6B"/>
    <w:rsid w:val="00E17CED"/>
    <w:rsid w:val="00E200CC"/>
    <w:rsid w:val="00E2081B"/>
    <w:rsid w:val="00E20D0E"/>
    <w:rsid w:val="00E2141C"/>
    <w:rsid w:val="00E217E8"/>
    <w:rsid w:val="00E23862"/>
    <w:rsid w:val="00E24718"/>
    <w:rsid w:val="00E2488A"/>
    <w:rsid w:val="00E254F1"/>
    <w:rsid w:val="00E25B79"/>
    <w:rsid w:val="00E26909"/>
    <w:rsid w:val="00E269F7"/>
    <w:rsid w:val="00E27264"/>
    <w:rsid w:val="00E27BD3"/>
    <w:rsid w:val="00E30251"/>
    <w:rsid w:val="00E322E3"/>
    <w:rsid w:val="00E32969"/>
    <w:rsid w:val="00E32B16"/>
    <w:rsid w:val="00E338D3"/>
    <w:rsid w:val="00E34B98"/>
    <w:rsid w:val="00E34BAD"/>
    <w:rsid w:val="00E3532C"/>
    <w:rsid w:val="00E357AC"/>
    <w:rsid w:val="00E36B53"/>
    <w:rsid w:val="00E36C58"/>
    <w:rsid w:val="00E37723"/>
    <w:rsid w:val="00E3777E"/>
    <w:rsid w:val="00E42881"/>
    <w:rsid w:val="00E43C0A"/>
    <w:rsid w:val="00E4548D"/>
    <w:rsid w:val="00E4563F"/>
    <w:rsid w:val="00E45E58"/>
    <w:rsid w:val="00E46124"/>
    <w:rsid w:val="00E4616B"/>
    <w:rsid w:val="00E506FC"/>
    <w:rsid w:val="00E509F2"/>
    <w:rsid w:val="00E51164"/>
    <w:rsid w:val="00E51AFB"/>
    <w:rsid w:val="00E51BFA"/>
    <w:rsid w:val="00E51FE7"/>
    <w:rsid w:val="00E524A1"/>
    <w:rsid w:val="00E52DA2"/>
    <w:rsid w:val="00E536B1"/>
    <w:rsid w:val="00E5383D"/>
    <w:rsid w:val="00E53D7F"/>
    <w:rsid w:val="00E5409F"/>
    <w:rsid w:val="00E54C9E"/>
    <w:rsid w:val="00E54D69"/>
    <w:rsid w:val="00E54DED"/>
    <w:rsid w:val="00E54FC1"/>
    <w:rsid w:val="00E555AB"/>
    <w:rsid w:val="00E56347"/>
    <w:rsid w:val="00E56ACF"/>
    <w:rsid w:val="00E570DE"/>
    <w:rsid w:val="00E571A1"/>
    <w:rsid w:val="00E57598"/>
    <w:rsid w:val="00E57CA4"/>
    <w:rsid w:val="00E6044A"/>
    <w:rsid w:val="00E61DE7"/>
    <w:rsid w:val="00E61FA8"/>
    <w:rsid w:val="00E62C69"/>
    <w:rsid w:val="00E630E9"/>
    <w:rsid w:val="00E639FA"/>
    <w:rsid w:val="00E641B1"/>
    <w:rsid w:val="00E64795"/>
    <w:rsid w:val="00E64991"/>
    <w:rsid w:val="00E649EC"/>
    <w:rsid w:val="00E657EE"/>
    <w:rsid w:val="00E6591B"/>
    <w:rsid w:val="00E66535"/>
    <w:rsid w:val="00E66D04"/>
    <w:rsid w:val="00E671D3"/>
    <w:rsid w:val="00E676C7"/>
    <w:rsid w:val="00E67D48"/>
    <w:rsid w:val="00E72791"/>
    <w:rsid w:val="00E72E16"/>
    <w:rsid w:val="00E731B8"/>
    <w:rsid w:val="00E73BD1"/>
    <w:rsid w:val="00E73C23"/>
    <w:rsid w:val="00E7479C"/>
    <w:rsid w:val="00E75161"/>
    <w:rsid w:val="00E75439"/>
    <w:rsid w:val="00E7591C"/>
    <w:rsid w:val="00E76358"/>
    <w:rsid w:val="00E776AC"/>
    <w:rsid w:val="00E77B8C"/>
    <w:rsid w:val="00E806FF"/>
    <w:rsid w:val="00E81898"/>
    <w:rsid w:val="00E81BFC"/>
    <w:rsid w:val="00E82129"/>
    <w:rsid w:val="00E825E4"/>
    <w:rsid w:val="00E82BD9"/>
    <w:rsid w:val="00E83CE9"/>
    <w:rsid w:val="00E8408B"/>
    <w:rsid w:val="00E84401"/>
    <w:rsid w:val="00E848F0"/>
    <w:rsid w:val="00E850F4"/>
    <w:rsid w:val="00E85B47"/>
    <w:rsid w:val="00E85B76"/>
    <w:rsid w:val="00E86A85"/>
    <w:rsid w:val="00E870EB"/>
    <w:rsid w:val="00E87FFE"/>
    <w:rsid w:val="00E90E3D"/>
    <w:rsid w:val="00E91BBB"/>
    <w:rsid w:val="00E91E60"/>
    <w:rsid w:val="00E92B60"/>
    <w:rsid w:val="00E92C88"/>
    <w:rsid w:val="00E9313A"/>
    <w:rsid w:val="00E93380"/>
    <w:rsid w:val="00E934DF"/>
    <w:rsid w:val="00E93BDA"/>
    <w:rsid w:val="00E9710B"/>
    <w:rsid w:val="00E975DE"/>
    <w:rsid w:val="00E97A4A"/>
    <w:rsid w:val="00E97B84"/>
    <w:rsid w:val="00E97F65"/>
    <w:rsid w:val="00EA05BA"/>
    <w:rsid w:val="00EA188D"/>
    <w:rsid w:val="00EA2320"/>
    <w:rsid w:val="00EA4630"/>
    <w:rsid w:val="00EA4F68"/>
    <w:rsid w:val="00EA58F4"/>
    <w:rsid w:val="00EA75AA"/>
    <w:rsid w:val="00EA7DAE"/>
    <w:rsid w:val="00EB05AD"/>
    <w:rsid w:val="00EB06A0"/>
    <w:rsid w:val="00EB1B39"/>
    <w:rsid w:val="00EB2951"/>
    <w:rsid w:val="00EB391B"/>
    <w:rsid w:val="00EB4159"/>
    <w:rsid w:val="00EB49B2"/>
    <w:rsid w:val="00EB4EAC"/>
    <w:rsid w:val="00EB6EAB"/>
    <w:rsid w:val="00EB7448"/>
    <w:rsid w:val="00EB748A"/>
    <w:rsid w:val="00EC0A72"/>
    <w:rsid w:val="00EC2A15"/>
    <w:rsid w:val="00EC307A"/>
    <w:rsid w:val="00EC3273"/>
    <w:rsid w:val="00EC34C6"/>
    <w:rsid w:val="00EC42AC"/>
    <w:rsid w:val="00EC51DA"/>
    <w:rsid w:val="00EC5263"/>
    <w:rsid w:val="00EC5E85"/>
    <w:rsid w:val="00EC62BC"/>
    <w:rsid w:val="00EC6843"/>
    <w:rsid w:val="00EC6A5C"/>
    <w:rsid w:val="00EC6F32"/>
    <w:rsid w:val="00EC7C8D"/>
    <w:rsid w:val="00ED00FF"/>
    <w:rsid w:val="00ED0AC6"/>
    <w:rsid w:val="00ED1017"/>
    <w:rsid w:val="00ED115E"/>
    <w:rsid w:val="00ED138A"/>
    <w:rsid w:val="00ED196A"/>
    <w:rsid w:val="00ED1B2C"/>
    <w:rsid w:val="00ED1F38"/>
    <w:rsid w:val="00ED24A5"/>
    <w:rsid w:val="00ED2516"/>
    <w:rsid w:val="00ED2E0A"/>
    <w:rsid w:val="00ED30D0"/>
    <w:rsid w:val="00ED311A"/>
    <w:rsid w:val="00ED327E"/>
    <w:rsid w:val="00ED3AFA"/>
    <w:rsid w:val="00ED41F2"/>
    <w:rsid w:val="00ED564E"/>
    <w:rsid w:val="00ED5A57"/>
    <w:rsid w:val="00ED66EF"/>
    <w:rsid w:val="00ED712C"/>
    <w:rsid w:val="00EE02CF"/>
    <w:rsid w:val="00EE1BF6"/>
    <w:rsid w:val="00EE21FD"/>
    <w:rsid w:val="00EE2705"/>
    <w:rsid w:val="00EE32C9"/>
    <w:rsid w:val="00EE47F6"/>
    <w:rsid w:val="00EE6016"/>
    <w:rsid w:val="00EE6B9E"/>
    <w:rsid w:val="00EE727E"/>
    <w:rsid w:val="00EE77B8"/>
    <w:rsid w:val="00EF0A4E"/>
    <w:rsid w:val="00EF1736"/>
    <w:rsid w:val="00EF1C02"/>
    <w:rsid w:val="00EF1FAC"/>
    <w:rsid w:val="00EF3A33"/>
    <w:rsid w:val="00EF3C4F"/>
    <w:rsid w:val="00EF46DF"/>
    <w:rsid w:val="00EF4B0E"/>
    <w:rsid w:val="00EF5BED"/>
    <w:rsid w:val="00EF5E64"/>
    <w:rsid w:val="00EF627A"/>
    <w:rsid w:val="00EF66F8"/>
    <w:rsid w:val="00EF6B3D"/>
    <w:rsid w:val="00EF6F49"/>
    <w:rsid w:val="00EF761D"/>
    <w:rsid w:val="00EF7C6F"/>
    <w:rsid w:val="00F00B85"/>
    <w:rsid w:val="00F01F13"/>
    <w:rsid w:val="00F02024"/>
    <w:rsid w:val="00F020A5"/>
    <w:rsid w:val="00F04326"/>
    <w:rsid w:val="00F04E57"/>
    <w:rsid w:val="00F051CB"/>
    <w:rsid w:val="00F06D0D"/>
    <w:rsid w:val="00F07154"/>
    <w:rsid w:val="00F07247"/>
    <w:rsid w:val="00F072B0"/>
    <w:rsid w:val="00F07E67"/>
    <w:rsid w:val="00F07F4F"/>
    <w:rsid w:val="00F11A2C"/>
    <w:rsid w:val="00F11B1E"/>
    <w:rsid w:val="00F12483"/>
    <w:rsid w:val="00F124F9"/>
    <w:rsid w:val="00F129FF"/>
    <w:rsid w:val="00F12CAD"/>
    <w:rsid w:val="00F13B24"/>
    <w:rsid w:val="00F14984"/>
    <w:rsid w:val="00F15836"/>
    <w:rsid w:val="00F15A21"/>
    <w:rsid w:val="00F17351"/>
    <w:rsid w:val="00F20126"/>
    <w:rsid w:val="00F20B53"/>
    <w:rsid w:val="00F20E91"/>
    <w:rsid w:val="00F20F80"/>
    <w:rsid w:val="00F211B7"/>
    <w:rsid w:val="00F21750"/>
    <w:rsid w:val="00F21919"/>
    <w:rsid w:val="00F22450"/>
    <w:rsid w:val="00F22BC7"/>
    <w:rsid w:val="00F23F93"/>
    <w:rsid w:val="00F24AD8"/>
    <w:rsid w:val="00F24E3A"/>
    <w:rsid w:val="00F264A8"/>
    <w:rsid w:val="00F267AC"/>
    <w:rsid w:val="00F26E9E"/>
    <w:rsid w:val="00F27390"/>
    <w:rsid w:val="00F273A1"/>
    <w:rsid w:val="00F27D9A"/>
    <w:rsid w:val="00F303AA"/>
    <w:rsid w:val="00F3084E"/>
    <w:rsid w:val="00F3103C"/>
    <w:rsid w:val="00F31277"/>
    <w:rsid w:val="00F3130F"/>
    <w:rsid w:val="00F3177B"/>
    <w:rsid w:val="00F31B61"/>
    <w:rsid w:val="00F3264B"/>
    <w:rsid w:val="00F327C7"/>
    <w:rsid w:val="00F32A1D"/>
    <w:rsid w:val="00F32E6E"/>
    <w:rsid w:val="00F33200"/>
    <w:rsid w:val="00F33452"/>
    <w:rsid w:val="00F33CD6"/>
    <w:rsid w:val="00F37134"/>
    <w:rsid w:val="00F37735"/>
    <w:rsid w:val="00F37910"/>
    <w:rsid w:val="00F402B4"/>
    <w:rsid w:val="00F40DC8"/>
    <w:rsid w:val="00F424F4"/>
    <w:rsid w:val="00F42CA3"/>
    <w:rsid w:val="00F43406"/>
    <w:rsid w:val="00F435B9"/>
    <w:rsid w:val="00F43D16"/>
    <w:rsid w:val="00F44115"/>
    <w:rsid w:val="00F446F3"/>
    <w:rsid w:val="00F45AED"/>
    <w:rsid w:val="00F45BA8"/>
    <w:rsid w:val="00F47477"/>
    <w:rsid w:val="00F47A56"/>
    <w:rsid w:val="00F47DA6"/>
    <w:rsid w:val="00F502E4"/>
    <w:rsid w:val="00F508F1"/>
    <w:rsid w:val="00F50B51"/>
    <w:rsid w:val="00F50B77"/>
    <w:rsid w:val="00F5193F"/>
    <w:rsid w:val="00F51AD1"/>
    <w:rsid w:val="00F52427"/>
    <w:rsid w:val="00F52AF7"/>
    <w:rsid w:val="00F52FC4"/>
    <w:rsid w:val="00F536CB"/>
    <w:rsid w:val="00F53E15"/>
    <w:rsid w:val="00F5475A"/>
    <w:rsid w:val="00F54AA6"/>
    <w:rsid w:val="00F55690"/>
    <w:rsid w:val="00F561D9"/>
    <w:rsid w:val="00F57757"/>
    <w:rsid w:val="00F57ADB"/>
    <w:rsid w:val="00F57C55"/>
    <w:rsid w:val="00F609F3"/>
    <w:rsid w:val="00F61AB4"/>
    <w:rsid w:val="00F6236B"/>
    <w:rsid w:val="00F62B6E"/>
    <w:rsid w:val="00F638E1"/>
    <w:rsid w:val="00F63D74"/>
    <w:rsid w:val="00F64615"/>
    <w:rsid w:val="00F6470E"/>
    <w:rsid w:val="00F659AD"/>
    <w:rsid w:val="00F667DC"/>
    <w:rsid w:val="00F66AAD"/>
    <w:rsid w:val="00F67998"/>
    <w:rsid w:val="00F67BCE"/>
    <w:rsid w:val="00F67EB3"/>
    <w:rsid w:val="00F70602"/>
    <w:rsid w:val="00F70A36"/>
    <w:rsid w:val="00F71852"/>
    <w:rsid w:val="00F71DFD"/>
    <w:rsid w:val="00F74E10"/>
    <w:rsid w:val="00F74F42"/>
    <w:rsid w:val="00F75189"/>
    <w:rsid w:val="00F759C2"/>
    <w:rsid w:val="00F80095"/>
    <w:rsid w:val="00F800CA"/>
    <w:rsid w:val="00F8107D"/>
    <w:rsid w:val="00F8143D"/>
    <w:rsid w:val="00F8177B"/>
    <w:rsid w:val="00F81869"/>
    <w:rsid w:val="00F81F21"/>
    <w:rsid w:val="00F82DF3"/>
    <w:rsid w:val="00F838ED"/>
    <w:rsid w:val="00F845F2"/>
    <w:rsid w:val="00F8471F"/>
    <w:rsid w:val="00F85A19"/>
    <w:rsid w:val="00F862C7"/>
    <w:rsid w:val="00F86838"/>
    <w:rsid w:val="00F8723B"/>
    <w:rsid w:val="00F877F8"/>
    <w:rsid w:val="00F9001B"/>
    <w:rsid w:val="00F91778"/>
    <w:rsid w:val="00F92297"/>
    <w:rsid w:val="00F92912"/>
    <w:rsid w:val="00F92C0C"/>
    <w:rsid w:val="00F92D95"/>
    <w:rsid w:val="00F93554"/>
    <w:rsid w:val="00F936B8"/>
    <w:rsid w:val="00F93899"/>
    <w:rsid w:val="00F93B3B"/>
    <w:rsid w:val="00F948C1"/>
    <w:rsid w:val="00F948D0"/>
    <w:rsid w:val="00F94BC9"/>
    <w:rsid w:val="00F94DE1"/>
    <w:rsid w:val="00F95142"/>
    <w:rsid w:val="00F95D06"/>
    <w:rsid w:val="00F9656D"/>
    <w:rsid w:val="00F969BE"/>
    <w:rsid w:val="00F97381"/>
    <w:rsid w:val="00F97DAE"/>
    <w:rsid w:val="00FA0032"/>
    <w:rsid w:val="00FA0421"/>
    <w:rsid w:val="00FA08C4"/>
    <w:rsid w:val="00FA3FC0"/>
    <w:rsid w:val="00FA4A84"/>
    <w:rsid w:val="00FA507A"/>
    <w:rsid w:val="00FA5174"/>
    <w:rsid w:val="00FA5482"/>
    <w:rsid w:val="00FA69DC"/>
    <w:rsid w:val="00FA738F"/>
    <w:rsid w:val="00FA75F2"/>
    <w:rsid w:val="00FB0B88"/>
    <w:rsid w:val="00FB0DE5"/>
    <w:rsid w:val="00FB1205"/>
    <w:rsid w:val="00FB1B5E"/>
    <w:rsid w:val="00FB1BCE"/>
    <w:rsid w:val="00FB1E05"/>
    <w:rsid w:val="00FB200C"/>
    <w:rsid w:val="00FB3000"/>
    <w:rsid w:val="00FB37ED"/>
    <w:rsid w:val="00FB3ED6"/>
    <w:rsid w:val="00FB4658"/>
    <w:rsid w:val="00FB4CA1"/>
    <w:rsid w:val="00FB510E"/>
    <w:rsid w:val="00FB5933"/>
    <w:rsid w:val="00FC0791"/>
    <w:rsid w:val="00FC08BB"/>
    <w:rsid w:val="00FC13AC"/>
    <w:rsid w:val="00FC2697"/>
    <w:rsid w:val="00FC28E7"/>
    <w:rsid w:val="00FC5DD9"/>
    <w:rsid w:val="00FC613E"/>
    <w:rsid w:val="00FC6ABE"/>
    <w:rsid w:val="00FD01A5"/>
    <w:rsid w:val="00FD032E"/>
    <w:rsid w:val="00FD1075"/>
    <w:rsid w:val="00FD15B7"/>
    <w:rsid w:val="00FD1849"/>
    <w:rsid w:val="00FD1C48"/>
    <w:rsid w:val="00FD28D6"/>
    <w:rsid w:val="00FD3063"/>
    <w:rsid w:val="00FD3548"/>
    <w:rsid w:val="00FD3E2B"/>
    <w:rsid w:val="00FD3FA7"/>
    <w:rsid w:val="00FD46C0"/>
    <w:rsid w:val="00FD65E3"/>
    <w:rsid w:val="00FD69F3"/>
    <w:rsid w:val="00FD74D8"/>
    <w:rsid w:val="00FD769D"/>
    <w:rsid w:val="00FE0A7C"/>
    <w:rsid w:val="00FE0C2F"/>
    <w:rsid w:val="00FE21E0"/>
    <w:rsid w:val="00FE28DC"/>
    <w:rsid w:val="00FE3243"/>
    <w:rsid w:val="00FE3443"/>
    <w:rsid w:val="00FE3F08"/>
    <w:rsid w:val="00FE46D5"/>
    <w:rsid w:val="00FE6031"/>
    <w:rsid w:val="00FE64A2"/>
    <w:rsid w:val="00FF03EF"/>
    <w:rsid w:val="00FF1B71"/>
    <w:rsid w:val="00FF25AA"/>
    <w:rsid w:val="00FF28BA"/>
    <w:rsid w:val="00FF2A6A"/>
    <w:rsid w:val="00FF2A72"/>
    <w:rsid w:val="00FF30D2"/>
    <w:rsid w:val="00FF3934"/>
    <w:rsid w:val="00FF3AE2"/>
    <w:rsid w:val="00FF3E2D"/>
    <w:rsid w:val="00FF40D3"/>
    <w:rsid w:val="00FF4AD3"/>
    <w:rsid w:val="00FF60A9"/>
    <w:rsid w:val="00FF6793"/>
    <w:rsid w:val="00FF6DE3"/>
    <w:rsid w:val="061A8075"/>
    <w:rsid w:val="1500963D"/>
    <w:rsid w:val="1642A6E8"/>
    <w:rsid w:val="2023301B"/>
    <w:rsid w:val="38A6EE49"/>
    <w:rsid w:val="420A0890"/>
    <w:rsid w:val="424DD08F"/>
    <w:rsid w:val="4291988E"/>
    <w:rsid w:val="43BA3D11"/>
    <w:rsid w:val="4A58E274"/>
    <w:rsid w:val="4F15BBEB"/>
    <w:rsid w:val="524D5CAD"/>
    <w:rsid w:val="594B885A"/>
    <w:rsid w:val="64B875FC"/>
    <w:rsid w:val="651DB36D"/>
    <w:rsid w:val="6B8CF4F1"/>
    <w:rsid w:val="6CBFBA86"/>
    <w:rsid w:val="7B02F4E0"/>
    <w:rsid w:val="7E588654"/>
    <w:rsid w:val="7F4C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F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DD9"/>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unhideWhenUsed/>
    <w:rsid w:val="008015ED"/>
    <w:pPr>
      <w:keepNext/>
      <w:keepLines/>
      <w:spacing w:before="40" w:after="240"/>
      <w:outlineLvl w:val="4"/>
    </w:pPr>
    <w:rPr>
      <w:rFonts w:eastAsiaTheme="majorEastAsia" w:cstheme="majorBidi"/>
      <w:i/>
      <w:color w:val="4C6968"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numPr>
        <w:numId w:val="4"/>
      </w:numPr>
      <w:spacing w:after="120"/>
    </w:pPr>
  </w:style>
  <w:style w:type="paragraph" w:styleId="ListBullet2">
    <w:name w:val="List Bullet 2"/>
    <w:basedOn w:val="Normal"/>
    <w:uiPriority w:val="99"/>
    <w:unhideWhenUsed/>
    <w:pPr>
      <w:numPr>
        <w:ilvl w:val="1"/>
        <w:numId w:val="4"/>
      </w:numPr>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numPr>
        <w:numId w:val="5"/>
      </w:numPr>
      <w:spacing w:before="120" w:after="120"/>
    </w:pPr>
  </w:style>
  <w:style w:type="paragraph" w:styleId="ListNumber2">
    <w:name w:val="List Number 2"/>
    <w:basedOn w:val="Normal"/>
    <w:uiPriority w:val="99"/>
    <w:rsid w:val="00FE0C2F"/>
    <w:pPr>
      <w:numPr>
        <w:ilvl w:val="1"/>
        <w:numId w:val="5"/>
      </w:numPr>
      <w:spacing w:after="120"/>
    </w:pPr>
    <w:rPr>
      <w:rFonts w:cs="Segoe UI"/>
    </w:rPr>
  </w:style>
  <w:style w:type="paragraph" w:styleId="ListNumber3">
    <w:name w:val="List Number 3"/>
    <w:basedOn w:val="Normal"/>
    <w:uiPriority w:val="99"/>
    <w:rsid w:val="00FE0C2F"/>
    <w:pPr>
      <w:numPr>
        <w:ilvl w:val="2"/>
        <w:numId w:val="5"/>
      </w:numPr>
      <w:spacing w:after="120"/>
      <w:ind w:left="1106"/>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5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customStyle="1" w:styleId="UnresolvedMention1">
    <w:name w:val="Unresolved Mention1"/>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66217F"/>
    <w:pPr>
      <w:tabs>
        <w:tab w:val="right" w:leader="dot" w:pos="9628"/>
      </w:tabs>
      <w:spacing w:after="100"/>
      <w:ind w:left="200"/>
    </w:pPr>
    <w:rPr>
      <w:noProof/>
    </w:rPr>
  </w:style>
  <w:style w:type="paragraph" w:styleId="TOC1">
    <w:name w:val="toc 1"/>
    <w:basedOn w:val="Normal"/>
    <w:next w:val="Normal"/>
    <w:autoRedefine/>
    <w:uiPriority w:val="39"/>
    <w:unhideWhenUsed/>
    <w:rsid w:val="00F04326"/>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rsid w:val="00C118DE"/>
    <w:rPr>
      <w:rFonts w:eastAsiaTheme="minorEastAsia" w:cstheme="minorBidi"/>
      <w:sz w:val="20"/>
      <w:szCs w:val="20"/>
      <w:lang w:eastAsia="en-GB"/>
    </w:rPr>
  </w:style>
  <w:style w:type="character" w:customStyle="1" w:styleId="normaltextrun">
    <w:name w:val="normaltextrun"/>
    <w:basedOn w:val="DefaultParagraphFont"/>
    <w:rsid w:val="000B3AEA"/>
  </w:style>
  <w:style w:type="character" w:customStyle="1" w:styleId="eop">
    <w:name w:val="eop"/>
    <w:basedOn w:val="DefaultParagraphFont"/>
    <w:rsid w:val="000B3AEA"/>
  </w:style>
  <w:style w:type="paragraph" w:styleId="FootnoteText">
    <w:name w:val="footnote text"/>
    <w:basedOn w:val="Normal"/>
    <w:link w:val="FootnoteTextChar"/>
    <w:uiPriority w:val="99"/>
    <w:unhideWhenUsed/>
    <w:qFormat/>
    <w:rsid w:val="00622CF7"/>
    <w:pPr>
      <w:spacing w:after="0"/>
    </w:pPr>
    <w:rPr>
      <w:rFonts w:ascii="Calibri Light" w:eastAsia="Times New Roman" w:hAnsi="Calibri Light" w:cs="Calibri Light"/>
      <w:color w:val="4C6968" w:themeColor="text1"/>
      <w:sz w:val="16"/>
      <w:szCs w:val="20"/>
    </w:rPr>
  </w:style>
  <w:style w:type="character" w:customStyle="1" w:styleId="FootnoteTextChar">
    <w:name w:val="Footnote Text Char"/>
    <w:basedOn w:val="DefaultParagraphFont"/>
    <w:link w:val="FootnoteText"/>
    <w:uiPriority w:val="99"/>
    <w:rsid w:val="00622CF7"/>
    <w:rPr>
      <w:rFonts w:ascii="Calibri Light" w:eastAsia="Times New Roman" w:hAnsi="Calibri Light" w:cs="Calibri Light"/>
      <w:color w:val="4C6968" w:themeColor="text1"/>
      <w:sz w:val="16"/>
      <w:szCs w:val="20"/>
      <w:lang w:eastAsia="en-US"/>
    </w:rPr>
  </w:style>
  <w:style w:type="character" w:styleId="FootnoteReference">
    <w:name w:val="footnote reference"/>
    <w:basedOn w:val="DefaultParagraphFont"/>
    <w:uiPriority w:val="99"/>
    <w:semiHidden/>
    <w:unhideWhenUsed/>
    <w:rsid w:val="00622CF7"/>
    <w:rPr>
      <w:vertAlign w:val="superscript"/>
    </w:rPr>
  </w:style>
  <w:style w:type="character" w:customStyle="1" w:styleId="Italic">
    <w:name w:val="Italic"/>
    <w:uiPriority w:val="99"/>
    <w:rsid w:val="00442137"/>
  </w:style>
  <w:style w:type="character" w:customStyle="1" w:styleId="ui-provider">
    <w:name w:val="ui-provider"/>
    <w:basedOn w:val="DefaultParagraphFont"/>
    <w:rsid w:val="00E90E3D"/>
  </w:style>
  <w:style w:type="paragraph" w:styleId="ListParagraph">
    <w:name w:val="List Paragraph"/>
    <w:basedOn w:val="Normal"/>
    <w:uiPriority w:val="34"/>
    <w:qFormat/>
    <w:rsid w:val="00264B98"/>
    <w:pPr>
      <w:spacing w:after="160" w:line="259" w:lineRule="auto"/>
      <w:ind w:left="720"/>
      <w:contextualSpacing/>
    </w:pPr>
    <w:rPr>
      <w:rFonts w:asciiTheme="minorHAnsi" w:eastAsiaTheme="minorHAnsi" w:hAnsiTheme="minorHAnsi" w:cstheme="minorBidi"/>
      <w:kern w:val="2"/>
      <w:sz w:val="22"/>
      <w14:ligatures w14:val="standardContextual"/>
    </w:rPr>
  </w:style>
  <w:style w:type="paragraph" w:styleId="TOCHeading">
    <w:name w:val="TOC Heading"/>
    <w:basedOn w:val="Heading1"/>
    <w:next w:val="Normal"/>
    <w:uiPriority w:val="39"/>
    <w:unhideWhenUsed/>
    <w:qFormat/>
    <w:rsid w:val="00626F58"/>
    <w:pPr>
      <w:keepNext/>
      <w:keepLines/>
      <w:pageBreakBefore w:val="0"/>
      <w:tabs>
        <w:tab w:val="clear" w:pos="4513"/>
        <w:tab w:val="clear" w:pos="9026"/>
      </w:tabs>
      <w:spacing w:before="240" w:after="0" w:line="259" w:lineRule="auto"/>
      <w:outlineLvl w:val="9"/>
    </w:pPr>
    <w:rPr>
      <w:rFonts w:asciiTheme="majorHAnsi" w:eastAsiaTheme="majorEastAsia" w:hAnsiTheme="majorHAnsi" w:cstheme="majorBidi"/>
      <w:b w:val="0"/>
      <w:color w:val="384E4D" w:themeColor="accent1" w:themeShade="BF"/>
      <w:sz w:val="32"/>
      <w:szCs w:val="32"/>
      <w:lang w:val="en-US"/>
    </w:rPr>
  </w:style>
  <w:style w:type="paragraph" w:styleId="TOC4">
    <w:name w:val="toc 4"/>
    <w:basedOn w:val="Normal"/>
    <w:next w:val="Normal"/>
    <w:autoRedefine/>
    <w:uiPriority w:val="39"/>
    <w:unhideWhenUsed/>
    <w:rsid w:val="00626F58"/>
    <w:pPr>
      <w:spacing w:after="100"/>
      <w:ind w:left="600"/>
    </w:pPr>
  </w:style>
  <w:style w:type="paragraph" w:customStyle="1" w:styleId="pf0">
    <w:name w:val="pf0"/>
    <w:basedOn w:val="Normal"/>
    <w:rsid w:val="00C501A1"/>
    <w:pPr>
      <w:spacing w:before="100" w:beforeAutospacing="1" w:after="100" w:afterAutospacing="1"/>
    </w:pPr>
    <w:rPr>
      <w:rFonts w:ascii="Calibri" w:eastAsiaTheme="minorHAnsi" w:hAnsi="Calibri" w:cs="Calibri"/>
      <w:sz w:val="22"/>
      <w:lang w:eastAsia="en-AU"/>
    </w:rPr>
  </w:style>
  <w:style w:type="character" w:customStyle="1" w:styleId="cf01">
    <w:name w:val="cf01"/>
    <w:basedOn w:val="DefaultParagraphFont"/>
    <w:rsid w:val="000E668B"/>
    <w:rPr>
      <w:rFonts w:ascii="Segoe UI" w:hAnsi="Segoe UI" w:cs="Segoe UI" w:hint="default"/>
      <w:sz w:val="18"/>
      <w:szCs w:val="18"/>
    </w:rPr>
  </w:style>
  <w:style w:type="table" w:customStyle="1" w:styleId="MDBAsimpletable1">
    <w:name w:val="MDBA simple table1"/>
    <w:basedOn w:val="TableNormal"/>
    <w:uiPriority w:val="99"/>
    <w:rsid w:val="003D4EDA"/>
    <w:rPr>
      <w:rFonts w:asciiTheme="minorHAnsi" w:eastAsiaTheme="minorHAnsi" w:hAnsiTheme="minorHAnsi" w:cstheme="minorBidi"/>
      <w:lang w:eastAsia="en-US"/>
    </w:rPr>
    <w:tblPr>
      <w:tblStyleRowBandSize w:val="1"/>
      <w:tblStyleColBandSize w:val="1"/>
      <w:tblBorders>
        <w:top w:val="single" w:sz="2" w:space="0" w:color="90BED0" w:themeColor="background1" w:themeShade="D9"/>
        <w:left w:val="single" w:sz="2" w:space="0" w:color="90BED0" w:themeColor="background1" w:themeShade="D9"/>
        <w:bottom w:val="single" w:sz="2" w:space="0" w:color="90BED0" w:themeColor="background1" w:themeShade="D9"/>
        <w:right w:val="single" w:sz="2" w:space="0" w:color="90BED0" w:themeColor="background1" w:themeShade="D9"/>
        <w:insideH w:val="single" w:sz="2" w:space="0" w:color="90BED0" w:themeColor="background1" w:themeShade="D9"/>
        <w:insideV w:val="single" w:sz="2" w:space="0" w:color="90BED0" w:themeColor="background1" w:themeShade="D9"/>
      </w:tblBorders>
      <w:tblCellMar>
        <w:top w:w="108" w:type="dxa"/>
        <w:bottom w:w="108" w:type="dxa"/>
      </w:tblCellMar>
    </w:tblPr>
    <w:tcPr>
      <w:shd w:val="clear" w:color="auto" w:fill="auto"/>
    </w:tcPr>
    <w:tblStylePr w:type="firstRow">
      <w:pPr>
        <w:wordWrap/>
        <w:spacing w:beforeLines="0" w:before="0" w:beforeAutospacing="0"/>
      </w:pPr>
      <w:rPr>
        <w:rFonts w:asciiTheme="minorHAnsi" w:hAnsiTheme="minorHAnsi"/>
        <w:b/>
        <w:color w:val="BCD8E3" w:themeColor="background1"/>
        <w:sz w:val="22"/>
      </w:rPr>
      <w:tblPr/>
      <w:tcPr>
        <w:tcBorders>
          <w:top w:val="single" w:sz="4" w:space="0" w:color="363F46" w:themeColor="text2" w:themeShade="BF"/>
          <w:left w:val="single" w:sz="4" w:space="0" w:color="363F46" w:themeColor="text2" w:themeShade="BF"/>
          <w:bottom w:val="single" w:sz="4" w:space="0" w:color="363F46" w:themeColor="text2" w:themeShade="BF"/>
          <w:right w:val="single" w:sz="4" w:space="0" w:color="363F46" w:themeColor="text2" w:themeShade="BF"/>
          <w:insideH w:val="single" w:sz="4" w:space="0" w:color="363F46" w:themeColor="text2" w:themeShade="BF"/>
          <w:insideV w:val="single" w:sz="4" w:space="0" w:color="363F46" w:themeColor="text2" w:themeShade="BF"/>
          <w:tl2br w:val="nil"/>
          <w:tr2bl w:val="nil"/>
        </w:tcBorders>
        <w:shd w:val="clear" w:color="auto" w:fill="48555E" w:themeFill="text2"/>
      </w:tcPr>
    </w:tblStylePr>
    <w:tblStylePr w:type="lastRow">
      <w:tblPr/>
      <w:tcPr>
        <w:tcBorders>
          <w:top w:val="single" w:sz="24" w:space="0" w:color="B2C7C7" w:themeColor="accent1" w:themeTint="66"/>
          <w:left w:val="single" w:sz="8" w:space="0" w:color="D0CECE" w:themeColor="background2" w:themeShade="E6"/>
          <w:bottom w:val="single" w:sz="8" w:space="0" w:color="D0CECE" w:themeColor="background2" w:themeShade="E6"/>
          <w:right w:val="single" w:sz="8" w:space="0" w:color="D0CECE" w:themeColor="background2" w:themeShade="E6"/>
          <w:insideH w:val="single" w:sz="8" w:space="0" w:color="D0CECE" w:themeColor="background2" w:themeShade="E6"/>
          <w:insideV w:val="single" w:sz="8" w:space="0" w:color="D0CECE" w:themeColor="background2" w:themeShade="E6"/>
          <w:tl2br w:val="nil"/>
          <w:tr2bl w:val="nil"/>
        </w:tcBorders>
        <w:shd w:val="clear" w:color="auto" w:fill="D8E3E2" w:themeFill="accent1" w:themeFillTint="33"/>
      </w:tcPr>
    </w:tblStylePr>
    <w:tblStylePr w:type="firstCol">
      <w:rPr>
        <w:b/>
      </w:rPr>
    </w:tblStylePr>
    <w:tblStylePr w:type="band2Vert">
      <w:tblPr/>
      <w:tcPr>
        <w:shd w:val="clear" w:color="auto" w:fill="E7E6E6" w:themeFill="background2"/>
      </w:tcPr>
    </w:tblStylePr>
    <w:tblStylePr w:type="band1Horz">
      <w:tblPr/>
      <w:tcPr>
        <w:shd w:val="clear" w:color="auto" w:fill="BCD8E3" w:themeFill="background1"/>
      </w:tcPr>
    </w:tblStylePr>
    <w:tblStylePr w:type="band2Horz">
      <w:tblPr/>
      <w:tcPr>
        <w:shd w:val="clear" w:color="auto" w:fill="E7E6E6" w:themeFill="background2"/>
      </w:tcPr>
    </w:tblStylePr>
  </w:style>
  <w:style w:type="paragraph" w:styleId="Revision">
    <w:name w:val="Revision"/>
    <w:hidden/>
    <w:uiPriority w:val="99"/>
    <w:semiHidden/>
    <w:rsid w:val="006C3F39"/>
    <w:rPr>
      <w:rFonts w:ascii="Verdana" w:hAnsi="Verdana"/>
      <w:sz w:val="20"/>
      <w:lang w:eastAsia="en-US"/>
    </w:rPr>
  </w:style>
  <w:style w:type="paragraph" w:styleId="EndnoteText">
    <w:name w:val="endnote text"/>
    <w:basedOn w:val="Normal"/>
    <w:link w:val="EndnoteTextChar"/>
    <w:uiPriority w:val="99"/>
    <w:semiHidden/>
    <w:unhideWhenUsed/>
    <w:rsid w:val="00321D08"/>
    <w:pPr>
      <w:spacing w:after="0"/>
    </w:pPr>
    <w:rPr>
      <w:szCs w:val="20"/>
    </w:rPr>
  </w:style>
  <w:style w:type="character" w:customStyle="1" w:styleId="EndnoteTextChar">
    <w:name w:val="Endnote Text Char"/>
    <w:basedOn w:val="DefaultParagraphFont"/>
    <w:link w:val="EndnoteText"/>
    <w:uiPriority w:val="99"/>
    <w:semiHidden/>
    <w:rsid w:val="00321D08"/>
    <w:rPr>
      <w:rFonts w:ascii="Verdana" w:hAnsi="Verdana"/>
      <w:sz w:val="20"/>
      <w:szCs w:val="20"/>
      <w:lang w:eastAsia="en-US"/>
    </w:rPr>
  </w:style>
  <w:style w:type="character" w:styleId="EndnoteReference">
    <w:name w:val="endnote reference"/>
    <w:basedOn w:val="DefaultParagraphFont"/>
    <w:uiPriority w:val="99"/>
    <w:semiHidden/>
    <w:unhideWhenUsed/>
    <w:rsid w:val="00321D08"/>
    <w:rPr>
      <w:vertAlign w:val="superscript"/>
    </w:rPr>
  </w:style>
  <w:style w:type="paragraph" w:styleId="Caption">
    <w:name w:val="caption"/>
    <w:basedOn w:val="Normal"/>
    <w:next w:val="Normal"/>
    <w:uiPriority w:val="35"/>
    <w:unhideWhenUsed/>
    <w:qFormat/>
    <w:rsid w:val="006B0650"/>
    <w:rPr>
      <w:i/>
      <w:iCs/>
      <w:color w:val="48555E" w:themeColor="text2"/>
      <w:sz w:val="18"/>
      <w:szCs w:val="18"/>
    </w:rPr>
  </w:style>
  <w:style w:type="paragraph" w:styleId="TableofFigures">
    <w:name w:val="table of figures"/>
    <w:basedOn w:val="Normal"/>
    <w:next w:val="Normal"/>
    <w:uiPriority w:val="99"/>
    <w:unhideWhenUsed/>
    <w:rsid w:val="00816553"/>
    <w:pPr>
      <w:spacing w:after="0"/>
    </w:pPr>
  </w:style>
  <w:style w:type="paragraph" w:customStyle="1" w:styleId="SubSectionNote">
    <w:name w:val="SubSection_Note"/>
    <w:basedOn w:val="Normal"/>
    <w:next w:val="Normal"/>
    <w:rsid w:val="00184F7A"/>
    <w:pPr>
      <w:tabs>
        <w:tab w:val="left" w:pos="2268"/>
      </w:tabs>
      <w:spacing w:after="60"/>
      <w:ind w:left="2269" w:hanging="851"/>
    </w:pPr>
    <w:rPr>
      <w:rFonts w:ascii="Arial" w:eastAsia="Times New Roman" w:hAnsi="Arial" w:cs="Arial"/>
      <w:bCs/>
      <w:szCs w:val="26"/>
      <w:lang w:eastAsia="en-AU"/>
    </w:rPr>
  </w:style>
  <w:style w:type="character" w:customStyle="1" w:styleId="Mention1">
    <w:name w:val="Mention1"/>
    <w:basedOn w:val="DefaultParagraphFont"/>
    <w:uiPriority w:val="99"/>
    <w:unhideWhenUsed/>
    <w:rsid w:val="00DB4126"/>
    <w:rPr>
      <w:color w:val="2B579A"/>
      <w:shd w:val="clear" w:color="auto" w:fill="E1DFDD"/>
    </w:rPr>
  </w:style>
  <w:style w:type="character" w:styleId="UnresolvedMention">
    <w:name w:val="Unresolved Mention"/>
    <w:basedOn w:val="DefaultParagraphFont"/>
    <w:uiPriority w:val="99"/>
    <w:rsid w:val="000378A8"/>
    <w:rPr>
      <w:color w:val="605E5C"/>
      <w:shd w:val="clear" w:color="auto" w:fill="E1DFDD"/>
    </w:rPr>
  </w:style>
  <w:style w:type="character" w:styleId="Mention">
    <w:name w:val="Mention"/>
    <w:basedOn w:val="DefaultParagraphFont"/>
    <w:uiPriority w:val="99"/>
    <w:rsid w:val="00B934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industry.nsw.gov.au/water/allocations-availability/tracking-surface-water/ltaael-compliance-results"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igwc.gov.au/media-releases/transcript-hon-troy-grant-inspector-general-water-compliance-2022-river-reflections-conference-2-june-2022" TargetMode="External"/><Relationship Id="rId25" Type="http://schemas.openxmlformats.org/officeDocument/2006/relationships/hyperlink" Target="https://www.industry.nsw.gov.au/water/plans-programs/water-resource-plans/draft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dustry.nsw.gov.au/water/plans-programs/water-resource-plans/drafts" TargetMode="External"/><Relationship Id="rId2" Type="http://schemas.openxmlformats.org/officeDocument/2006/relationships/hyperlink" Target="https://www.mdba.gov.au/sites/default/files/publications/nsw-make-good-actions-barwon-darling-watercourse.pdf" TargetMode="External"/><Relationship Id="rId1" Type="http://schemas.openxmlformats.org/officeDocument/2006/relationships/hyperlink" Target="https://www.industry.nsw.gov.au/__data/assets/pdf_file/0008/524582/NSW-make-good-actions-Barwon-Darling-August-2022.pdf" TargetMode="External"/><Relationship Id="rId4" Type="http://schemas.openxmlformats.org/officeDocument/2006/relationships/hyperlink" Target="https://www.industry.nsw.gov.au/__data/assets/pdf_file/0016/400606/Extraction-limi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4" ma:contentTypeDescription="Create a new document." ma:contentTypeScope="" ma:versionID="d2575a541de4f6f4146f87d786cddbb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4bfd732ecb4d90ac731c1f8eb5d3dcdc"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SharedWithUsers xmlns="d869c146-c82e-4435-92e4-da91542262fd">
      <UserInfo>
        <DisplayName>Schalk, Tara</DisplayName>
        <AccountId>88</AccountId>
        <AccountType/>
      </UserInfo>
      <UserInfo>
        <DisplayName>Rana, Tariq</DisplayName>
        <AccountId>72</AccountId>
        <AccountType/>
      </UserInfo>
    </SharedWithUsers>
  </documentManagement>
</p:properties>
</file>

<file path=customXml/itemProps1.xml><?xml version="1.0" encoding="utf-8"?>
<ds:datastoreItem xmlns:ds="http://schemas.openxmlformats.org/officeDocument/2006/customXml" ds:itemID="{EF8A42BC-CF88-41C6-A19F-E31AF348A010}">
  <ds:schemaRefs>
    <ds:schemaRef ds:uri="http://schemas.microsoft.com/sharepoint/v3/contenttype/forms"/>
  </ds:schemaRefs>
</ds:datastoreItem>
</file>

<file path=customXml/itemProps2.xml><?xml version="1.0" encoding="utf-8"?>
<ds:datastoreItem xmlns:ds="http://schemas.openxmlformats.org/officeDocument/2006/customXml" ds:itemID="{D4988070-C79F-441F-8621-D360D387E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728ac-f998-415c-abee-6b046fb1441e"/>
    <ds:schemaRef ds:uri="81c01dc6-2c49-4730-b140-874c95cac377"/>
    <ds:schemaRef ds:uri="d869c146-c82e-4435-92e4-da9154226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0F5D46-C7D0-4B12-BCA5-E078AAE7F2DA}">
  <ds:schemaRefs>
    <ds:schemaRef ds:uri="http://schemas.openxmlformats.org/officeDocument/2006/bibliography"/>
  </ds:schemaRefs>
</ds:datastoreItem>
</file>

<file path=customXml/itemProps4.xml><?xml version="1.0" encoding="utf-8"?>
<ds:datastoreItem xmlns:ds="http://schemas.openxmlformats.org/officeDocument/2006/customXml" ds:itemID="{6A4B4527-2904-40BB-8AA7-0698D20ADCFB}">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d869c146-c82e-4435-92e4-da91542262fd"/>
    <ds:schemaRef ds:uri="http://schemas.microsoft.com/office/infopath/2007/PartnerControls"/>
    <ds:schemaRef ds:uri="b98728ac-f998-415c-abee-6b046fb1441e"/>
    <ds:schemaRef ds:uri="http://schemas.openxmlformats.org/package/2006/metadata/core-properties"/>
    <ds:schemaRef ds:uri="81c01dc6-2c49-4730-b140-874c95cac37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Sustainable Diversion Limit Compliance Statement for 2021-22</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Diversion Limit Compliance Statement for 2021-22</dc:title>
  <dc:subject/>
  <dc:creator/>
  <cp:keywords/>
  <cp:lastModifiedBy/>
  <cp:revision>1</cp:revision>
  <dcterms:created xsi:type="dcterms:W3CDTF">2023-09-05T23:14:00Z</dcterms:created>
  <dcterms:modified xsi:type="dcterms:W3CDTF">2023-09-06T06:48:00Z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MediaServiceImageTags">
    <vt:lpwstr/>
  </property>
</Properties>
</file>