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C73F" w14:textId="1155B202" w:rsidR="00473F5B" w:rsidRDefault="00D15EEC" w:rsidP="00473F5B">
      <w:pPr>
        <w:pStyle w:val="Title"/>
      </w:pPr>
      <w:r>
        <w:t>Response to submissions</w:t>
      </w:r>
    </w:p>
    <w:p w14:paraId="6568BD23" w14:textId="36853D8F" w:rsidR="00473F5B" w:rsidRDefault="00D15EEC" w:rsidP="00E56ACF">
      <w:pPr>
        <w:pStyle w:val="Subtitle"/>
      </w:pPr>
      <w:r>
        <w:t>Regulatory Policy Discussion Paper</w:t>
      </w:r>
    </w:p>
    <w:p w14:paraId="723B916E" w14:textId="39EDB622" w:rsidR="00473F5B" w:rsidRPr="00473F5B" w:rsidRDefault="001F78C1" w:rsidP="00E56ACF">
      <w:pPr>
        <w:pStyle w:val="Author"/>
      </w:pPr>
      <w:r>
        <w:t xml:space="preserve">July </w:t>
      </w:r>
      <w:r w:rsidR="001B6719">
        <w:t>2023</w:t>
      </w:r>
    </w:p>
    <w:p w14:paraId="07FC3C62" w14:textId="1A99C961" w:rsidR="00473F5B" w:rsidRDefault="00473F5B">
      <w:pPr>
        <w:spacing w:after="0"/>
        <w:rPr>
          <w:b/>
          <w:color w:val="FFFFFF"/>
          <w:sz w:val="60"/>
          <w:szCs w:val="24"/>
        </w:rPr>
      </w:pPr>
      <w:r>
        <w:br w:type="page"/>
      </w:r>
    </w:p>
    <w:p w14:paraId="4ED853FF" w14:textId="77777777" w:rsidR="000B4743" w:rsidRDefault="000B4743" w:rsidP="006318A8">
      <w:pPr>
        <w:sectPr w:rsidR="000B4743" w:rsidSect="00D775D1">
          <w:footerReference w:type="default" r:id="rId7"/>
          <w:headerReference w:type="first" r:id="rId8"/>
          <w:pgSz w:w="11906" w:h="16838"/>
          <w:pgMar w:top="1284" w:right="1134" w:bottom="816" w:left="1134" w:header="425" w:footer="999" w:gutter="0"/>
          <w:cols w:space="708"/>
          <w:titlePg/>
          <w:docGrid w:linePitch="360"/>
        </w:sectPr>
      </w:pPr>
    </w:p>
    <w:p w14:paraId="3481D538" w14:textId="01C53F82" w:rsidR="00473F5B" w:rsidRDefault="00473F5B" w:rsidP="006318A8">
      <w:r>
        <w:lastRenderedPageBreak/>
        <w:br w:type="page"/>
      </w:r>
    </w:p>
    <w:p w14:paraId="75AAC00F" w14:textId="13D05347" w:rsidR="00473F5B" w:rsidRPr="00C32A64" w:rsidRDefault="00473F5B" w:rsidP="00C32A64">
      <w:pPr>
        <w:pageBreakBefore/>
        <w:spacing w:after="480"/>
        <w:rPr>
          <w:b/>
          <w:bCs/>
          <w:color w:val="4C6968" w:themeColor="accent1"/>
          <w:sz w:val="48"/>
          <w:szCs w:val="48"/>
        </w:rPr>
      </w:pPr>
      <w:bookmarkStart w:id="0" w:name="_Toc105590117"/>
      <w:bookmarkStart w:id="1" w:name="_Toc105590325"/>
      <w:r w:rsidRPr="00C32A64">
        <w:rPr>
          <w:b/>
          <w:bCs/>
          <w:color w:val="4C6968" w:themeColor="accent1"/>
          <w:sz w:val="48"/>
          <w:szCs w:val="48"/>
        </w:rPr>
        <w:lastRenderedPageBreak/>
        <w:t>Table of Contents</w:t>
      </w:r>
      <w:bookmarkEnd w:id="0"/>
      <w:bookmarkEnd w:id="1"/>
    </w:p>
    <w:p w14:paraId="4D168A04" w14:textId="0C3941D4" w:rsidR="00F425C3" w:rsidRDefault="0066217F">
      <w:pPr>
        <w:pStyle w:val="TOC1"/>
        <w:rPr>
          <w:rFonts w:asciiTheme="minorHAnsi" w:eastAsiaTheme="minorEastAsia" w:hAnsiTheme="minorHAnsi" w:cstheme="minorBidi"/>
          <w:b w:val="0"/>
          <w:color w:val="auto"/>
          <w:sz w:val="22"/>
          <w:lang w:eastAsia="en-AU"/>
        </w:rPr>
      </w:pPr>
      <w:r>
        <w:fldChar w:fldCharType="begin"/>
      </w:r>
      <w:r>
        <w:instrText xml:space="preserve"> TOC \o "1-3" \h \z \u </w:instrText>
      </w:r>
      <w:r>
        <w:fldChar w:fldCharType="separate"/>
      </w:r>
      <w:hyperlink w:anchor="_Toc136847599" w:history="1">
        <w:r w:rsidR="00F425C3" w:rsidRPr="00AB2A86">
          <w:rPr>
            <w:rStyle w:val="Hyperlink"/>
          </w:rPr>
          <w:t>Introduction</w:t>
        </w:r>
        <w:r w:rsidR="00F425C3">
          <w:rPr>
            <w:webHidden/>
          </w:rPr>
          <w:tab/>
        </w:r>
        <w:r w:rsidR="00F425C3">
          <w:rPr>
            <w:webHidden/>
          </w:rPr>
          <w:fldChar w:fldCharType="begin"/>
        </w:r>
        <w:r w:rsidR="00F425C3">
          <w:rPr>
            <w:webHidden/>
          </w:rPr>
          <w:instrText xml:space="preserve"> PAGEREF _Toc136847599 \h </w:instrText>
        </w:r>
        <w:r w:rsidR="00F425C3">
          <w:rPr>
            <w:webHidden/>
          </w:rPr>
        </w:r>
        <w:r w:rsidR="00F425C3">
          <w:rPr>
            <w:webHidden/>
          </w:rPr>
          <w:fldChar w:fldCharType="separate"/>
        </w:r>
        <w:r w:rsidR="002A2869">
          <w:rPr>
            <w:webHidden/>
          </w:rPr>
          <w:t>1</w:t>
        </w:r>
        <w:r w:rsidR="00F425C3">
          <w:rPr>
            <w:webHidden/>
          </w:rPr>
          <w:fldChar w:fldCharType="end"/>
        </w:r>
      </w:hyperlink>
    </w:p>
    <w:p w14:paraId="74B99105" w14:textId="41A3CC14" w:rsidR="00F425C3" w:rsidRDefault="00E8463C">
      <w:pPr>
        <w:pStyle w:val="TOC1"/>
        <w:rPr>
          <w:rFonts w:asciiTheme="minorHAnsi" w:eastAsiaTheme="minorEastAsia" w:hAnsiTheme="minorHAnsi" w:cstheme="minorBidi"/>
          <w:b w:val="0"/>
          <w:color w:val="auto"/>
          <w:sz w:val="22"/>
          <w:lang w:eastAsia="en-AU"/>
        </w:rPr>
      </w:pPr>
      <w:hyperlink w:anchor="_Toc136847600" w:history="1">
        <w:r w:rsidR="00F425C3" w:rsidRPr="00AB2A86">
          <w:rPr>
            <w:rStyle w:val="Hyperlink"/>
          </w:rPr>
          <w:t>Importance of Inspector–General</w:t>
        </w:r>
        <w:r w:rsidR="00F425C3">
          <w:rPr>
            <w:webHidden/>
          </w:rPr>
          <w:tab/>
        </w:r>
        <w:r w:rsidR="00F425C3">
          <w:rPr>
            <w:webHidden/>
          </w:rPr>
          <w:fldChar w:fldCharType="begin"/>
        </w:r>
        <w:r w:rsidR="00F425C3">
          <w:rPr>
            <w:webHidden/>
          </w:rPr>
          <w:instrText xml:space="preserve"> PAGEREF _Toc136847600 \h </w:instrText>
        </w:r>
        <w:r w:rsidR="00F425C3">
          <w:rPr>
            <w:webHidden/>
          </w:rPr>
        </w:r>
        <w:r w:rsidR="00F425C3">
          <w:rPr>
            <w:webHidden/>
          </w:rPr>
          <w:fldChar w:fldCharType="separate"/>
        </w:r>
        <w:r w:rsidR="002A2869">
          <w:rPr>
            <w:webHidden/>
          </w:rPr>
          <w:t>1</w:t>
        </w:r>
        <w:r w:rsidR="00F425C3">
          <w:rPr>
            <w:webHidden/>
          </w:rPr>
          <w:fldChar w:fldCharType="end"/>
        </w:r>
      </w:hyperlink>
    </w:p>
    <w:p w14:paraId="0DFD574B" w14:textId="74096C72" w:rsidR="00F425C3" w:rsidRDefault="00E8463C">
      <w:pPr>
        <w:pStyle w:val="TOC1"/>
        <w:rPr>
          <w:rFonts w:asciiTheme="minorHAnsi" w:eastAsiaTheme="minorEastAsia" w:hAnsiTheme="minorHAnsi" w:cstheme="minorBidi"/>
          <w:b w:val="0"/>
          <w:color w:val="auto"/>
          <w:sz w:val="22"/>
          <w:lang w:eastAsia="en-AU"/>
        </w:rPr>
      </w:pPr>
      <w:hyperlink w:anchor="_Toc136847601" w:history="1">
        <w:r w:rsidR="00F425C3" w:rsidRPr="00AB2A86">
          <w:rPr>
            <w:rStyle w:val="Hyperlink"/>
          </w:rPr>
          <w:t>Role clarity</w:t>
        </w:r>
        <w:r w:rsidR="00F425C3">
          <w:rPr>
            <w:webHidden/>
          </w:rPr>
          <w:tab/>
        </w:r>
        <w:r w:rsidR="00F425C3">
          <w:rPr>
            <w:webHidden/>
          </w:rPr>
          <w:fldChar w:fldCharType="begin"/>
        </w:r>
        <w:r w:rsidR="00F425C3">
          <w:rPr>
            <w:webHidden/>
          </w:rPr>
          <w:instrText xml:space="preserve"> PAGEREF _Toc136847601 \h </w:instrText>
        </w:r>
        <w:r w:rsidR="00F425C3">
          <w:rPr>
            <w:webHidden/>
          </w:rPr>
        </w:r>
        <w:r w:rsidR="00F425C3">
          <w:rPr>
            <w:webHidden/>
          </w:rPr>
          <w:fldChar w:fldCharType="separate"/>
        </w:r>
        <w:r w:rsidR="002A2869">
          <w:rPr>
            <w:webHidden/>
          </w:rPr>
          <w:t>1</w:t>
        </w:r>
        <w:r w:rsidR="00F425C3">
          <w:rPr>
            <w:webHidden/>
          </w:rPr>
          <w:fldChar w:fldCharType="end"/>
        </w:r>
      </w:hyperlink>
    </w:p>
    <w:p w14:paraId="4B0A9011" w14:textId="0DF6474F" w:rsidR="00F425C3" w:rsidRDefault="00E8463C">
      <w:pPr>
        <w:pStyle w:val="TOC3"/>
        <w:rPr>
          <w:rFonts w:asciiTheme="minorHAnsi" w:eastAsiaTheme="minorEastAsia" w:hAnsiTheme="minorHAnsi" w:cstheme="minorBidi"/>
          <w:sz w:val="22"/>
          <w:lang w:eastAsia="en-AU"/>
        </w:rPr>
      </w:pPr>
      <w:hyperlink w:anchor="_Toc136847602" w:history="1">
        <w:r w:rsidR="00F425C3" w:rsidRPr="00AB2A86">
          <w:rPr>
            <w:rStyle w:val="Hyperlink"/>
          </w:rPr>
          <w:t>Jurisdiction in relation to non-water government agencies</w:t>
        </w:r>
        <w:r w:rsidR="00F425C3">
          <w:rPr>
            <w:webHidden/>
          </w:rPr>
          <w:tab/>
        </w:r>
        <w:r w:rsidR="00F425C3">
          <w:rPr>
            <w:webHidden/>
          </w:rPr>
          <w:fldChar w:fldCharType="begin"/>
        </w:r>
        <w:r w:rsidR="00F425C3">
          <w:rPr>
            <w:webHidden/>
          </w:rPr>
          <w:instrText xml:space="preserve"> PAGEREF _Toc136847602 \h </w:instrText>
        </w:r>
        <w:r w:rsidR="00F425C3">
          <w:rPr>
            <w:webHidden/>
          </w:rPr>
        </w:r>
        <w:r w:rsidR="00F425C3">
          <w:rPr>
            <w:webHidden/>
          </w:rPr>
          <w:fldChar w:fldCharType="separate"/>
        </w:r>
        <w:r w:rsidR="002A2869">
          <w:rPr>
            <w:webHidden/>
          </w:rPr>
          <w:t>3</w:t>
        </w:r>
        <w:r w:rsidR="00F425C3">
          <w:rPr>
            <w:webHidden/>
          </w:rPr>
          <w:fldChar w:fldCharType="end"/>
        </w:r>
      </w:hyperlink>
    </w:p>
    <w:p w14:paraId="6F45C260" w14:textId="57B2E2FF" w:rsidR="00F425C3" w:rsidRDefault="00E8463C">
      <w:pPr>
        <w:pStyle w:val="TOC3"/>
        <w:rPr>
          <w:rFonts w:asciiTheme="minorHAnsi" w:eastAsiaTheme="minorEastAsia" w:hAnsiTheme="minorHAnsi" w:cstheme="minorBidi"/>
          <w:sz w:val="22"/>
          <w:lang w:eastAsia="en-AU"/>
        </w:rPr>
      </w:pPr>
      <w:hyperlink w:anchor="_Toc136847603" w:history="1">
        <w:r w:rsidR="00F425C3" w:rsidRPr="00AB2A86">
          <w:rPr>
            <w:rStyle w:val="Hyperlink"/>
          </w:rPr>
          <w:t>Jurisdiction over Snowy Hydro Limited</w:t>
        </w:r>
        <w:r w:rsidR="00F425C3">
          <w:rPr>
            <w:webHidden/>
          </w:rPr>
          <w:tab/>
        </w:r>
        <w:r w:rsidR="00F425C3">
          <w:rPr>
            <w:webHidden/>
          </w:rPr>
          <w:fldChar w:fldCharType="begin"/>
        </w:r>
        <w:r w:rsidR="00F425C3">
          <w:rPr>
            <w:webHidden/>
          </w:rPr>
          <w:instrText xml:space="preserve"> PAGEREF _Toc136847603 \h </w:instrText>
        </w:r>
        <w:r w:rsidR="00F425C3">
          <w:rPr>
            <w:webHidden/>
          </w:rPr>
        </w:r>
        <w:r w:rsidR="00F425C3">
          <w:rPr>
            <w:webHidden/>
          </w:rPr>
          <w:fldChar w:fldCharType="separate"/>
        </w:r>
        <w:r w:rsidR="002A2869">
          <w:rPr>
            <w:webHidden/>
          </w:rPr>
          <w:t>3</w:t>
        </w:r>
        <w:r w:rsidR="00F425C3">
          <w:rPr>
            <w:webHidden/>
          </w:rPr>
          <w:fldChar w:fldCharType="end"/>
        </w:r>
      </w:hyperlink>
    </w:p>
    <w:p w14:paraId="623ED3C9" w14:textId="1AE3814C" w:rsidR="00F425C3" w:rsidRDefault="00E8463C">
      <w:pPr>
        <w:pStyle w:val="TOC3"/>
        <w:rPr>
          <w:rFonts w:asciiTheme="minorHAnsi" w:eastAsiaTheme="minorEastAsia" w:hAnsiTheme="minorHAnsi" w:cstheme="minorBidi"/>
          <w:sz w:val="22"/>
          <w:lang w:eastAsia="en-AU"/>
        </w:rPr>
      </w:pPr>
      <w:hyperlink w:anchor="_Toc136847604" w:history="1">
        <w:r w:rsidR="00F425C3" w:rsidRPr="00AB2A86">
          <w:rPr>
            <w:rStyle w:val="Hyperlink"/>
          </w:rPr>
          <w:t>Limitations around Inspector-General’s jurisdiction</w:t>
        </w:r>
        <w:r w:rsidR="00F425C3">
          <w:rPr>
            <w:webHidden/>
          </w:rPr>
          <w:tab/>
        </w:r>
        <w:r w:rsidR="00F425C3">
          <w:rPr>
            <w:webHidden/>
          </w:rPr>
          <w:fldChar w:fldCharType="begin"/>
        </w:r>
        <w:r w:rsidR="00F425C3">
          <w:rPr>
            <w:webHidden/>
          </w:rPr>
          <w:instrText xml:space="preserve"> PAGEREF _Toc136847604 \h </w:instrText>
        </w:r>
        <w:r w:rsidR="00F425C3">
          <w:rPr>
            <w:webHidden/>
          </w:rPr>
        </w:r>
        <w:r w:rsidR="00F425C3">
          <w:rPr>
            <w:webHidden/>
          </w:rPr>
          <w:fldChar w:fldCharType="separate"/>
        </w:r>
        <w:r w:rsidR="002A2869">
          <w:rPr>
            <w:webHidden/>
          </w:rPr>
          <w:t>3</w:t>
        </w:r>
        <w:r w:rsidR="00F425C3">
          <w:rPr>
            <w:webHidden/>
          </w:rPr>
          <w:fldChar w:fldCharType="end"/>
        </w:r>
      </w:hyperlink>
    </w:p>
    <w:p w14:paraId="1F4FAA0D" w14:textId="5A5987AB" w:rsidR="00F425C3" w:rsidRDefault="00E8463C">
      <w:pPr>
        <w:pStyle w:val="TOC3"/>
        <w:rPr>
          <w:rFonts w:asciiTheme="minorHAnsi" w:eastAsiaTheme="minorEastAsia" w:hAnsiTheme="minorHAnsi" w:cstheme="minorBidi"/>
          <w:sz w:val="22"/>
          <w:lang w:eastAsia="en-AU"/>
        </w:rPr>
      </w:pPr>
      <w:hyperlink w:anchor="_Toc136847605" w:history="1">
        <w:r w:rsidR="00F425C3" w:rsidRPr="00AB2A86">
          <w:rPr>
            <w:rStyle w:val="Hyperlink"/>
          </w:rPr>
          <w:t>Jurisdiction over expired agreements</w:t>
        </w:r>
        <w:r w:rsidR="00F425C3">
          <w:rPr>
            <w:webHidden/>
          </w:rPr>
          <w:tab/>
        </w:r>
        <w:r w:rsidR="00F425C3">
          <w:rPr>
            <w:webHidden/>
          </w:rPr>
          <w:fldChar w:fldCharType="begin"/>
        </w:r>
        <w:r w:rsidR="00F425C3">
          <w:rPr>
            <w:webHidden/>
          </w:rPr>
          <w:instrText xml:space="preserve"> PAGEREF _Toc136847605 \h </w:instrText>
        </w:r>
        <w:r w:rsidR="00F425C3">
          <w:rPr>
            <w:webHidden/>
          </w:rPr>
        </w:r>
        <w:r w:rsidR="00F425C3">
          <w:rPr>
            <w:webHidden/>
          </w:rPr>
          <w:fldChar w:fldCharType="separate"/>
        </w:r>
        <w:r w:rsidR="002A2869">
          <w:rPr>
            <w:webHidden/>
          </w:rPr>
          <w:t>3</w:t>
        </w:r>
        <w:r w:rsidR="00F425C3">
          <w:rPr>
            <w:webHidden/>
          </w:rPr>
          <w:fldChar w:fldCharType="end"/>
        </w:r>
      </w:hyperlink>
    </w:p>
    <w:p w14:paraId="4E3B7B01" w14:textId="725F28C8" w:rsidR="00F425C3" w:rsidRDefault="00E8463C">
      <w:pPr>
        <w:pStyle w:val="TOC1"/>
        <w:rPr>
          <w:rFonts w:asciiTheme="minorHAnsi" w:eastAsiaTheme="minorEastAsia" w:hAnsiTheme="minorHAnsi" w:cstheme="minorBidi"/>
          <w:b w:val="0"/>
          <w:color w:val="auto"/>
          <w:sz w:val="22"/>
          <w:lang w:eastAsia="en-AU"/>
        </w:rPr>
      </w:pPr>
      <w:hyperlink w:anchor="_Toc136847606" w:history="1">
        <w:r w:rsidR="00F425C3" w:rsidRPr="00AB2A86">
          <w:rPr>
            <w:rStyle w:val="Hyperlink"/>
          </w:rPr>
          <w:t>Principles behind regulatory approach</w:t>
        </w:r>
        <w:r w:rsidR="00F425C3">
          <w:rPr>
            <w:webHidden/>
          </w:rPr>
          <w:tab/>
        </w:r>
        <w:r w:rsidR="00F425C3">
          <w:rPr>
            <w:webHidden/>
          </w:rPr>
          <w:fldChar w:fldCharType="begin"/>
        </w:r>
        <w:r w:rsidR="00F425C3">
          <w:rPr>
            <w:webHidden/>
          </w:rPr>
          <w:instrText xml:space="preserve"> PAGEREF _Toc136847606 \h </w:instrText>
        </w:r>
        <w:r w:rsidR="00F425C3">
          <w:rPr>
            <w:webHidden/>
          </w:rPr>
        </w:r>
        <w:r w:rsidR="00F425C3">
          <w:rPr>
            <w:webHidden/>
          </w:rPr>
          <w:fldChar w:fldCharType="separate"/>
        </w:r>
        <w:r w:rsidR="002A2869">
          <w:rPr>
            <w:webHidden/>
          </w:rPr>
          <w:t>4</w:t>
        </w:r>
        <w:r w:rsidR="00F425C3">
          <w:rPr>
            <w:webHidden/>
          </w:rPr>
          <w:fldChar w:fldCharType="end"/>
        </w:r>
      </w:hyperlink>
    </w:p>
    <w:p w14:paraId="5AEABDBD" w14:textId="40E39D91" w:rsidR="00F425C3" w:rsidRDefault="00E8463C">
      <w:pPr>
        <w:pStyle w:val="TOC3"/>
        <w:rPr>
          <w:rFonts w:asciiTheme="minorHAnsi" w:eastAsiaTheme="minorEastAsia" w:hAnsiTheme="minorHAnsi" w:cstheme="minorBidi"/>
          <w:sz w:val="22"/>
          <w:lang w:eastAsia="en-AU"/>
        </w:rPr>
      </w:pPr>
      <w:hyperlink w:anchor="_Toc136847607" w:history="1">
        <w:r w:rsidR="00F425C3" w:rsidRPr="00AB2A86">
          <w:rPr>
            <w:rStyle w:val="Hyperlink"/>
          </w:rPr>
          <w:t>Outcomes–based approach</w:t>
        </w:r>
        <w:r w:rsidR="00F425C3">
          <w:rPr>
            <w:webHidden/>
          </w:rPr>
          <w:tab/>
        </w:r>
        <w:r w:rsidR="00F425C3">
          <w:rPr>
            <w:webHidden/>
          </w:rPr>
          <w:fldChar w:fldCharType="begin"/>
        </w:r>
        <w:r w:rsidR="00F425C3">
          <w:rPr>
            <w:webHidden/>
          </w:rPr>
          <w:instrText xml:space="preserve"> PAGEREF _Toc136847607 \h </w:instrText>
        </w:r>
        <w:r w:rsidR="00F425C3">
          <w:rPr>
            <w:webHidden/>
          </w:rPr>
        </w:r>
        <w:r w:rsidR="00F425C3">
          <w:rPr>
            <w:webHidden/>
          </w:rPr>
          <w:fldChar w:fldCharType="separate"/>
        </w:r>
        <w:r w:rsidR="002A2869">
          <w:rPr>
            <w:webHidden/>
          </w:rPr>
          <w:t>4</w:t>
        </w:r>
        <w:r w:rsidR="00F425C3">
          <w:rPr>
            <w:webHidden/>
          </w:rPr>
          <w:fldChar w:fldCharType="end"/>
        </w:r>
      </w:hyperlink>
    </w:p>
    <w:p w14:paraId="7A7DD678" w14:textId="3944C2C1" w:rsidR="00F425C3" w:rsidRDefault="00E8463C">
      <w:pPr>
        <w:pStyle w:val="TOC3"/>
        <w:rPr>
          <w:rFonts w:asciiTheme="minorHAnsi" w:eastAsiaTheme="minorEastAsia" w:hAnsiTheme="minorHAnsi" w:cstheme="minorBidi"/>
          <w:sz w:val="22"/>
          <w:lang w:eastAsia="en-AU"/>
        </w:rPr>
      </w:pPr>
      <w:hyperlink w:anchor="_Toc136847608" w:history="1">
        <w:r w:rsidR="00F425C3" w:rsidRPr="00AB2A86">
          <w:rPr>
            <w:rStyle w:val="Hyperlink"/>
          </w:rPr>
          <w:t>Risk–based approach</w:t>
        </w:r>
        <w:r w:rsidR="00F425C3">
          <w:rPr>
            <w:webHidden/>
          </w:rPr>
          <w:tab/>
        </w:r>
        <w:r w:rsidR="00F425C3">
          <w:rPr>
            <w:webHidden/>
          </w:rPr>
          <w:fldChar w:fldCharType="begin"/>
        </w:r>
        <w:r w:rsidR="00F425C3">
          <w:rPr>
            <w:webHidden/>
          </w:rPr>
          <w:instrText xml:space="preserve"> PAGEREF _Toc136847608 \h </w:instrText>
        </w:r>
        <w:r w:rsidR="00F425C3">
          <w:rPr>
            <w:webHidden/>
          </w:rPr>
        </w:r>
        <w:r w:rsidR="00F425C3">
          <w:rPr>
            <w:webHidden/>
          </w:rPr>
          <w:fldChar w:fldCharType="separate"/>
        </w:r>
        <w:r w:rsidR="002A2869">
          <w:rPr>
            <w:webHidden/>
          </w:rPr>
          <w:t>5</w:t>
        </w:r>
        <w:r w:rsidR="00F425C3">
          <w:rPr>
            <w:webHidden/>
          </w:rPr>
          <w:fldChar w:fldCharType="end"/>
        </w:r>
      </w:hyperlink>
    </w:p>
    <w:p w14:paraId="4899BF7E" w14:textId="2561FED9" w:rsidR="00F425C3" w:rsidRDefault="00E8463C">
      <w:pPr>
        <w:pStyle w:val="TOC1"/>
        <w:rPr>
          <w:rFonts w:asciiTheme="minorHAnsi" w:eastAsiaTheme="minorEastAsia" w:hAnsiTheme="minorHAnsi" w:cstheme="minorBidi"/>
          <w:b w:val="0"/>
          <w:color w:val="auto"/>
          <w:sz w:val="22"/>
          <w:lang w:eastAsia="en-AU"/>
        </w:rPr>
      </w:pPr>
      <w:hyperlink w:anchor="_Toc136847609" w:history="1">
        <w:r w:rsidR="00F425C3" w:rsidRPr="00AB2A86">
          <w:rPr>
            <w:rStyle w:val="Hyperlink"/>
          </w:rPr>
          <w:t>Link to legislated objectives</w:t>
        </w:r>
        <w:r w:rsidR="00F425C3">
          <w:rPr>
            <w:webHidden/>
          </w:rPr>
          <w:tab/>
        </w:r>
        <w:r w:rsidR="00F425C3">
          <w:rPr>
            <w:webHidden/>
          </w:rPr>
          <w:fldChar w:fldCharType="begin"/>
        </w:r>
        <w:r w:rsidR="00F425C3">
          <w:rPr>
            <w:webHidden/>
          </w:rPr>
          <w:instrText xml:space="preserve"> PAGEREF _Toc136847609 \h </w:instrText>
        </w:r>
        <w:r w:rsidR="00F425C3">
          <w:rPr>
            <w:webHidden/>
          </w:rPr>
        </w:r>
        <w:r w:rsidR="00F425C3">
          <w:rPr>
            <w:webHidden/>
          </w:rPr>
          <w:fldChar w:fldCharType="separate"/>
        </w:r>
        <w:r w:rsidR="002A2869">
          <w:rPr>
            <w:webHidden/>
          </w:rPr>
          <w:t>5</w:t>
        </w:r>
        <w:r w:rsidR="00F425C3">
          <w:rPr>
            <w:webHidden/>
          </w:rPr>
          <w:fldChar w:fldCharType="end"/>
        </w:r>
      </w:hyperlink>
    </w:p>
    <w:p w14:paraId="4D540F07" w14:textId="68D8C580" w:rsidR="00F425C3" w:rsidRDefault="00E8463C">
      <w:pPr>
        <w:pStyle w:val="TOC1"/>
        <w:rPr>
          <w:rFonts w:asciiTheme="minorHAnsi" w:eastAsiaTheme="minorEastAsia" w:hAnsiTheme="minorHAnsi" w:cstheme="minorBidi"/>
          <w:b w:val="0"/>
          <w:color w:val="auto"/>
          <w:sz w:val="22"/>
          <w:lang w:eastAsia="en-AU"/>
        </w:rPr>
      </w:pPr>
      <w:hyperlink w:anchor="_Toc136847610" w:history="1">
        <w:r w:rsidR="00F425C3" w:rsidRPr="00AB2A86">
          <w:rPr>
            <w:rStyle w:val="Hyperlink"/>
          </w:rPr>
          <w:t>Content of Regulatory Policy</w:t>
        </w:r>
        <w:r w:rsidR="00F425C3">
          <w:rPr>
            <w:webHidden/>
          </w:rPr>
          <w:tab/>
        </w:r>
        <w:r w:rsidR="00F425C3">
          <w:rPr>
            <w:webHidden/>
          </w:rPr>
          <w:fldChar w:fldCharType="begin"/>
        </w:r>
        <w:r w:rsidR="00F425C3">
          <w:rPr>
            <w:webHidden/>
          </w:rPr>
          <w:instrText xml:space="preserve"> PAGEREF _Toc136847610 \h </w:instrText>
        </w:r>
        <w:r w:rsidR="00F425C3">
          <w:rPr>
            <w:webHidden/>
          </w:rPr>
        </w:r>
        <w:r w:rsidR="00F425C3">
          <w:rPr>
            <w:webHidden/>
          </w:rPr>
          <w:fldChar w:fldCharType="separate"/>
        </w:r>
        <w:r w:rsidR="002A2869">
          <w:rPr>
            <w:webHidden/>
          </w:rPr>
          <w:t>6</w:t>
        </w:r>
        <w:r w:rsidR="00F425C3">
          <w:rPr>
            <w:webHidden/>
          </w:rPr>
          <w:fldChar w:fldCharType="end"/>
        </w:r>
      </w:hyperlink>
    </w:p>
    <w:p w14:paraId="2CD1599C" w14:textId="138F6B38" w:rsidR="00F425C3" w:rsidRDefault="00E8463C">
      <w:pPr>
        <w:pStyle w:val="TOC1"/>
        <w:rPr>
          <w:rFonts w:asciiTheme="minorHAnsi" w:eastAsiaTheme="minorEastAsia" w:hAnsiTheme="minorHAnsi" w:cstheme="minorBidi"/>
          <w:b w:val="0"/>
          <w:color w:val="auto"/>
          <w:sz w:val="22"/>
          <w:lang w:eastAsia="en-AU"/>
        </w:rPr>
      </w:pPr>
      <w:hyperlink w:anchor="_Toc136847611" w:history="1">
        <w:r w:rsidR="00F425C3" w:rsidRPr="00AB2A86">
          <w:rPr>
            <w:rStyle w:val="Hyperlink"/>
          </w:rPr>
          <w:t>Collaboration and engagement</w:t>
        </w:r>
        <w:r w:rsidR="00F425C3">
          <w:rPr>
            <w:webHidden/>
          </w:rPr>
          <w:tab/>
        </w:r>
        <w:r w:rsidR="00F425C3">
          <w:rPr>
            <w:webHidden/>
          </w:rPr>
          <w:fldChar w:fldCharType="begin"/>
        </w:r>
        <w:r w:rsidR="00F425C3">
          <w:rPr>
            <w:webHidden/>
          </w:rPr>
          <w:instrText xml:space="preserve"> PAGEREF _Toc136847611 \h </w:instrText>
        </w:r>
        <w:r w:rsidR="00F425C3">
          <w:rPr>
            <w:webHidden/>
          </w:rPr>
        </w:r>
        <w:r w:rsidR="00F425C3">
          <w:rPr>
            <w:webHidden/>
          </w:rPr>
          <w:fldChar w:fldCharType="separate"/>
        </w:r>
        <w:r w:rsidR="002A2869">
          <w:rPr>
            <w:webHidden/>
          </w:rPr>
          <w:t>7</w:t>
        </w:r>
        <w:r w:rsidR="00F425C3">
          <w:rPr>
            <w:webHidden/>
          </w:rPr>
          <w:fldChar w:fldCharType="end"/>
        </w:r>
      </w:hyperlink>
    </w:p>
    <w:p w14:paraId="766775E2" w14:textId="29717E94" w:rsidR="00F425C3" w:rsidRDefault="00E8463C">
      <w:pPr>
        <w:pStyle w:val="TOC1"/>
        <w:rPr>
          <w:rFonts w:asciiTheme="minorHAnsi" w:eastAsiaTheme="minorEastAsia" w:hAnsiTheme="minorHAnsi" w:cstheme="minorBidi"/>
          <w:b w:val="0"/>
          <w:color w:val="auto"/>
          <w:sz w:val="22"/>
          <w:lang w:eastAsia="en-AU"/>
        </w:rPr>
      </w:pPr>
      <w:hyperlink w:anchor="_Toc136847612" w:history="1">
        <w:r w:rsidR="00F425C3" w:rsidRPr="00AB2A86">
          <w:rPr>
            <w:rStyle w:val="Hyperlink"/>
          </w:rPr>
          <w:t>Quality of water information</w:t>
        </w:r>
        <w:r w:rsidR="00F425C3">
          <w:rPr>
            <w:webHidden/>
          </w:rPr>
          <w:tab/>
        </w:r>
        <w:r w:rsidR="00F425C3">
          <w:rPr>
            <w:webHidden/>
          </w:rPr>
          <w:fldChar w:fldCharType="begin"/>
        </w:r>
        <w:r w:rsidR="00F425C3">
          <w:rPr>
            <w:webHidden/>
          </w:rPr>
          <w:instrText xml:space="preserve"> PAGEREF _Toc136847612 \h </w:instrText>
        </w:r>
        <w:r w:rsidR="00F425C3">
          <w:rPr>
            <w:webHidden/>
          </w:rPr>
        </w:r>
        <w:r w:rsidR="00F425C3">
          <w:rPr>
            <w:webHidden/>
          </w:rPr>
          <w:fldChar w:fldCharType="separate"/>
        </w:r>
        <w:r w:rsidR="002A2869">
          <w:rPr>
            <w:webHidden/>
          </w:rPr>
          <w:t>7</w:t>
        </w:r>
        <w:r w:rsidR="00F425C3">
          <w:rPr>
            <w:webHidden/>
          </w:rPr>
          <w:fldChar w:fldCharType="end"/>
        </w:r>
      </w:hyperlink>
    </w:p>
    <w:p w14:paraId="7A22527D" w14:textId="7DD06C38" w:rsidR="00F425C3" w:rsidRDefault="00E8463C">
      <w:pPr>
        <w:pStyle w:val="TOC1"/>
        <w:rPr>
          <w:rFonts w:asciiTheme="minorHAnsi" w:eastAsiaTheme="minorEastAsia" w:hAnsiTheme="minorHAnsi" w:cstheme="minorBidi"/>
          <w:b w:val="0"/>
          <w:color w:val="auto"/>
          <w:sz w:val="22"/>
          <w:lang w:eastAsia="en-AU"/>
        </w:rPr>
      </w:pPr>
      <w:hyperlink w:anchor="_Toc136847613" w:history="1">
        <w:r w:rsidR="00F425C3" w:rsidRPr="00AB2A86">
          <w:rPr>
            <w:rStyle w:val="Hyperlink"/>
          </w:rPr>
          <w:t>Review of Regulatory Policy</w:t>
        </w:r>
        <w:r w:rsidR="00F425C3">
          <w:rPr>
            <w:webHidden/>
          </w:rPr>
          <w:tab/>
        </w:r>
        <w:r w:rsidR="00F425C3">
          <w:rPr>
            <w:webHidden/>
          </w:rPr>
          <w:fldChar w:fldCharType="begin"/>
        </w:r>
        <w:r w:rsidR="00F425C3">
          <w:rPr>
            <w:webHidden/>
          </w:rPr>
          <w:instrText xml:space="preserve"> PAGEREF _Toc136847613 \h </w:instrText>
        </w:r>
        <w:r w:rsidR="00F425C3">
          <w:rPr>
            <w:webHidden/>
          </w:rPr>
        </w:r>
        <w:r w:rsidR="00F425C3">
          <w:rPr>
            <w:webHidden/>
          </w:rPr>
          <w:fldChar w:fldCharType="separate"/>
        </w:r>
        <w:r w:rsidR="002A2869">
          <w:rPr>
            <w:webHidden/>
          </w:rPr>
          <w:t>8</w:t>
        </w:r>
        <w:r w:rsidR="00F425C3">
          <w:rPr>
            <w:webHidden/>
          </w:rPr>
          <w:fldChar w:fldCharType="end"/>
        </w:r>
      </w:hyperlink>
    </w:p>
    <w:p w14:paraId="11C37B20" w14:textId="5CF1AE95" w:rsidR="00F425C3" w:rsidRDefault="00E8463C">
      <w:pPr>
        <w:pStyle w:val="TOC1"/>
        <w:rPr>
          <w:rFonts w:asciiTheme="minorHAnsi" w:eastAsiaTheme="minorEastAsia" w:hAnsiTheme="minorHAnsi" w:cstheme="minorBidi"/>
          <w:b w:val="0"/>
          <w:color w:val="auto"/>
          <w:sz w:val="22"/>
          <w:lang w:eastAsia="en-AU"/>
        </w:rPr>
      </w:pPr>
      <w:hyperlink w:anchor="_Toc136847614" w:history="1">
        <w:r w:rsidR="00F425C3" w:rsidRPr="00AB2A86">
          <w:rPr>
            <w:rStyle w:val="Hyperlink"/>
          </w:rPr>
          <w:t>Negative outcomes</w:t>
        </w:r>
        <w:r w:rsidR="00F425C3">
          <w:rPr>
            <w:webHidden/>
          </w:rPr>
          <w:tab/>
        </w:r>
        <w:r w:rsidR="00F425C3">
          <w:rPr>
            <w:webHidden/>
          </w:rPr>
          <w:fldChar w:fldCharType="begin"/>
        </w:r>
        <w:r w:rsidR="00F425C3">
          <w:rPr>
            <w:webHidden/>
          </w:rPr>
          <w:instrText xml:space="preserve"> PAGEREF _Toc136847614 \h </w:instrText>
        </w:r>
        <w:r w:rsidR="00F425C3">
          <w:rPr>
            <w:webHidden/>
          </w:rPr>
        </w:r>
        <w:r w:rsidR="00F425C3">
          <w:rPr>
            <w:webHidden/>
          </w:rPr>
          <w:fldChar w:fldCharType="separate"/>
        </w:r>
        <w:r w:rsidR="002A2869">
          <w:rPr>
            <w:webHidden/>
          </w:rPr>
          <w:t>8</w:t>
        </w:r>
        <w:r w:rsidR="00F425C3">
          <w:rPr>
            <w:webHidden/>
          </w:rPr>
          <w:fldChar w:fldCharType="end"/>
        </w:r>
      </w:hyperlink>
    </w:p>
    <w:p w14:paraId="70EECCDC" w14:textId="13573BE4" w:rsidR="00A94315" w:rsidRPr="00A94315" w:rsidRDefault="0066217F" w:rsidP="00A94315">
      <w:r>
        <w:fldChar w:fldCharType="end"/>
      </w:r>
    </w:p>
    <w:p w14:paraId="167E071A" w14:textId="77777777" w:rsidR="00E239D6" w:rsidRDefault="00E239D6" w:rsidP="00E239D6"/>
    <w:p w14:paraId="6F3ED7FC" w14:textId="48D10A1E" w:rsidR="00E239D6" w:rsidRPr="00E239D6" w:rsidRDefault="00E239D6" w:rsidP="00E239D6">
      <w:pPr>
        <w:sectPr w:rsidR="00E239D6" w:rsidRPr="00E239D6" w:rsidSect="00A94315">
          <w:footerReference w:type="default" r:id="rId9"/>
          <w:headerReference w:type="first" r:id="rId10"/>
          <w:pgSz w:w="11906" w:h="16838"/>
          <w:pgMar w:top="1284" w:right="1134" w:bottom="816" w:left="1134" w:header="425" w:footer="999" w:gutter="0"/>
          <w:pgNumType w:start="0"/>
          <w:cols w:space="708"/>
          <w:titlePg/>
          <w:docGrid w:linePitch="360"/>
        </w:sectPr>
      </w:pPr>
    </w:p>
    <w:p w14:paraId="44DAB5FE" w14:textId="66349608" w:rsidR="00473F5B" w:rsidRPr="00016E20" w:rsidRDefault="00E711B2" w:rsidP="00A94315">
      <w:pPr>
        <w:pStyle w:val="Heading1"/>
        <w:spacing w:after="360"/>
        <w:rPr>
          <w:sz w:val="36"/>
          <w:szCs w:val="16"/>
        </w:rPr>
      </w:pPr>
      <w:bookmarkStart w:id="2" w:name="_Toc136847599"/>
      <w:r w:rsidRPr="00016E20">
        <w:rPr>
          <w:sz w:val="36"/>
          <w:szCs w:val="16"/>
        </w:rPr>
        <w:lastRenderedPageBreak/>
        <w:t>Introduction</w:t>
      </w:r>
      <w:bookmarkEnd w:id="2"/>
    </w:p>
    <w:p w14:paraId="060F785F" w14:textId="75001929" w:rsidR="0062207A" w:rsidRDefault="009C4A09" w:rsidP="00E711B2">
      <w:r>
        <w:t xml:space="preserve">The Inspector–General of Water Compliance published their </w:t>
      </w:r>
      <w:r>
        <w:rPr>
          <w:i/>
          <w:iCs/>
        </w:rPr>
        <w:t>Regulatory Policy Discussion Paper</w:t>
      </w:r>
      <w:r>
        <w:t xml:space="preserve"> on 31 March 2023. </w:t>
      </w:r>
      <w:r w:rsidR="0062207A">
        <w:t>The Inspector–General would like to thank those stakeholders who made submissions</w:t>
      </w:r>
      <w:r w:rsidR="004076CE">
        <w:t xml:space="preserve">. All the submissions added </w:t>
      </w:r>
      <w:r w:rsidR="007A01F9">
        <w:t xml:space="preserve">value to the Inspector–General’s consideration of </w:t>
      </w:r>
      <w:r w:rsidR="00A31967">
        <w:t xml:space="preserve">matters for inclusion in </w:t>
      </w:r>
      <w:r w:rsidR="007A01F9">
        <w:t xml:space="preserve">their </w:t>
      </w:r>
      <w:r w:rsidR="00A31967">
        <w:t>draft Regulatory Policy</w:t>
      </w:r>
      <w:r w:rsidR="007A01F9">
        <w:t>.</w:t>
      </w:r>
    </w:p>
    <w:p w14:paraId="79B0706D" w14:textId="4509CC02" w:rsidR="00EB3CEF" w:rsidRDefault="009D2E36" w:rsidP="00E711B2">
      <w:r>
        <w:t>T</w:t>
      </w:r>
      <w:r w:rsidR="00EB3CEF">
        <w:t xml:space="preserve">his document sets out </w:t>
      </w:r>
      <w:r w:rsidR="00C84DD1">
        <w:t xml:space="preserve">the Inspector–General’s response to stakeholders’ submissions. </w:t>
      </w:r>
      <w:r w:rsidR="005A6BAF">
        <w:t xml:space="preserve">These responses include identifying other projects, where these are </w:t>
      </w:r>
      <w:r w:rsidR="00F81BDB">
        <w:t xml:space="preserve">more </w:t>
      </w:r>
      <w:r w:rsidR="005A6BAF">
        <w:t xml:space="preserve">appropriate </w:t>
      </w:r>
      <w:r w:rsidR="00251C7A">
        <w:t>for addressing the issues raised in submissions</w:t>
      </w:r>
      <w:r w:rsidR="00666411">
        <w:t xml:space="preserve">, </w:t>
      </w:r>
      <w:r w:rsidR="00F81BDB">
        <w:t xml:space="preserve">compared to </w:t>
      </w:r>
      <w:r w:rsidR="00251C7A">
        <w:t>the Regulatory Policy.</w:t>
      </w:r>
    </w:p>
    <w:p w14:paraId="509218AF" w14:textId="60619A78" w:rsidR="008740E1" w:rsidRPr="00016E20" w:rsidRDefault="007F3D87" w:rsidP="00A94315">
      <w:pPr>
        <w:pStyle w:val="Heading1"/>
        <w:pageBreakBefore w:val="0"/>
        <w:spacing w:after="360"/>
        <w:rPr>
          <w:sz w:val="36"/>
          <w:szCs w:val="16"/>
        </w:rPr>
      </w:pPr>
      <w:bookmarkStart w:id="3" w:name="_Toc136847600"/>
      <w:r w:rsidRPr="00016E20">
        <w:rPr>
          <w:sz w:val="36"/>
          <w:szCs w:val="16"/>
        </w:rPr>
        <w:t>I</w:t>
      </w:r>
      <w:r w:rsidR="004D61FE" w:rsidRPr="00016E20">
        <w:rPr>
          <w:sz w:val="36"/>
          <w:szCs w:val="16"/>
        </w:rPr>
        <w:t>mportance of Inspector–General</w:t>
      </w:r>
      <w:bookmarkEnd w:id="3"/>
    </w:p>
    <w:p w14:paraId="3CD55AEA" w14:textId="1D3B72CB" w:rsidR="003C19A7" w:rsidRDefault="00D00AEA" w:rsidP="00E711B2">
      <w:r>
        <w:t xml:space="preserve">All submissions received </w:t>
      </w:r>
      <w:r w:rsidR="002D1D35">
        <w:t xml:space="preserve">indicated </w:t>
      </w:r>
      <w:r w:rsidR="00BD0D2A">
        <w:t xml:space="preserve">stakeholders firmly supported the role of the Inspector–General in overseeing </w:t>
      </w:r>
      <w:r w:rsidR="002A3C29">
        <w:t xml:space="preserve">compliance with the national frameworks applying to the management of Murray–Darling Basin water resources; namely, the </w:t>
      </w:r>
      <w:r w:rsidR="002A3C29">
        <w:rPr>
          <w:i/>
          <w:iCs/>
        </w:rPr>
        <w:t>Water Act 2007</w:t>
      </w:r>
      <w:r w:rsidR="002A3C29">
        <w:t xml:space="preserve"> </w:t>
      </w:r>
      <w:r w:rsidR="00262BA6">
        <w:t>(</w:t>
      </w:r>
      <w:proofErr w:type="spellStart"/>
      <w:r w:rsidR="00262BA6">
        <w:t>Cth</w:t>
      </w:r>
      <w:proofErr w:type="spellEnd"/>
      <w:r w:rsidR="00262BA6">
        <w:t xml:space="preserve">) </w:t>
      </w:r>
      <w:r w:rsidR="002A3C29">
        <w:t>(</w:t>
      </w:r>
      <w:r w:rsidR="00F51273">
        <w:t xml:space="preserve">Water Act), the </w:t>
      </w:r>
      <w:r w:rsidR="00F51273">
        <w:rPr>
          <w:i/>
          <w:iCs/>
        </w:rPr>
        <w:t xml:space="preserve">Basin Plan 2012 </w:t>
      </w:r>
      <w:r w:rsidR="00F51273">
        <w:t xml:space="preserve">(Basin Plan) and water resource plans. </w:t>
      </w:r>
    </w:p>
    <w:p w14:paraId="50E98951" w14:textId="148C873B" w:rsidR="008740E1" w:rsidRDefault="00AA3FA9" w:rsidP="00E711B2">
      <w:r>
        <w:t xml:space="preserve">The ACT Government and Department </w:t>
      </w:r>
      <w:r w:rsidR="00825337">
        <w:t>for Environment and Water (SA</w:t>
      </w:r>
      <w:r w:rsidR="00850E7F">
        <w:t xml:space="preserve"> Government</w:t>
      </w:r>
      <w:r w:rsidR="00825337">
        <w:t>) submissions</w:t>
      </w:r>
      <w:proofErr w:type="gramStart"/>
      <w:r w:rsidR="00827EA7">
        <w:t>, in particular,</w:t>
      </w:r>
      <w:r w:rsidR="00825337">
        <w:t xml:space="preserve"> emphasised</w:t>
      </w:r>
      <w:proofErr w:type="gramEnd"/>
      <w:r w:rsidR="00825337">
        <w:t xml:space="preserve"> the </w:t>
      </w:r>
      <w:r w:rsidR="00827EA7">
        <w:t xml:space="preserve">importance of the roles and functions of the Inspector–General in providing accountability and transparency around the management of Basin water resources. </w:t>
      </w:r>
      <w:r w:rsidR="00F948FE">
        <w:t xml:space="preserve">The Murray Lower Darling Rivers Indigenous Nations (MLDRIN) </w:t>
      </w:r>
      <w:r w:rsidR="0036512B">
        <w:t xml:space="preserve">submission </w:t>
      </w:r>
      <w:r w:rsidR="00232281">
        <w:t xml:space="preserve">strongly </w:t>
      </w:r>
      <w:r w:rsidR="00692730">
        <w:t>supported the Inspector–General</w:t>
      </w:r>
      <w:r w:rsidR="00232281">
        <w:t>’s</w:t>
      </w:r>
      <w:r w:rsidR="00692730">
        <w:t xml:space="preserve"> </w:t>
      </w:r>
      <w:r w:rsidR="00232281" w:rsidRPr="00232281">
        <w:t>emphasis on truth-telling, integrity, transparency, and accountability</w:t>
      </w:r>
      <w:r w:rsidR="007D08FB">
        <w:t xml:space="preserve"> in the management of water</w:t>
      </w:r>
      <w:r w:rsidR="006E433A">
        <w:t xml:space="preserve"> in the Basin</w:t>
      </w:r>
      <w:r w:rsidR="003C19A7">
        <w:t>.</w:t>
      </w:r>
    </w:p>
    <w:p w14:paraId="3AD94974" w14:textId="224BD361" w:rsidR="00383200" w:rsidRDefault="00383200" w:rsidP="00E711B2">
      <w:r>
        <w:t xml:space="preserve">The Inspector–General welcomes this feedback and </w:t>
      </w:r>
      <w:r w:rsidR="006621E8">
        <w:t xml:space="preserve">agrees that it is a critical element of their role under the national frameworks and </w:t>
      </w:r>
      <w:r w:rsidR="002D6E93">
        <w:t xml:space="preserve">as an integrity agency. The Inspector–General’s role in providing truth, </w:t>
      </w:r>
      <w:proofErr w:type="gramStart"/>
      <w:r w:rsidR="002D6E93">
        <w:t>transparency</w:t>
      </w:r>
      <w:proofErr w:type="gramEnd"/>
      <w:r w:rsidR="002D6E93">
        <w:t xml:space="preserve"> and accountability</w:t>
      </w:r>
      <w:r w:rsidR="003A7454">
        <w:t xml:space="preserve"> in the management of Basin water resources underpins </w:t>
      </w:r>
      <w:r w:rsidR="00C47F9D">
        <w:t xml:space="preserve">all of </w:t>
      </w:r>
      <w:r w:rsidR="003A7454">
        <w:t xml:space="preserve">their </w:t>
      </w:r>
      <w:r w:rsidR="00C47F9D">
        <w:t>work and will be reflected in the</w:t>
      </w:r>
      <w:r w:rsidR="00D32F2B">
        <w:t>ir</w:t>
      </w:r>
      <w:r w:rsidR="00C47F9D">
        <w:t xml:space="preserve"> Regulatory Policy.</w:t>
      </w:r>
    </w:p>
    <w:p w14:paraId="5DE456A5" w14:textId="104425C9" w:rsidR="00DF443A" w:rsidRDefault="00D12AEE" w:rsidP="006D77A6">
      <w:r>
        <w:t>T</w:t>
      </w:r>
      <w:r w:rsidR="006E433A">
        <w:t xml:space="preserve">he Australian Competition and Consumer Commission (ACCC) submission </w:t>
      </w:r>
      <w:r w:rsidR="002C47C3">
        <w:t xml:space="preserve">supported the Inspector–General’s </w:t>
      </w:r>
      <w:r w:rsidR="00A24389" w:rsidRPr="00A24389">
        <w:t>role to ‘</w:t>
      </w:r>
      <w:r w:rsidR="00A24389" w:rsidRPr="00A24389">
        <w:rPr>
          <w:i/>
          <w:iCs/>
        </w:rPr>
        <w:t xml:space="preserve">improve the public’s trust in, and visibility and accountability around, the institutions with responsibility for managing Basin water </w:t>
      </w:r>
      <w:proofErr w:type="gramStart"/>
      <w:r w:rsidR="00A24389" w:rsidRPr="00A24389">
        <w:rPr>
          <w:i/>
          <w:iCs/>
        </w:rPr>
        <w:t>resources</w:t>
      </w:r>
      <w:r w:rsidR="00A24389" w:rsidRPr="00A24389">
        <w:t>’</w:t>
      </w:r>
      <w:proofErr w:type="gramEnd"/>
      <w:r w:rsidR="00A24389" w:rsidRPr="00A24389">
        <w:t xml:space="preserve">. The ACCC </w:t>
      </w:r>
      <w:r w:rsidR="002C47C3">
        <w:t>emphasi</w:t>
      </w:r>
      <w:r w:rsidR="00C43780">
        <w:t>s</w:t>
      </w:r>
      <w:r w:rsidR="002C47C3">
        <w:t>ed</w:t>
      </w:r>
      <w:r w:rsidR="00C43780">
        <w:t xml:space="preserve"> the importance of the Inspector–General’s independence and </w:t>
      </w:r>
      <w:r w:rsidR="002418F1">
        <w:t xml:space="preserve">being empowered and resourced adequately to </w:t>
      </w:r>
      <w:r w:rsidR="00A24389" w:rsidRPr="00A24389">
        <w:t>make robust decisions.</w:t>
      </w:r>
      <w:r w:rsidR="002418F1">
        <w:t xml:space="preserve"> The ACCC noted this </w:t>
      </w:r>
      <w:r w:rsidR="006D77A6">
        <w:t xml:space="preserve">is needed to </w:t>
      </w:r>
      <w:r w:rsidR="00A24389" w:rsidRPr="00A24389">
        <w:t>support the delivery of the Basin water market reforms currently under development</w:t>
      </w:r>
      <w:r w:rsidR="006D77A6">
        <w:t xml:space="preserve"> by the Commonwealth Government</w:t>
      </w:r>
      <w:r w:rsidR="00A24389" w:rsidRPr="00A24389">
        <w:t>.</w:t>
      </w:r>
    </w:p>
    <w:p w14:paraId="2058A9CE" w14:textId="77777777" w:rsidR="00E82C7C" w:rsidRDefault="00DB360C" w:rsidP="00A24389">
      <w:r>
        <w:t xml:space="preserve">The Inspector–General </w:t>
      </w:r>
      <w:r w:rsidR="00804B66">
        <w:t xml:space="preserve">recognises the relevance of the </w:t>
      </w:r>
      <w:r>
        <w:t xml:space="preserve">ACCC’s </w:t>
      </w:r>
      <w:r w:rsidR="00AA608C">
        <w:t xml:space="preserve">comments for the water market arrangements that are part of </w:t>
      </w:r>
      <w:r w:rsidR="008F279C">
        <w:t>upcoming legislative reform processes</w:t>
      </w:r>
      <w:r w:rsidR="00AA608C">
        <w:t xml:space="preserve">. The Inspector–General </w:t>
      </w:r>
      <w:r w:rsidR="005470E2">
        <w:t>considers</w:t>
      </w:r>
      <w:r w:rsidR="008F279C">
        <w:t xml:space="preserve"> </w:t>
      </w:r>
      <w:r w:rsidR="005470E2">
        <w:t>these comments align with good institutional design</w:t>
      </w:r>
      <w:r w:rsidR="00E76D67">
        <w:t xml:space="preserve"> and, as such, underpin the integrity </w:t>
      </w:r>
      <w:r w:rsidR="0060101C">
        <w:t>and effectiveness of regulatory design</w:t>
      </w:r>
      <w:r w:rsidR="00E76D67">
        <w:t xml:space="preserve">. </w:t>
      </w:r>
    </w:p>
    <w:p w14:paraId="1E63245F" w14:textId="4B546318" w:rsidR="00AE1109" w:rsidRDefault="00E82C7C" w:rsidP="00A24389">
      <w:r>
        <w:t>T</w:t>
      </w:r>
      <w:r w:rsidR="00E76D67">
        <w:t xml:space="preserve">he Inspector–General </w:t>
      </w:r>
      <w:r>
        <w:t xml:space="preserve">will </w:t>
      </w:r>
      <w:r w:rsidR="0060101C">
        <w:t xml:space="preserve">adopt a </w:t>
      </w:r>
      <w:proofErr w:type="gramStart"/>
      <w:r>
        <w:t>principles</w:t>
      </w:r>
      <w:proofErr w:type="gramEnd"/>
      <w:r>
        <w:t xml:space="preserve">–based approach aligning with </w:t>
      </w:r>
      <w:r w:rsidR="00FD2B29">
        <w:t xml:space="preserve">good institutional design and the ACCC’s submission to inform </w:t>
      </w:r>
      <w:r w:rsidR="009E4079">
        <w:t xml:space="preserve">their </w:t>
      </w:r>
      <w:r w:rsidR="00FD2B29">
        <w:t>submissions to upcoming legislation reforms</w:t>
      </w:r>
      <w:r w:rsidR="00B005B2">
        <w:t xml:space="preserve"> </w:t>
      </w:r>
      <w:r w:rsidR="008F279C">
        <w:t>and reviews</w:t>
      </w:r>
      <w:r w:rsidR="00B005B2">
        <w:t>, when relevant. Of specific relevan</w:t>
      </w:r>
      <w:r w:rsidR="007E43F9">
        <w:t>ce</w:t>
      </w:r>
      <w:r w:rsidR="00B005B2">
        <w:t xml:space="preserve"> is </w:t>
      </w:r>
      <w:r w:rsidR="008F279C">
        <w:t xml:space="preserve">the imminent review of the Inspector–General’s powers that was an incoming Government election commitment, provide </w:t>
      </w:r>
      <w:r w:rsidR="00CB5B52">
        <w:t xml:space="preserve">appropriate </w:t>
      </w:r>
      <w:r w:rsidR="008F279C">
        <w:t>opportunit</w:t>
      </w:r>
      <w:r w:rsidR="005D04E1">
        <w:t>ies</w:t>
      </w:r>
      <w:r w:rsidR="008F279C">
        <w:t xml:space="preserve"> to </w:t>
      </w:r>
      <w:r w:rsidR="000D7078">
        <w:t>provide feedback and inform amendments</w:t>
      </w:r>
      <w:r w:rsidR="000123C6">
        <w:t xml:space="preserve"> relating to the Inspector–General’s functions, </w:t>
      </w:r>
      <w:proofErr w:type="gramStart"/>
      <w:r w:rsidR="000123C6">
        <w:t>powers</w:t>
      </w:r>
      <w:proofErr w:type="gramEnd"/>
      <w:r w:rsidR="000123C6">
        <w:t xml:space="preserve"> and portfolio arrangements.</w:t>
      </w:r>
    </w:p>
    <w:p w14:paraId="2F05882A" w14:textId="455F51E7" w:rsidR="007F3D87" w:rsidRPr="00016E20" w:rsidRDefault="00326944" w:rsidP="00A94315">
      <w:pPr>
        <w:pStyle w:val="Heading1"/>
        <w:pageBreakBefore w:val="0"/>
        <w:spacing w:after="360"/>
        <w:rPr>
          <w:sz w:val="36"/>
          <w:szCs w:val="16"/>
        </w:rPr>
      </w:pPr>
      <w:bookmarkStart w:id="4" w:name="_Toc136847601"/>
      <w:r>
        <w:rPr>
          <w:sz w:val="36"/>
          <w:szCs w:val="16"/>
        </w:rPr>
        <w:t>Role c</w:t>
      </w:r>
      <w:r w:rsidR="007F3D87" w:rsidRPr="00016E20">
        <w:rPr>
          <w:sz w:val="36"/>
          <w:szCs w:val="16"/>
        </w:rPr>
        <w:t>larity</w:t>
      </w:r>
      <w:bookmarkEnd w:id="4"/>
    </w:p>
    <w:p w14:paraId="6B8AE348" w14:textId="1EACF4A6" w:rsidR="007F3D87" w:rsidRDefault="00EA0C2A" w:rsidP="00E711B2">
      <w:r>
        <w:t xml:space="preserve">All submissions supported the Inspector–General taking steps through their Regulatory Policy to provide clarity around their roles and responsibilities. </w:t>
      </w:r>
      <w:r w:rsidR="002A709B">
        <w:t xml:space="preserve">The ACCC submission noted the complexity of </w:t>
      </w:r>
      <w:r w:rsidR="0044113D">
        <w:t>governance arrangements and institutional responsibilities makes it challenging to set out the Inspector–General’s role in a clear and simple way</w:t>
      </w:r>
      <w:r w:rsidR="005C6D7F">
        <w:t>.</w:t>
      </w:r>
    </w:p>
    <w:p w14:paraId="3D0B0000" w14:textId="738640B5" w:rsidR="00B129E4" w:rsidRDefault="000107B7" w:rsidP="00E711B2">
      <w:r>
        <w:lastRenderedPageBreak/>
        <w:t>The s</w:t>
      </w:r>
      <w:r w:rsidR="005C6D7F">
        <w:t xml:space="preserve">ubmissions </w:t>
      </w:r>
      <w:r>
        <w:t xml:space="preserve">made by Basin State governments </w:t>
      </w:r>
      <w:r w:rsidR="005C6D7F">
        <w:t>pointed to the need to provide clarity around the Inspector–General’s role with respect to them</w:t>
      </w:r>
      <w:r w:rsidR="00E2744A">
        <w:t xml:space="preserve"> and other Commonwealth agencies. </w:t>
      </w:r>
      <w:r w:rsidR="00B129E4">
        <w:t xml:space="preserve">The ACT Government and ACCC submissions noted the importance of role clarity for managing tensions in relations </w:t>
      </w:r>
      <w:r w:rsidR="009A7D68">
        <w:t>between the Inspector–General and other regulatory agencies.</w:t>
      </w:r>
    </w:p>
    <w:p w14:paraId="0BCFD51C" w14:textId="46074CE0" w:rsidR="00330141" w:rsidRDefault="009A7D68" w:rsidP="003E5908">
      <w:r>
        <w:t xml:space="preserve">The Inspector–General supports providing </w:t>
      </w:r>
      <w:r w:rsidR="003042AA">
        <w:t>greater clarity around their role compared to other Commonwealth agencies and with respect to Basin State agencies in the</w:t>
      </w:r>
      <w:r w:rsidR="00F805D9">
        <w:t>ir</w:t>
      </w:r>
      <w:r w:rsidR="003042AA">
        <w:t xml:space="preserve"> Regulatory Policy. The Inspector–General notes the </w:t>
      </w:r>
      <w:r w:rsidR="00D16AA3">
        <w:t xml:space="preserve">Department of Planning </w:t>
      </w:r>
      <w:r w:rsidR="00FA6BFB">
        <w:t>and Environment (NSW</w:t>
      </w:r>
      <w:r w:rsidR="00850E7F">
        <w:t xml:space="preserve"> Government</w:t>
      </w:r>
      <w:r w:rsidR="00FA6BFB">
        <w:t>) suggested a diagrammatic representation of Commonwealth agencies</w:t>
      </w:r>
      <w:r w:rsidR="00E65D59">
        <w:t xml:space="preserve"> </w:t>
      </w:r>
      <w:proofErr w:type="gramStart"/>
      <w:r w:rsidR="003042AA">
        <w:t>similar to</w:t>
      </w:r>
      <w:proofErr w:type="gramEnd"/>
      <w:r w:rsidR="003042AA">
        <w:t xml:space="preserve"> NSW water management agencies and considers this would be a </w:t>
      </w:r>
      <w:r w:rsidR="00F82A8F">
        <w:t xml:space="preserve">useful communication tool. The Inspector–General considers a </w:t>
      </w:r>
      <w:r w:rsidR="00B519A9">
        <w:t xml:space="preserve">similar representation could aid in understanding the Inspector–General’s role </w:t>
      </w:r>
      <w:r w:rsidR="00AF62C3">
        <w:t>in the Commonwealth context</w:t>
      </w:r>
      <w:r w:rsidR="001E66FB">
        <w:t xml:space="preserve">. </w:t>
      </w:r>
    </w:p>
    <w:p w14:paraId="78FEE266" w14:textId="4544A825" w:rsidR="00B21DAC" w:rsidRDefault="0007588A" w:rsidP="00E711B2">
      <w:r>
        <w:t>The Department of Regional Development, Manufacturing and Water (Qld</w:t>
      </w:r>
      <w:r w:rsidR="00850E7F">
        <w:t xml:space="preserve"> Government</w:t>
      </w:r>
      <w:r>
        <w:t>)</w:t>
      </w:r>
      <w:r w:rsidR="00707824">
        <w:t xml:space="preserve"> and </w:t>
      </w:r>
      <w:r w:rsidR="006A59CF" w:rsidRPr="006A59CF">
        <w:t>Department of Energy, Environment and Climate Change (</w:t>
      </w:r>
      <w:r w:rsidR="006A59CF">
        <w:t>Vic</w:t>
      </w:r>
      <w:r w:rsidR="00850E7F">
        <w:t xml:space="preserve"> Government</w:t>
      </w:r>
      <w:r w:rsidR="006A59CF" w:rsidRPr="006A59CF">
        <w:t>)</w:t>
      </w:r>
      <w:r w:rsidR="006A59CF">
        <w:t xml:space="preserve"> </w:t>
      </w:r>
      <w:r w:rsidR="004413EA">
        <w:t xml:space="preserve">pointed to the need </w:t>
      </w:r>
      <w:r>
        <w:t xml:space="preserve">for the Regulatory Policy to </w:t>
      </w:r>
      <w:r w:rsidR="00466123">
        <w:t xml:space="preserve">expressly commit to the Inspector–General avoiding duplication of </w:t>
      </w:r>
      <w:r w:rsidR="00850E7F">
        <w:t xml:space="preserve">activities with Basin States. </w:t>
      </w:r>
      <w:r w:rsidR="002E04B0">
        <w:t xml:space="preserve">The ACCC submission flagged the importance of clarity and avoidance of duplication of roles </w:t>
      </w:r>
      <w:r w:rsidR="00F8674E">
        <w:t>for the effectiveness of legislative frameworks.</w:t>
      </w:r>
    </w:p>
    <w:p w14:paraId="15F567D7" w14:textId="77777777" w:rsidR="00BF71B3" w:rsidRDefault="00E02794" w:rsidP="00E711B2">
      <w:r>
        <w:t xml:space="preserve">The Inspector–General </w:t>
      </w:r>
      <w:r w:rsidR="00EC6A4B">
        <w:t>supports being clearer on their role and responsibilities compared to Basin State agencies in their Regulatory Policy</w:t>
      </w:r>
      <w:r w:rsidR="00D14BA9">
        <w:t xml:space="preserve">. </w:t>
      </w:r>
      <w:r w:rsidR="00B21DAC">
        <w:t xml:space="preserve">The Inspector–General also considers the Regulatory Policy could, relevantly, provide guidance around triggers for </w:t>
      </w:r>
      <w:r w:rsidR="007301F5">
        <w:t xml:space="preserve">the performance of relevant regulatory activities, such as pursuing water take offences under the Water Act. </w:t>
      </w:r>
    </w:p>
    <w:p w14:paraId="0896C988" w14:textId="3FF9D7AD" w:rsidR="00C875FC" w:rsidRDefault="00C875FC" w:rsidP="00C875FC">
      <w:r>
        <w:t>The Inspector–General notes the importance of simply communicating through the Regulatory Policy the distinction between Basin States’ and the Inspector–General’s jurisdictions where:</w:t>
      </w:r>
    </w:p>
    <w:p w14:paraId="1BBE22E0" w14:textId="77777777" w:rsidR="00C875FC" w:rsidRDefault="00C875FC" w:rsidP="00C875FC">
      <w:pPr>
        <w:pStyle w:val="ListBullet"/>
      </w:pPr>
      <w:r>
        <w:t xml:space="preserve">Basin State agencies are responsible for administering and enforcing relevant state or territory water </w:t>
      </w:r>
      <w:proofErr w:type="gramStart"/>
      <w:r>
        <w:t>laws</w:t>
      </w:r>
      <w:proofErr w:type="gramEnd"/>
    </w:p>
    <w:p w14:paraId="684CB541" w14:textId="7D32972A" w:rsidR="00C875FC" w:rsidRDefault="00C875FC" w:rsidP="00C875FC">
      <w:pPr>
        <w:pStyle w:val="ListBullet"/>
      </w:pPr>
      <w:r>
        <w:t>The Inspector–General is responsible for ensuring the Basin State agencies do so consistently with the national framework, relevantly the</w:t>
      </w:r>
      <w:r w:rsidR="00C251A9">
        <w:t xml:space="preserve"> Water Act,</w:t>
      </w:r>
      <w:r>
        <w:t xml:space="preserve"> Basin </w:t>
      </w:r>
      <w:proofErr w:type="gramStart"/>
      <w:r>
        <w:t>Plan</w:t>
      </w:r>
      <w:proofErr w:type="gramEnd"/>
      <w:r>
        <w:t xml:space="preserve"> and relevant water resource plans.</w:t>
      </w:r>
    </w:p>
    <w:p w14:paraId="23DDD1F0" w14:textId="459F31C8" w:rsidR="00BF71B3" w:rsidRDefault="00540E88" w:rsidP="00E711B2">
      <w:r>
        <w:t>T</w:t>
      </w:r>
      <w:r w:rsidR="005F4E14">
        <w:t xml:space="preserve">he Memorandum of Understanding with Basin State compliance regulators </w:t>
      </w:r>
      <w:r w:rsidR="00D14BA9">
        <w:t xml:space="preserve">is </w:t>
      </w:r>
      <w:r w:rsidR="005F4E14">
        <w:t xml:space="preserve">the appropriate process through which to explore how </w:t>
      </w:r>
      <w:r w:rsidR="00D14BA9">
        <w:t xml:space="preserve">the Inspector–General and Basin State compliance agencies will </w:t>
      </w:r>
      <w:r w:rsidR="00FF4A3C">
        <w:t>work together in a practical sense</w:t>
      </w:r>
      <w:r w:rsidR="00BF71B3">
        <w:t xml:space="preserve">. The Inspector–General considers this is consistent with the collaborative approach </w:t>
      </w:r>
      <w:r w:rsidR="003357B5">
        <w:t>welcomed in the NSW Government, Qld Government and Vic Government submissions.</w:t>
      </w:r>
    </w:p>
    <w:p w14:paraId="136684F8" w14:textId="77777777" w:rsidR="00954A4F" w:rsidRDefault="00850E7F" w:rsidP="007B0891">
      <w:r>
        <w:t xml:space="preserve">The NSW Government </w:t>
      </w:r>
      <w:r w:rsidR="00E02794">
        <w:t>submission</w:t>
      </w:r>
      <w:r w:rsidR="00470F0A">
        <w:t xml:space="preserve"> noted the importance of consistent advice being provided across </w:t>
      </w:r>
      <w:r w:rsidR="007B0891">
        <w:t xml:space="preserve">Commonwealth agencies and recommended the Regulatory Policy clarify how </w:t>
      </w:r>
      <w:r w:rsidR="006F0D99" w:rsidRPr="006F0D99">
        <w:t>consistent advice and approaches can be provided across the Commonwealth with respect to Basin states and their management of Basin water resources.</w:t>
      </w:r>
      <w:r w:rsidR="007B0891">
        <w:t xml:space="preserve"> </w:t>
      </w:r>
    </w:p>
    <w:p w14:paraId="4BCEFFC2" w14:textId="6D1DA1E4" w:rsidR="00954A4F" w:rsidRDefault="00E519C2" w:rsidP="007B0891">
      <w:r>
        <w:t xml:space="preserve">The Inspector–General notes that the Regulatory Policy only applies in how the Inspector–General </w:t>
      </w:r>
      <w:r w:rsidR="005A74C5">
        <w:t xml:space="preserve">performs their regulatory functions. As such, the Inspector–General will provide </w:t>
      </w:r>
      <w:r w:rsidR="00ED1C10">
        <w:t xml:space="preserve">high level </w:t>
      </w:r>
      <w:r w:rsidR="005A74C5">
        <w:t xml:space="preserve">guidance around how they </w:t>
      </w:r>
      <w:r w:rsidR="00C15205">
        <w:t>engage with other Commonwealth agencies</w:t>
      </w:r>
      <w:r w:rsidR="00353BCE">
        <w:t xml:space="preserve"> on matters </w:t>
      </w:r>
      <w:r w:rsidR="00C15205">
        <w:t>that cut across multiple agencies’ roles and responsibilities</w:t>
      </w:r>
      <w:r w:rsidR="009376CB">
        <w:t xml:space="preserve"> in the Regulatory Policy</w:t>
      </w:r>
      <w:r w:rsidR="00C15205">
        <w:t xml:space="preserve">. </w:t>
      </w:r>
    </w:p>
    <w:p w14:paraId="0A47FD6C" w14:textId="4AFEDC0F" w:rsidR="000D3E66" w:rsidRDefault="00C15205" w:rsidP="007B0891">
      <w:r>
        <w:t xml:space="preserve">However, the Inspector–General </w:t>
      </w:r>
      <w:r w:rsidR="00DA5598">
        <w:t xml:space="preserve">recognises </w:t>
      </w:r>
      <w:r w:rsidR="009723D5">
        <w:t xml:space="preserve">the need to maintain </w:t>
      </w:r>
      <w:r w:rsidR="00153E97">
        <w:t xml:space="preserve">the independence of </w:t>
      </w:r>
      <w:r w:rsidR="00DA5598">
        <w:t xml:space="preserve">Commonwealth </w:t>
      </w:r>
      <w:r w:rsidR="00153E97">
        <w:t xml:space="preserve">agencies, including the Inspector–General’s </w:t>
      </w:r>
      <w:r w:rsidR="00FB2E6D">
        <w:t xml:space="preserve">own </w:t>
      </w:r>
      <w:r w:rsidR="00153E97">
        <w:t>independence</w:t>
      </w:r>
      <w:r w:rsidR="009723D5">
        <w:t xml:space="preserve">. Committing to </w:t>
      </w:r>
      <w:r w:rsidR="00FB2E6D">
        <w:t xml:space="preserve">the provision of </w:t>
      </w:r>
      <w:r w:rsidR="00CC4E01">
        <w:t xml:space="preserve">consistent advice from all Commonwealth agencies, particularly where differences may arise due to </w:t>
      </w:r>
      <w:r w:rsidR="006C22B0">
        <w:t xml:space="preserve">distinctions in the nature, </w:t>
      </w:r>
      <w:proofErr w:type="gramStart"/>
      <w:r w:rsidR="006C22B0">
        <w:t>role</w:t>
      </w:r>
      <w:proofErr w:type="gramEnd"/>
      <w:r w:rsidR="006C22B0">
        <w:t xml:space="preserve"> and responsibilities of different agencies</w:t>
      </w:r>
      <w:r w:rsidR="00057953">
        <w:t>, would therefore be inappropriate</w:t>
      </w:r>
      <w:r w:rsidR="006C22B0">
        <w:t>.</w:t>
      </w:r>
    </w:p>
    <w:p w14:paraId="2992EB96" w14:textId="27916295" w:rsidR="002F66A0" w:rsidRDefault="002F66A0" w:rsidP="002F66A0">
      <w:pPr>
        <w:pStyle w:val="Heading3"/>
      </w:pPr>
      <w:bookmarkStart w:id="5" w:name="_Toc136847602"/>
      <w:r>
        <w:t>Jurisdiction in relation to non-water government agencies</w:t>
      </w:r>
      <w:bookmarkEnd w:id="5"/>
    </w:p>
    <w:p w14:paraId="2EA3E644" w14:textId="0AF13066" w:rsidR="002F66A0" w:rsidRDefault="00F8674E" w:rsidP="00E711B2">
      <w:r>
        <w:t>With respect to non-water government agencies, the ACT Government submission warned against being</w:t>
      </w:r>
      <w:r w:rsidR="00EC31C8">
        <w:t xml:space="preserve"> too expansi</w:t>
      </w:r>
      <w:r w:rsidR="009376CB">
        <w:t xml:space="preserve">ve in the use of </w:t>
      </w:r>
      <w:r w:rsidR="00EC31C8">
        <w:t xml:space="preserve">the Inspector–General’s </w:t>
      </w:r>
      <w:r w:rsidR="00204675">
        <w:t xml:space="preserve">powers. The ACT </w:t>
      </w:r>
      <w:r w:rsidR="00204675">
        <w:lastRenderedPageBreak/>
        <w:t xml:space="preserve">Government </w:t>
      </w:r>
      <w:r w:rsidR="001B1D26">
        <w:t xml:space="preserve">cautioned </w:t>
      </w:r>
      <w:r w:rsidR="00204675">
        <w:t>this may be an over-reach of responsibilities in a way that is not supported by the legislation.</w:t>
      </w:r>
    </w:p>
    <w:p w14:paraId="008C33C3" w14:textId="6E3470A6" w:rsidR="00C276E0" w:rsidRDefault="00C276E0" w:rsidP="00E711B2">
      <w:r>
        <w:t xml:space="preserve">The Inspector–General notes the concerns raised by the ACT Government and agrees </w:t>
      </w:r>
      <w:r w:rsidR="00A719EE">
        <w:t>their role</w:t>
      </w:r>
      <w:r w:rsidR="00D76EF4">
        <w:t>, particularly in</w:t>
      </w:r>
      <w:r w:rsidR="00A719EE">
        <w:t xml:space="preserve"> respect to non-water government agencies</w:t>
      </w:r>
      <w:r w:rsidR="00D76EF4">
        <w:t>,</w:t>
      </w:r>
      <w:r w:rsidR="00A719EE">
        <w:t xml:space="preserve"> requires refinement. </w:t>
      </w:r>
      <w:r w:rsidR="00900BD0">
        <w:t>Relevantly, the Inspector–General considers their role with respect to non-water government agencies is limited</w:t>
      </w:r>
      <w:r w:rsidR="00BE20A7">
        <w:t xml:space="preserve"> to</w:t>
      </w:r>
      <w:r w:rsidR="00D3052D">
        <w:t xml:space="preserve"> where </w:t>
      </w:r>
      <w:r w:rsidR="00D3052D" w:rsidRPr="00B427AF">
        <w:t xml:space="preserve">the </w:t>
      </w:r>
      <w:r w:rsidR="00BE20A7">
        <w:t xml:space="preserve">non-water agency performs </w:t>
      </w:r>
      <w:r w:rsidR="00D3052D" w:rsidRPr="00B427AF">
        <w:t xml:space="preserve">activities </w:t>
      </w:r>
      <w:r w:rsidR="00BE20A7">
        <w:t xml:space="preserve">that </w:t>
      </w:r>
      <w:r w:rsidR="00D3052D" w:rsidRPr="00B427AF">
        <w:t>detrimentally affect Basin water resources</w:t>
      </w:r>
      <w:r w:rsidR="005D5DC6">
        <w:t>. In this context, the Inspector–General may</w:t>
      </w:r>
      <w:r w:rsidR="00D3052D" w:rsidRPr="00B427AF">
        <w:t xml:space="preserve"> make </w:t>
      </w:r>
      <w:r w:rsidR="005D5DC6">
        <w:t xml:space="preserve">findings and </w:t>
      </w:r>
      <w:r w:rsidR="00D3052D" w:rsidRPr="00B427AF">
        <w:t xml:space="preserve">recommendations relating to </w:t>
      </w:r>
      <w:r w:rsidR="005D5DC6">
        <w:t xml:space="preserve">the performance of </w:t>
      </w:r>
      <w:r w:rsidR="00D3052D" w:rsidRPr="00B427AF">
        <w:t>those activities, but the activities themselves are not subject to the Inspector-General’s jurisdiction.</w:t>
      </w:r>
    </w:p>
    <w:p w14:paraId="73FFFB40" w14:textId="38079D59" w:rsidR="00D32B5E" w:rsidRDefault="00D32B5E" w:rsidP="00D32B5E">
      <w:pPr>
        <w:pStyle w:val="Heading3"/>
      </w:pPr>
      <w:bookmarkStart w:id="6" w:name="_Toc136847603"/>
      <w:r>
        <w:t>Jurisdiction over Snowy Hydro Limited</w:t>
      </w:r>
      <w:bookmarkEnd w:id="6"/>
    </w:p>
    <w:p w14:paraId="152A2F36" w14:textId="5AC9D538" w:rsidR="00D32B5E" w:rsidRDefault="005C6471" w:rsidP="00E711B2">
      <w:r>
        <w:t xml:space="preserve">The Snowy Hydro Limited submission </w:t>
      </w:r>
      <w:r w:rsidR="00DB1C08">
        <w:t xml:space="preserve">clarified </w:t>
      </w:r>
      <w:r>
        <w:t xml:space="preserve">its operations and </w:t>
      </w:r>
      <w:r w:rsidR="006814B2">
        <w:t xml:space="preserve">licensing </w:t>
      </w:r>
      <w:r w:rsidR="00DB1C08">
        <w:t xml:space="preserve">arrangements, </w:t>
      </w:r>
      <w:r w:rsidR="001E5272">
        <w:t xml:space="preserve">with flow–through </w:t>
      </w:r>
      <w:r w:rsidR="00DB1C08">
        <w:t xml:space="preserve">implications for the </w:t>
      </w:r>
      <w:r w:rsidR="001E5272">
        <w:t xml:space="preserve">application of the Inspector–General’s functions and powers. The ACT Government submission </w:t>
      </w:r>
      <w:r w:rsidR="00860CEB">
        <w:t xml:space="preserve">requested the Inspector–General consider the extent of </w:t>
      </w:r>
      <w:r w:rsidR="00E53F03">
        <w:t xml:space="preserve">their role </w:t>
      </w:r>
      <w:r w:rsidR="00E53F03" w:rsidRPr="00D32B5E">
        <w:t xml:space="preserve">and powers </w:t>
      </w:r>
      <w:r w:rsidR="00AF680C">
        <w:t xml:space="preserve">with respect to </w:t>
      </w:r>
      <w:r w:rsidR="00E53F03" w:rsidRPr="00D32B5E">
        <w:t>Snowy Hydro</w:t>
      </w:r>
      <w:r w:rsidR="00AF680C">
        <w:t xml:space="preserve"> Limited.</w:t>
      </w:r>
    </w:p>
    <w:p w14:paraId="3FAF4098" w14:textId="322A60E8" w:rsidR="00BC2D10" w:rsidRDefault="00AF680C" w:rsidP="00E711B2">
      <w:r>
        <w:t xml:space="preserve">The Inspector–General </w:t>
      </w:r>
      <w:r w:rsidR="00D55AFE">
        <w:t xml:space="preserve">Snowy Hydro Limited </w:t>
      </w:r>
      <w:r w:rsidR="001F78C1">
        <w:t>is</w:t>
      </w:r>
      <w:r w:rsidR="006112CC">
        <w:t xml:space="preserve"> both an agency of the Commonwealth </w:t>
      </w:r>
      <w:r w:rsidR="002645C1">
        <w:t xml:space="preserve">for the purposes of the Water Act </w:t>
      </w:r>
      <w:r w:rsidR="006112CC">
        <w:t xml:space="preserve">and </w:t>
      </w:r>
      <w:r w:rsidR="004D786B">
        <w:t xml:space="preserve">a </w:t>
      </w:r>
      <w:r w:rsidR="004D786B" w:rsidRPr="004D786B">
        <w:t xml:space="preserve">holder of a water access right, being the licence </w:t>
      </w:r>
      <w:r w:rsidR="002A663B">
        <w:t xml:space="preserve">issued under Part 5 of the </w:t>
      </w:r>
      <w:r w:rsidR="00E10F14" w:rsidRPr="00E10F14">
        <w:rPr>
          <w:i/>
          <w:iCs/>
        </w:rPr>
        <w:t>Snowy Hydro Corporatisation Act 1997</w:t>
      </w:r>
      <w:r w:rsidR="00E10F14" w:rsidRPr="00E10F14">
        <w:t xml:space="preserve"> (NSW)</w:t>
      </w:r>
      <w:r w:rsidR="00E10F14">
        <w:t>.</w:t>
      </w:r>
      <w:r w:rsidR="00E10F14" w:rsidRPr="00E10F14">
        <w:t xml:space="preserve"> </w:t>
      </w:r>
      <w:r w:rsidR="00305DE0">
        <w:t xml:space="preserve">As an agency of the Commonwealth, Snowy Hydro Limited has functions conferred under the Water Act, including functions conferred in relation to </w:t>
      </w:r>
      <w:r w:rsidR="00A60AFB">
        <w:t xml:space="preserve">acting consistently with the </w:t>
      </w:r>
      <w:r w:rsidR="00BC2D10">
        <w:t xml:space="preserve">Basin Plan and/ or water resource plans. </w:t>
      </w:r>
      <w:r w:rsidR="007F73E7">
        <w:t>The Water Act applies to Snowy Hydro Limited a</w:t>
      </w:r>
      <w:r w:rsidR="00BC2D10">
        <w:t>s a holder of a water access entitlement</w:t>
      </w:r>
      <w:r w:rsidR="009B711C">
        <w:t xml:space="preserve">, and this </w:t>
      </w:r>
      <w:r w:rsidR="002C0F28">
        <w:t>application is in addition to the functions conferred under the Water Act.</w:t>
      </w:r>
    </w:p>
    <w:p w14:paraId="24AD0B7B" w14:textId="7FA344B9" w:rsidR="001F78C1" w:rsidRDefault="00487CF3" w:rsidP="00E711B2">
      <w:r>
        <w:t xml:space="preserve">The Inspector–General </w:t>
      </w:r>
      <w:r w:rsidR="00E10F14">
        <w:t xml:space="preserve">recognises </w:t>
      </w:r>
      <w:r w:rsidR="00717588">
        <w:t xml:space="preserve">that the performance of their functions and exercise of their powers with respect to Snowy Hydro Limited will </w:t>
      </w:r>
      <w:r w:rsidR="00772428">
        <w:t xml:space="preserve">therefore </w:t>
      </w:r>
      <w:r w:rsidR="00717588">
        <w:t xml:space="preserve">be </w:t>
      </w:r>
      <w:r w:rsidR="00772428">
        <w:t xml:space="preserve">informed by the </w:t>
      </w:r>
      <w:r w:rsidR="00430EC6">
        <w:t xml:space="preserve">matters relevant to the </w:t>
      </w:r>
      <w:r w:rsidR="00772428">
        <w:t xml:space="preserve">specific </w:t>
      </w:r>
      <w:r w:rsidR="00082522" w:rsidRPr="00082522">
        <w:t xml:space="preserve">occasion </w:t>
      </w:r>
      <w:r w:rsidR="005C66B0">
        <w:t xml:space="preserve">and, as such, is not suitable for clarifying </w:t>
      </w:r>
      <w:r w:rsidR="005915A7">
        <w:t>in their Regulatory Policy</w:t>
      </w:r>
      <w:r w:rsidR="00E863C5">
        <w:t xml:space="preserve">. </w:t>
      </w:r>
      <w:r w:rsidR="009D33CE">
        <w:t xml:space="preserve"> </w:t>
      </w:r>
    </w:p>
    <w:p w14:paraId="3F7D6E97" w14:textId="51E3C284" w:rsidR="00820BB2" w:rsidRDefault="00820BB2" w:rsidP="00820BB2">
      <w:pPr>
        <w:pStyle w:val="Heading3"/>
      </w:pPr>
      <w:bookmarkStart w:id="7" w:name="_Toc136847604"/>
      <w:r>
        <w:t>Limitations around Inspector-General’s jurisdiction</w:t>
      </w:r>
      <w:bookmarkEnd w:id="7"/>
    </w:p>
    <w:p w14:paraId="219D39C1" w14:textId="429A2FCB" w:rsidR="00820BB2" w:rsidRDefault="001E0F95" w:rsidP="00820BB2">
      <w:r>
        <w:t xml:space="preserve">The ACT Government </w:t>
      </w:r>
      <w:r w:rsidR="00735885">
        <w:t>raised the importance of the Inspector–General having appropriate regulatory scope</w:t>
      </w:r>
      <w:r w:rsidR="00EA7464">
        <w:t xml:space="preserve"> to perform their functions and noted there may be unintended effects from legislated exclusions </w:t>
      </w:r>
      <w:r w:rsidR="00D6293A">
        <w:t xml:space="preserve">for the effectiveness of those functions. The </w:t>
      </w:r>
      <w:r w:rsidR="00D03AC8">
        <w:t xml:space="preserve">Murray–Darling Basin Authority (MDBA) submission also flagged the </w:t>
      </w:r>
      <w:r w:rsidR="007A1306">
        <w:t>value in clarifying the Inspector–General’s jurisdiction with respect to the Murray–Darling Basin Agreement.</w:t>
      </w:r>
    </w:p>
    <w:p w14:paraId="71C634C7" w14:textId="7F02219F" w:rsidR="000248BC" w:rsidRDefault="00022F4B" w:rsidP="00820BB2">
      <w:r>
        <w:t xml:space="preserve">With respect to the implications of legislated exclusions, the Inspector–General notes that </w:t>
      </w:r>
      <w:r w:rsidR="008044EB">
        <w:t xml:space="preserve">these reflect decisions of </w:t>
      </w:r>
      <w:proofErr w:type="gramStart"/>
      <w:r w:rsidR="008044EB">
        <w:t>policy–makers</w:t>
      </w:r>
      <w:proofErr w:type="gramEnd"/>
      <w:r w:rsidR="008044EB">
        <w:t xml:space="preserve"> and </w:t>
      </w:r>
      <w:r w:rsidR="001355F5">
        <w:t>legislators and the Inspector–General</w:t>
      </w:r>
      <w:r w:rsidR="00904C20">
        <w:t xml:space="preserve"> does not have the</w:t>
      </w:r>
      <w:r w:rsidR="001355F5">
        <w:t xml:space="preserve"> discretion to amend or vary</w:t>
      </w:r>
      <w:r w:rsidR="00904C20">
        <w:t xml:space="preserve"> what is included in the legislation</w:t>
      </w:r>
      <w:r w:rsidR="008044EB">
        <w:t xml:space="preserve">. In line with the Commonwealth’s stewardship model, the Inspector–General will </w:t>
      </w:r>
      <w:r w:rsidR="00E337AC">
        <w:t>bring the implications of those exclusions to relevant decision–makers’ attention</w:t>
      </w:r>
      <w:r w:rsidR="000248BC">
        <w:t>, where appropriate, for example:</w:t>
      </w:r>
    </w:p>
    <w:p w14:paraId="478173AA" w14:textId="77777777" w:rsidR="000248BC" w:rsidRDefault="000248BC" w:rsidP="000248BC">
      <w:pPr>
        <w:pStyle w:val="ListBullet"/>
      </w:pPr>
      <w:r>
        <w:t>T</w:t>
      </w:r>
      <w:r w:rsidR="00E337AC">
        <w:t xml:space="preserve">hrough legislative reform processes </w:t>
      </w:r>
    </w:p>
    <w:p w14:paraId="52D902DF" w14:textId="704116B3" w:rsidR="000248BC" w:rsidRDefault="000248BC" w:rsidP="000248BC">
      <w:pPr>
        <w:pStyle w:val="ListBullet"/>
      </w:pPr>
      <w:r>
        <w:t>D</w:t>
      </w:r>
      <w:r w:rsidR="00E337AC">
        <w:t>uring reviews, such as the imminent review of the Inspector–General</w:t>
      </w:r>
      <w:r w:rsidR="00924B94">
        <w:t>’s powers</w:t>
      </w:r>
    </w:p>
    <w:p w14:paraId="7217F68C" w14:textId="5B9E41D7" w:rsidR="0076513C" w:rsidRDefault="0076513C" w:rsidP="000248BC">
      <w:pPr>
        <w:pStyle w:val="ListBullet"/>
      </w:pPr>
      <w:r>
        <w:t xml:space="preserve">In correspondence with the </w:t>
      </w:r>
      <w:r w:rsidR="00390883">
        <w:t xml:space="preserve">Commonwealth Water </w:t>
      </w:r>
      <w:r>
        <w:t>Minister</w:t>
      </w:r>
    </w:p>
    <w:p w14:paraId="193CA8C0" w14:textId="3B309F4C" w:rsidR="007A1306" w:rsidRDefault="0065140A" w:rsidP="000248BC">
      <w:pPr>
        <w:pStyle w:val="ListBullet"/>
      </w:pPr>
      <w:r>
        <w:t xml:space="preserve">In </w:t>
      </w:r>
      <w:r w:rsidR="00632566">
        <w:t>discussions with</w:t>
      </w:r>
      <w:r>
        <w:t xml:space="preserve"> the Murray–Darling Basin Ministerial Council.</w:t>
      </w:r>
    </w:p>
    <w:p w14:paraId="25D2ECBB" w14:textId="72B0EF8A" w:rsidR="0065140A" w:rsidRDefault="0065140A" w:rsidP="00820BB2">
      <w:r>
        <w:t xml:space="preserve">In relation to the Murray–Darling Basin Agreement, the Inspector–General notes </w:t>
      </w:r>
      <w:r w:rsidR="0006600F">
        <w:t xml:space="preserve">it is referenced in </w:t>
      </w:r>
      <w:r w:rsidR="00520E6B">
        <w:t xml:space="preserve">the </w:t>
      </w:r>
      <w:r w:rsidR="0006600F">
        <w:t xml:space="preserve">substantive </w:t>
      </w:r>
      <w:r w:rsidR="00520E6B">
        <w:t>Water Act and the Agreement itself</w:t>
      </w:r>
      <w:r w:rsidR="00822586">
        <w:t xml:space="preserve"> is set out as a schedule to the Water Act</w:t>
      </w:r>
      <w:r w:rsidR="0006600F">
        <w:t xml:space="preserve">. </w:t>
      </w:r>
      <w:r w:rsidR="005562C1">
        <w:t>This means the Agreement is</w:t>
      </w:r>
      <w:r w:rsidR="00387BBE">
        <w:t xml:space="preserve">, itself, not under the Inspector-General’s jurisdiction, but </w:t>
      </w:r>
      <w:r w:rsidR="00517AA6">
        <w:t>does</w:t>
      </w:r>
      <w:r w:rsidR="00827E39">
        <w:t xml:space="preserve">, in part, inform </w:t>
      </w:r>
      <w:r w:rsidR="00CB359E">
        <w:t>the legislati</w:t>
      </w:r>
      <w:r w:rsidR="000A1C8F">
        <w:t xml:space="preserve">ve construct </w:t>
      </w:r>
      <w:r w:rsidR="00CB359E">
        <w:t>the Inspector-General regulates</w:t>
      </w:r>
      <w:r w:rsidR="000A1C8F">
        <w:t xml:space="preserve"> and applies</w:t>
      </w:r>
      <w:r w:rsidR="00CB359E">
        <w:t xml:space="preserve">. </w:t>
      </w:r>
      <w:r w:rsidR="00822586">
        <w:t xml:space="preserve">This </w:t>
      </w:r>
      <w:r w:rsidR="00C724EE">
        <w:t xml:space="preserve">creates some complexity around the Inspector–General’s jurisdiction with respect to the Agreement, which </w:t>
      </w:r>
      <w:r w:rsidR="00F24506">
        <w:t xml:space="preserve">the Inspector–General will raise through appropriate </w:t>
      </w:r>
      <w:r w:rsidR="00205C42">
        <w:t>processes</w:t>
      </w:r>
      <w:r w:rsidR="00F24506">
        <w:t xml:space="preserve"> and forums</w:t>
      </w:r>
      <w:r w:rsidR="00205C42">
        <w:t>, along with other legislated exclusions</w:t>
      </w:r>
      <w:r w:rsidR="0003323A">
        <w:t xml:space="preserve"> and relevant </w:t>
      </w:r>
      <w:r w:rsidR="00F13E5C">
        <w:t>intergovernmental agreements</w:t>
      </w:r>
      <w:r w:rsidR="00205C42">
        <w:t>.</w:t>
      </w:r>
    </w:p>
    <w:p w14:paraId="78CA211C" w14:textId="7E5604DB" w:rsidR="00205C42" w:rsidRDefault="00E86540" w:rsidP="00E86540">
      <w:pPr>
        <w:pStyle w:val="Heading3"/>
      </w:pPr>
      <w:bookmarkStart w:id="8" w:name="_Toc136847605"/>
      <w:r>
        <w:lastRenderedPageBreak/>
        <w:t>Jurisdiction over expired agreements</w:t>
      </w:r>
      <w:bookmarkEnd w:id="8"/>
    </w:p>
    <w:p w14:paraId="76213DDB" w14:textId="1C864870" w:rsidR="00E86540" w:rsidRDefault="00E86540" w:rsidP="00820BB2">
      <w:r>
        <w:t xml:space="preserve">The MDBA submission noted that expired agreements are listed in the </w:t>
      </w:r>
      <w:r w:rsidR="003B3E05">
        <w:t xml:space="preserve">Water Act as being subject to the Inspector–General’s oversight. The MDBA </w:t>
      </w:r>
      <w:r w:rsidR="001664ED">
        <w:t xml:space="preserve">considered </w:t>
      </w:r>
      <w:r w:rsidR="002C6921">
        <w:t xml:space="preserve">there </w:t>
      </w:r>
      <w:r w:rsidR="003A2410">
        <w:t xml:space="preserve">may be </w:t>
      </w:r>
      <w:r w:rsidR="002C6921">
        <w:t>scope to revisit the inclusion of expired agreements</w:t>
      </w:r>
      <w:r w:rsidR="001664ED">
        <w:t>.</w:t>
      </w:r>
    </w:p>
    <w:p w14:paraId="54BD37EA" w14:textId="4086C932" w:rsidR="00A06101" w:rsidRDefault="001664ED" w:rsidP="00820BB2">
      <w:r>
        <w:t xml:space="preserve">The Inspector–General notes that </w:t>
      </w:r>
      <w:r w:rsidR="00766C8F">
        <w:t xml:space="preserve">this is something that could be pursued by the MDBA through relevant reform processes. From the Inspector–General’s perspective, </w:t>
      </w:r>
      <w:r w:rsidR="00AA3BF9">
        <w:t xml:space="preserve">whether an intergovernmental agreement remains relevant to the performance of their functions is a more important consideration than </w:t>
      </w:r>
      <w:r w:rsidR="00E92636">
        <w:t xml:space="preserve">the agreement </w:t>
      </w:r>
      <w:r w:rsidR="00EB1D9A">
        <w:t xml:space="preserve">being </w:t>
      </w:r>
      <w:r w:rsidR="00AA3BF9">
        <w:t>expired.</w:t>
      </w:r>
      <w:r w:rsidR="008D5D81">
        <w:t xml:space="preserve"> </w:t>
      </w:r>
    </w:p>
    <w:p w14:paraId="7B49A5AB" w14:textId="1A31F27A" w:rsidR="00ED7BEC" w:rsidRDefault="00E92636" w:rsidP="001C5529">
      <w:r>
        <w:t>For example, w</w:t>
      </w:r>
      <w:r w:rsidR="008D5D81">
        <w:t xml:space="preserve">here the implementation of commitments in those agreements underpin the operation of the national framework or </w:t>
      </w:r>
      <w:r w:rsidR="009A7E8D">
        <w:t xml:space="preserve">affect </w:t>
      </w:r>
      <w:r w:rsidR="00195782">
        <w:t>the delivery of intended outcomes from the national framework</w:t>
      </w:r>
      <w:r w:rsidR="009A7E8D">
        <w:t>,</w:t>
      </w:r>
      <w:r w:rsidR="00195782">
        <w:t xml:space="preserve"> </w:t>
      </w:r>
      <w:r w:rsidR="009A7E8D">
        <w:t>they remain relevant to the Inspector–General’s functions.</w:t>
      </w:r>
      <w:r w:rsidR="00A06101">
        <w:t xml:space="preserve"> This is because those agreements </w:t>
      </w:r>
      <w:r w:rsidR="005D2DFC">
        <w:t xml:space="preserve">form part of the broader arrangements supporting the </w:t>
      </w:r>
      <w:r w:rsidR="00511DB3">
        <w:t xml:space="preserve">integrated management of Basin water resources under the national framework. As such, </w:t>
      </w:r>
      <w:r w:rsidR="00904EA7">
        <w:t>it is relevant for the Inspector–General to consider whether commitments have been implemented</w:t>
      </w:r>
      <w:r w:rsidR="001C5529">
        <w:t xml:space="preserve"> or not</w:t>
      </w:r>
      <w:r w:rsidR="00904EA7">
        <w:t xml:space="preserve">, </w:t>
      </w:r>
      <w:r w:rsidR="001C5529">
        <w:t xml:space="preserve">and, </w:t>
      </w:r>
      <w:r w:rsidR="00904EA7">
        <w:t>where they have been</w:t>
      </w:r>
      <w:r w:rsidR="001C5529">
        <w:t xml:space="preserve">, whether this has been done in a way </w:t>
      </w:r>
      <w:r w:rsidR="00ED7BEC">
        <w:t xml:space="preserve">that </w:t>
      </w:r>
      <w:r w:rsidR="005D29EB">
        <w:t xml:space="preserve">delivers intended outcomes set out in those agreements and </w:t>
      </w:r>
      <w:r w:rsidR="00891993">
        <w:t xml:space="preserve">enables the effective operation of the Water Act, Basin </w:t>
      </w:r>
      <w:proofErr w:type="gramStart"/>
      <w:r w:rsidR="00891993">
        <w:t>Plan</w:t>
      </w:r>
      <w:proofErr w:type="gramEnd"/>
      <w:r w:rsidR="00891993">
        <w:t xml:space="preserve"> and water resource plans.</w:t>
      </w:r>
    </w:p>
    <w:p w14:paraId="2EBF9225" w14:textId="77777777" w:rsidR="007C6F1D" w:rsidRDefault="00941E92" w:rsidP="001C5529">
      <w:r>
        <w:t>With respect to those agreements relating to federal financial relations</w:t>
      </w:r>
      <w:r w:rsidR="00AC500B">
        <w:t>, the Inspector–General notes that</w:t>
      </w:r>
      <w:r w:rsidR="00651C53">
        <w:t>, while</w:t>
      </w:r>
      <w:r w:rsidR="00AC500B">
        <w:t xml:space="preserve"> </w:t>
      </w:r>
      <w:r w:rsidR="00651C53">
        <w:t xml:space="preserve">an agreement may be superseded, the new agreements may be made </w:t>
      </w:r>
      <w:r w:rsidR="003F73CD">
        <w:t>under the initial head agreement. This means those subsequent agreements come within the Inspector–General’s oversight function</w:t>
      </w:r>
      <w:r w:rsidR="005B1BA8">
        <w:t xml:space="preserve">. </w:t>
      </w:r>
    </w:p>
    <w:p w14:paraId="59E6F167" w14:textId="344D5AF8" w:rsidR="00891993" w:rsidRPr="009225FD" w:rsidRDefault="007C6F1D" w:rsidP="001C5529">
      <w:r>
        <w:t>T</w:t>
      </w:r>
      <w:r w:rsidR="005B1BA8">
        <w:t xml:space="preserve">he Inspector–General </w:t>
      </w:r>
      <w:r>
        <w:t xml:space="preserve">is open to </w:t>
      </w:r>
      <w:r w:rsidR="005B1BA8">
        <w:t>explor</w:t>
      </w:r>
      <w:r>
        <w:t>ing</w:t>
      </w:r>
      <w:r w:rsidR="005B1BA8">
        <w:t xml:space="preserve"> opportunities to provide clarity around relevant intergovernmental agreements, where possible</w:t>
      </w:r>
      <w:r w:rsidR="00B31505">
        <w:t xml:space="preserve">. This </w:t>
      </w:r>
      <w:r w:rsidR="005B1BA8">
        <w:t>includ</w:t>
      </w:r>
      <w:r w:rsidR="00B31505">
        <w:t>es</w:t>
      </w:r>
      <w:r w:rsidR="005B1BA8">
        <w:t xml:space="preserve"> seeking </w:t>
      </w:r>
      <w:r w:rsidR="009225FD">
        <w:t xml:space="preserve">amendments to the </w:t>
      </w:r>
      <w:r w:rsidR="009225FD" w:rsidRPr="194FC86F">
        <w:rPr>
          <w:i/>
          <w:iCs/>
        </w:rPr>
        <w:t>Water Regulations 2008</w:t>
      </w:r>
      <w:r w:rsidR="009225FD">
        <w:t xml:space="preserve"> (</w:t>
      </w:r>
      <w:proofErr w:type="spellStart"/>
      <w:r w:rsidR="009225FD">
        <w:t>Cth</w:t>
      </w:r>
      <w:proofErr w:type="spellEnd"/>
      <w:r w:rsidR="009225FD">
        <w:t>)</w:t>
      </w:r>
      <w:r w:rsidR="00B31505">
        <w:t xml:space="preserve"> to list other intergovernmental agreements</w:t>
      </w:r>
      <w:r w:rsidR="00C918CF">
        <w:t>, as necessary</w:t>
      </w:r>
      <w:r w:rsidR="0095576A">
        <w:t>,</w:t>
      </w:r>
      <w:r w:rsidR="00722346">
        <w:t xml:space="preserve"> and providing advice on the scope of the Inspector–General’s juri</w:t>
      </w:r>
      <w:r w:rsidR="000B003C">
        <w:t>sdiction over agreements in the forthcoming review of the Inspector–General</w:t>
      </w:r>
      <w:r w:rsidR="00924B94">
        <w:t>’s powers</w:t>
      </w:r>
      <w:r w:rsidR="009225FD">
        <w:t>.</w:t>
      </w:r>
    </w:p>
    <w:p w14:paraId="2E53795D" w14:textId="3C3E8DF3" w:rsidR="002F23FC" w:rsidRPr="002C55AF" w:rsidRDefault="002C55AF" w:rsidP="002C55AF">
      <w:pPr>
        <w:pStyle w:val="Heading1"/>
        <w:pageBreakBefore w:val="0"/>
        <w:spacing w:after="360"/>
        <w:rPr>
          <w:sz w:val="36"/>
          <w:szCs w:val="16"/>
        </w:rPr>
      </w:pPr>
      <w:bookmarkStart w:id="9" w:name="_Toc136847606"/>
      <w:r w:rsidRPr="002C55AF">
        <w:rPr>
          <w:sz w:val="36"/>
          <w:szCs w:val="16"/>
        </w:rPr>
        <w:t>Principles behind regulat</w:t>
      </w:r>
      <w:r w:rsidR="0020009C">
        <w:rPr>
          <w:sz w:val="36"/>
          <w:szCs w:val="16"/>
        </w:rPr>
        <w:t>ory approach</w:t>
      </w:r>
      <w:bookmarkEnd w:id="9"/>
    </w:p>
    <w:p w14:paraId="65884588" w14:textId="1327D77D" w:rsidR="00227079" w:rsidRDefault="00463597" w:rsidP="00227079">
      <w:r>
        <w:t xml:space="preserve">Submissions were generally supportive of the principles–based approach set out in the </w:t>
      </w:r>
      <w:r w:rsidR="000C16DD" w:rsidRPr="000C16DD">
        <w:rPr>
          <w:i/>
          <w:iCs/>
        </w:rPr>
        <w:t>Discussion Paper</w:t>
      </w:r>
      <w:r w:rsidR="000C16DD">
        <w:t xml:space="preserve">. The ACCC’s submission noted that establishing principles </w:t>
      </w:r>
      <w:r w:rsidR="00227079">
        <w:t xml:space="preserve">in the Regulatory Policy </w:t>
      </w:r>
      <w:r w:rsidR="002769F6" w:rsidRPr="002769F6">
        <w:t xml:space="preserve">will help improve coordination between agencies, build role clarity and increase transparency and trust in the Basin. </w:t>
      </w:r>
      <w:r w:rsidR="00112812">
        <w:t>MLDRIN’s submission supported the principles–based approach</w:t>
      </w:r>
      <w:r w:rsidR="009356F8">
        <w:t xml:space="preserve"> as a way of </w:t>
      </w:r>
      <w:r w:rsidR="00FD236F" w:rsidRPr="00FD236F">
        <w:t>driving innovation and improvement in the management of Basin water resources in the national interest</w:t>
      </w:r>
      <w:r w:rsidR="00513A14">
        <w:t>.</w:t>
      </w:r>
      <w:r w:rsidR="007941B6">
        <w:t xml:space="preserve"> </w:t>
      </w:r>
    </w:p>
    <w:p w14:paraId="79C75856" w14:textId="738AE45D" w:rsidR="00181EA4" w:rsidRDefault="00F019E9" w:rsidP="00EA08BD">
      <w:r>
        <w:t xml:space="preserve">The NSW Government </w:t>
      </w:r>
      <w:r w:rsidR="00B0012D">
        <w:t xml:space="preserve">submission noted </w:t>
      </w:r>
      <w:r w:rsidR="00883B69">
        <w:t xml:space="preserve">the scope and application of the </w:t>
      </w:r>
      <w:r w:rsidR="00EA08BD">
        <w:t>principles associated with this split in responsibilities that are relevant to the Inspector-General’s role could be clarified and</w:t>
      </w:r>
      <w:proofErr w:type="gramStart"/>
      <w:r w:rsidR="00B42C94">
        <w:t xml:space="preserve">, in particular, </w:t>
      </w:r>
      <w:r w:rsidR="00541D23">
        <w:t>around</w:t>
      </w:r>
      <w:proofErr w:type="gramEnd"/>
      <w:r w:rsidR="00541D23">
        <w:t xml:space="preserve"> </w:t>
      </w:r>
      <w:r w:rsidR="00B42C94">
        <w:t>reconcil</w:t>
      </w:r>
      <w:r w:rsidR="00541D23">
        <w:t>iation of</w:t>
      </w:r>
      <w:r w:rsidR="00B42C94">
        <w:t xml:space="preserve"> a situation where Basin–wide outcomes are</w:t>
      </w:r>
      <w:r w:rsidR="00547138">
        <w:t xml:space="preserve"> identified as being different to the national interest.</w:t>
      </w:r>
      <w:r w:rsidR="00FE6C4E">
        <w:t xml:space="preserve"> </w:t>
      </w:r>
      <w:r w:rsidR="0063369B">
        <w:t xml:space="preserve">Similarly, the </w:t>
      </w:r>
      <w:r w:rsidR="00C0241A">
        <w:t xml:space="preserve">Vic </w:t>
      </w:r>
      <w:r w:rsidR="0063369B">
        <w:t xml:space="preserve">Government </w:t>
      </w:r>
      <w:r w:rsidR="00181EA4">
        <w:t xml:space="preserve">indicated concern about </w:t>
      </w:r>
      <w:r w:rsidR="006279CC">
        <w:t>the links between the principles and the performance of regulatory responsibilities by the Inspector–General.</w:t>
      </w:r>
    </w:p>
    <w:p w14:paraId="7DDFC45B" w14:textId="77777777" w:rsidR="00F22D19" w:rsidRDefault="00FE6C4E" w:rsidP="00EA08BD">
      <w:r>
        <w:t xml:space="preserve">The </w:t>
      </w:r>
      <w:r w:rsidR="00FC1DB1">
        <w:t xml:space="preserve">principles articulated in the </w:t>
      </w:r>
      <w:r w:rsidR="00FC1DB1">
        <w:rPr>
          <w:i/>
          <w:iCs/>
        </w:rPr>
        <w:t>Discussion Paper</w:t>
      </w:r>
      <w:r w:rsidR="00FC1DB1">
        <w:t xml:space="preserve"> </w:t>
      </w:r>
      <w:r w:rsidR="001E592A">
        <w:t xml:space="preserve">are intended to inform the development of the Regulatory Policy and, as such, </w:t>
      </w:r>
      <w:r w:rsidR="004F6C74">
        <w:t xml:space="preserve">the Inspector–General considers </w:t>
      </w:r>
      <w:r w:rsidR="00043FF4">
        <w:t xml:space="preserve">the </w:t>
      </w:r>
      <w:r w:rsidR="00AF0CDB">
        <w:t xml:space="preserve">feedback provided will aid in </w:t>
      </w:r>
      <w:r w:rsidR="00CF73FD">
        <w:t>the clarification of principles</w:t>
      </w:r>
      <w:r w:rsidR="00A76511">
        <w:t xml:space="preserve"> they apply in </w:t>
      </w:r>
      <w:r w:rsidR="000427FE">
        <w:t xml:space="preserve">the prioritisation and </w:t>
      </w:r>
      <w:r w:rsidR="00043FF4">
        <w:t xml:space="preserve">performance of </w:t>
      </w:r>
      <w:proofErr w:type="gramStart"/>
      <w:r w:rsidR="00043FF4">
        <w:t xml:space="preserve">particular </w:t>
      </w:r>
      <w:r w:rsidR="00B667A4">
        <w:t>responsibilities</w:t>
      </w:r>
      <w:proofErr w:type="gramEnd"/>
      <w:r w:rsidR="00AF0CDB">
        <w:t>.</w:t>
      </w:r>
      <w:r w:rsidR="004F6C74">
        <w:t xml:space="preserve"> </w:t>
      </w:r>
    </w:p>
    <w:p w14:paraId="3585FFC8" w14:textId="5CAE4E80" w:rsidR="00227079" w:rsidRPr="00FC1DB1" w:rsidRDefault="004F6C74" w:rsidP="00EA08BD">
      <w:r>
        <w:t xml:space="preserve">The Inspector–General </w:t>
      </w:r>
      <w:r w:rsidR="00DF434F">
        <w:t>notes</w:t>
      </w:r>
      <w:r w:rsidR="00216FF7">
        <w:t xml:space="preserve"> </w:t>
      </w:r>
      <w:r w:rsidR="00F22D19">
        <w:t xml:space="preserve">their </w:t>
      </w:r>
      <w:r w:rsidR="00DA5284">
        <w:t xml:space="preserve">jurisdiction under the national framework relates to the geographic region of the </w:t>
      </w:r>
      <w:r w:rsidR="00B80DFF">
        <w:t>Basin</w:t>
      </w:r>
      <w:r w:rsidR="00374D98">
        <w:t xml:space="preserve"> and that this should be represented in their Regulatory Policy</w:t>
      </w:r>
      <w:r w:rsidR="00774844">
        <w:t>. As such</w:t>
      </w:r>
      <w:r w:rsidR="00B80DFF">
        <w:t xml:space="preserve">, </w:t>
      </w:r>
      <w:r w:rsidR="00AF6D36">
        <w:t>Basin–wide and national interests</w:t>
      </w:r>
      <w:r w:rsidR="00774844">
        <w:t xml:space="preserve"> are balanced through the legislative design rather than by the Inspector–General in performing their regulatory responsibilities</w:t>
      </w:r>
      <w:r w:rsidR="00AF6D36">
        <w:t>.</w:t>
      </w:r>
      <w:r w:rsidR="00FC5E92">
        <w:t xml:space="preserve"> </w:t>
      </w:r>
    </w:p>
    <w:p w14:paraId="3C9063D8" w14:textId="768AB222" w:rsidR="004429CF" w:rsidRDefault="004429CF" w:rsidP="004429CF">
      <w:pPr>
        <w:pStyle w:val="Heading3"/>
      </w:pPr>
      <w:bookmarkStart w:id="10" w:name="_Toc136847607"/>
      <w:r>
        <w:lastRenderedPageBreak/>
        <w:t>Outcomes–based approach</w:t>
      </w:r>
      <w:bookmarkEnd w:id="10"/>
    </w:p>
    <w:p w14:paraId="19597A7D" w14:textId="7FF565F5" w:rsidR="004429CF" w:rsidRDefault="00FC7F5F" w:rsidP="00C4558D">
      <w:r>
        <w:t xml:space="preserve">The ACT Government </w:t>
      </w:r>
      <w:r w:rsidR="00281780">
        <w:t xml:space="preserve">noted the outcomes–based approach reflected a transition </w:t>
      </w:r>
      <w:r w:rsidR="001414D6">
        <w:t>from activity–based metric reporting. The ACT Government</w:t>
      </w:r>
      <w:r w:rsidR="00281780">
        <w:t xml:space="preserve"> </w:t>
      </w:r>
      <w:r w:rsidR="004429CF">
        <w:t xml:space="preserve">encouraged </w:t>
      </w:r>
      <w:r w:rsidR="001414D6">
        <w:t>the Inspector–General, as part of this outcomes</w:t>
      </w:r>
      <w:r w:rsidR="000049B9">
        <w:t xml:space="preserve">–based approach, </w:t>
      </w:r>
      <w:r w:rsidR="004429CF">
        <w:t xml:space="preserve">to </w:t>
      </w:r>
      <w:r w:rsidR="000049B9">
        <w:t xml:space="preserve">shift </w:t>
      </w:r>
      <w:r w:rsidR="004429CF">
        <w:t xml:space="preserve">towards reporting metrics that convey the effectiveness of measures for achieving the objectives of the </w:t>
      </w:r>
      <w:r w:rsidR="000049B9">
        <w:t xml:space="preserve">Water </w:t>
      </w:r>
      <w:r w:rsidR="004429CF">
        <w:t>Act.</w:t>
      </w:r>
      <w:r w:rsidR="000049B9">
        <w:t xml:space="preserve"> An opportunity identified by the ACT Government</w:t>
      </w:r>
      <w:r w:rsidR="00C4558D">
        <w:t xml:space="preserve"> was </w:t>
      </w:r>
      <w:r w:rsidR="004429CF">
        <w:t xml:space="preserve">to increase </w:t>
      </w:r>
      <w:r w:rsidR="00C4558D">
        <w:t xml:space="preserve">the Inspector–General’s </w:t>
      </w:r>
      <w:r w:rsidR="004429CF">
        <w:t xml:space="preserve">proposed focus on regulatory outcomes related to ‘water extraction trends over time’ and the </w:t>
      </w:r>
      <w:r w:rsidR="00C4558D">
        <w:t xml:space="preserve">Water </w:t>
      </w:r>
      <w:r w:rsidR="004429CF">
        <w:t>Act’s objectives around ensuring sustainable water take.</w:t>
      </w:r>
    </w:p>
    <w:p w14:paraId="5B71AC3D" w14:textId="7E328346" w:rsidR="00C4558D" w:rsidRDefault="002C1D46" w:rsidP="00C4558D">
      <w:r>
        <w:t>The MDBA also recognised the importance of water accounting</w:t>
      </w:r>
      <w:r w:rsidR="00596C59">
        <w:t xml:space="preserve"> and that responsibilities for accounting were shared among a range of agencies. The MDBA noted</w:t>
      </w:r>
      <w:r w:rsidR="009C0F08">
        <w:t xml:space="preserve"> this requires the close coordination and consultation on distinct </w:t>
      </w:r>
      <w:r w:rsidR="00080EA8">
        <w:t xml:space="preserve">but </w:t>
      </w:r>
      <w:r w:rsidR="009C0F08">
        <w:t>related elements of the water accounting framework.</w:t>
      </w:r>
    </w:p>
    <w:p w14:paraId="54B286BE" w14:textId="055EA748" w:rsidR="009C0F08" w:rsidRDefault="00323390" w:rsidP="00C4558D">
      <w:r>
        <w:t xml:space="preserve">The Inspector–General </w:t>
      </w:r>
      <w:r w:rsidR="00266470">
        <w:t xml:space="preserve">considers </w:t>
      </w:r>
      <w:r w:rsidR="002D15B9">
        <w:t>that reporting on outcomes will provide transparency around matters relevant to the effective management of Basin water resources</w:t>
      </w:r>
      <w:r w:rsidR="00C252F8">
        <w:t xml:space="preserve">. The Inspector–General notes work has been conducted </w:t>
      </w:r>
      <w:r w:rsidR="00A8000C">
        <w:t xml:space="preserve">with Basin States </w:t>
      </w:r>
      <w:r w:rsidR="00C252F8">
        <w:t xml:space="preserve">to </w:t>
      </w:r>
      <w:r w:rsidR="006305B8">
        <w:t>develop a compliance performance reporting framework that will progressively focus on outcome</w:t>
      </w:r>
      <w:r w:rsidR="00A8000C">
        <w:t xml:space="preserve">–based reporting. The Inspector–General’s metering </w:t>
      </w:r>
      <w:r w:rsidR="00623444">
        <w:t xml:space="preserve">report card complements this work by </w:t>
      </w:r>
      <w:r w:rsidR="00526DE4">
        <w:t xml:space="preserve">showing </w:t>
      </w:r>
      <w:r w:rsidR="0015336D">
        <w:t xml:space="preserve">a snapshot of </w:t>
      </w:r>
      <w:r w:rsidR="00FB4745">
        <w:t xml:space="preserve">each </w:t>
      </w:r>
      <w:r w:rsidR="00ED27BB">
        <w:t>Basin State’s ability to accurately monitor water take in the Basin, as a</w:t>
      </w:r>
      <w:r w:rsidR="00414658">
        <w:t xml:space="preserve"> key input into compliance and enforcement activities and in reporting on water take.</w:t>
      </w:r>
    </w:p>
    <w:p w14:paraId="565F48C2" w14:textId="5AEC45D2" w:rsidR="00526DE4" w:rsidRDefault="004606B5" w:rsidP="00C4558D">
      <w:r>
        <w:t>With respect to the Inspector–General’s role in sustainable diversion limit compliance and water resource plan compliance, the Inspector–General will provide more clarity about</w:t>
      </w:r>
      <w:r w:rsidR="00726C17">
        <w:t xml:space="preserve"> the principles they will use in prioritising and performing these roles in their Regulatory Policy. </w:t>
      </w:r>
      <w:r w:rsidR="00852F3F">
        <w:t xml:space="preserve">While this will be at a high level, the Inspector–General is also currently working on a range of projects that are </w:t>
      </w:r>
      <w:r w:rsidR="008023F7">
        <w:t>focused on providing assurance around those elements of the national frameworks</w:t>
      </w:r>
      <w:r w:rsidR="00566803">
        <w:t xml:space="preserve"> that support the delivery of its objectives, covering:</w:t>
      </w:r>
    </w:p>
    <w:p w14:paraId="35DED65B" w14:textId="06320917" w:rsidR="00326FB4" w:rsidRDefault="00326FB4" w:rsidP="00326FB4">
      <w:pPr>
        <w:pStyle w:val="ListBullet"/>
      </w:pPr>
      <w:r>
        <w:t>Sustainable Diversion Limit Compliance Framework</w:t>
      </w:r>
    </w:p>
    <w:p w14:paraId="5C9B4659" w14:textId="15CBA02F" w:rsidR="00326FB4" w:rsidRDefault="00326FB4" w:rsidP="00326FB4">
      <w:pPr>
        <w:pStyle w:val="ListBullet"/>
      </w:pPr>
      <w:r>
        <w:t>Water Resource Plan Compliance</w:t>
      </w:r>
      <w:r w:rsidR="005B6CD0">
        <w:t xml:space="preserve"> and Enforcement</w:t>
      </w:r>
      <w:r>
        <w:t xml:space="preserve"> Framework</w:t>
      </w:r>
    </w:p>
    <w:p w14:paraId="01565F25" w14:textId="4D89BC60" w:rsidR="00A32E99" w:rsidRDefault="00A32E99" w:rsidP="00326FB4">
      <w:pPr>
        <w:pStyle w:val="ListBullet"/>
      </w:pPr>
      <w:r>
        <w:t>Metering Standard</w:t>
      </w:r>
      <w:r w:rsidR="00F963C0">
        <w:t xml:space="preserve"> and Guideline</w:t>
      </w:r>
      <w:r>
        <w:t>.</w:t>
      </w:r>
    </w:p>
    <w:p w14:paraId="5F2AEAAA" w14:textId="46AE4652" w:rsidR="00777168" w:rsidRDefault="00777168" w:rsidP="00777168">
      <w:pPr>
        <w:pStyle w:val="Heading3"/>
      </w:pPr>
      <w:bookmarkStart w:id="11" w:name="_Toc136847608"/>
      <w:r>
        <w:t>Risk–based approach</w:t>
      </w:r>
      <w:bookmarkEnd w:id="11"/>
    </w:p>
    <w:p w14:paraId="2738F255" w14:textId="4CE6F41A" w:rsidR="00044B9C" w:rsidRDefault="00CD59A8" w:rsidP="00A12252">
      <w:r>
        <w:t>While submissions generally supported a risk–based approach</w:t>
      </w:r>
      <w:r w:rsidR="00A12252">
        <w:t xml:space="preserve">, the Qld Government submission </w:t>
      </w:r>
      <w:r w:rsidR="00AD2128">
        <w:t xml:space="preserve">requested the provision of </w:t>
      </w:r>
      <w:r w:rsidR="00A12252">
        <w:t xml:space="preserve">a </w:t>
      </w:r>
      <w:r w:rsidR="00044B9C" w:rsidRPr="00C37F95">
        <w:t>clearer explanation and examples regarding who, how and when these will be applied and what risk factors will guide these decisions and planned priorities in the Regulatory Policy.</w:t>
      </w:r>
      <w:r w:rsidR="005E1FF7">
        <w:t xml:space="preserve"> The Inspector–General agrees there is </w:t>
      </w:r>
      <w:r w:rsidR="00AD2128">
        <w:t xml:space="preserve">value in providing clarity around their risk–based approach, including what this means for prioritising and performing regulatory </w:t>
      </w:r>
      <w:r w:rsidR="00354E2A">
        <w:t>responsibilities</w:t>
      </w:r>
      <w:r w:rsidR="00AD2128">
        <w:t>, in their Regulatory Policy.</w:t>
      </w:r>
    </w:p>
    <w:p w14:paraId="5BF73400" w14:textId="77777777" w:rsidR="00156159" w:rsidRDefault="00F810F8" w:rsidP="00A12252">
      <w:r>
        <w:t xml:space="preserve">The Inspector–General notes MLDRIN’s submission </w:t>
      </w:r>
      <w:r w:rsidR="00DA546D">
        <w:t xml:space="preserve">indicated the importance of setting out what a risk–based approach means in a practical and applied sense. </w:t>
      </w:r>
      <w:r w:rsidR="0019776A">
        <w:t>The Inspector–General intends to provide clarity around their approach through the Regulatory Policy</w:t>
      </w:r>
      <w:r w:rsidR="003D0B1A">
        <w:t xml:space="preserve">. </w:t>
      </w:r>
    </w:p>
    <w:p w14:paraId="1D79C394" w14:textId="07940DFF" w:rsidR="00F810F8" w:rsidRDefault="003D0B1A" w:rsidP="00A12252">
      <w:r>
        <w:t xml:space="preserve">However, this needs to be set at a high enough level to provide transparency across </w:t>
      </w:r>
      <w:r w:rsidR="00156159">
        <w:t xml:space="preserve">the full range of the Inspector–General’s functions and responsibilities. As such, the Inspector–General intends to provide further, more practical, explanation of what </w:t>
      </w:r>
      <w:r w:rsidR="00DB245C">
        <w:t>their risk–based approach means in the context of their specific responsibilities including through the:</w:t>
      </w:r>
    </w:p>
    <w:p w14:paraId="49DE9DCE" w14:textId="77777777" w:rsidR="00DB245C" w:rsidRDefault="00DB245C" w:rsidP="00DB245C">
      <w:pPr>
        <w:pStyle w:val="ListBullet"/>
      </w:pPr>
      <w:r>
        <w:t>Sustainable Diversion Limit Compliance Framework</w:t>
      </w:r>
    </w:p>
    <w:p w14:paraId="7C58B323" w14:textId="42C81EB6" w:rsidR="00DB245C" w:rsidRDefault="00DB245C" w:rsidP="00DB245C">
      <w:pPr>
        <w:pStyle w:val="ListBullet"/>
      </w:pPr>
      <w:r>
        <w:t xml:space="preserve">Water Resource Plan Compliance </w:t>
      </w:r>
      <w:r w:rsidR="00461FF0">
        <w:t xml:space="preserve">and Enforcement </w:t>
      </w:r>
      <w:r>
        <w:t>Framework.</w:t>
      </w:r>
    </w:p>
    <w:p w14:paraId="21567435" w14:textId="75E8C3E2" w:rsidR="002C55AF" w:rsidRPr="002C55AF" w:rsidRDefault="002C55AF" w:rsidP="003577E1">
      <w:pPr>
        <w:pStyle w:val="Heading1"/>
        <w:keepNext/>
        <w:pageBreakBefore w:val="0"/>
        <w:spacing w:after="360"/>
        <w:rPr>
          <w:sz w:val="36"/>
          <w:szCs w:val="16"/>
        </w:rPr>
      </w:pPr>
      <w:bookmarkStart w:id="12" w:name="_Toc136847609"/>
      <w:r w:rsidRPr="002C55AF">
        <w:rPr>
          <w:sz w:val="36"/>
          <w:szCs w:val="16"/>
        </w:rPr>
        <w:lastRenderedPageBreak/>
        <w:t>Link to legislated objectives</w:t>
      </w:r>
      <w:bookmarkEnd w:id="12"/>
      <w:r w:rsidRPr="002C55AF">
        <w:rPr>
          <w:sz w:val="36"/>
          <w:szCs w:val="16"/>
        </w:rPr>
        <w:t xml:space="preserve"> </w:t>
      </w:r>
    </w:p>
    <w:p w14:paraId="6FD28B4C" w14:textId="77777777" w:rsidR="00585C61" w:rsidRDefault="002C55AF" w:rsidP="00E711B2">
      <w:r>
        <w:t xml:space="preserve">Grounding </w:t>
      </w:r>
      <w:r w:rsidR="00357453">
        <w:t xml:space="preserve">the Inspector–General’s </w:t>
      </w:r>
      <w:r>
        <w:t>regulatory approach in the legislated objectives</w:t>
      </w:r>
      <w:r w:rsidR="00357453">
        <w:t xml:space="preserve"> was generally supported in </w:t>
      </w:r>
      <w:r w:rsidR="00E57777">
        <w:t xml:space="preserve">submissions. However, the ACT Government recommended </w:t>
      </w:r>
      <w:r w:rsidR="00E40B54" w:rsidRPr="00E40B54">
        <w:t>further examin</w:t>
      </w:r>
      <w:r w:rsidR="00E57777">
        <w:t>ing</w:t>
      </w:r>
      <w:r w:rsidR="00E40B54" w:rsidRPr="00E40B54">
        <w:t xml:space="preserve"> how these objectives may guide </w:t>
      </w:r>
      <w:r w:rsidR="00E57777">
        <w:t xml:space="preserve">the Inspector–General’s </w:t>
      </w:r>
      <w:r w:rsidR="00E40B54" w:rsidRPr="00E40B54">
        <w:t>exercise of powers.</w:t>
      </w:r>
      <w:r w:rsidR="008407ED">
        <w:t xml:space="preserve"> </w:t>
      </w:r>
    </w:p>
    <w:p w14:paraId="6ABAFD72" w14:textId="2F6E0C27" w:rsidR="00CC4700" w:rsidRDefault="00585C61" w:rsidP="00E711B2">
      <w:r>
        <w:t>In terms of scope, t</w:t>
      </w:r>
      <w:r w:rsidR="008407ED">
        <w:t xml:space="preserve">he Qld Government recommended the </w:t>
      </w:r>
      <w:r w:rsidR="008B295E">
        <w:t xml:space="preserve">areas of focus </w:t>
      </w:r>
      <w:r w:rsidR="004128DB" w:rsidRPr="004128DB">
        <w:t>the principles associated with this split in responsibilities</w:t>
      </w:r>
      <w:r w:rsidR="004128DB">
        <w:t xml:space="preserve"> could be expanded to include </w:t>
      </w:r>
      <w:proofErr w:type="gramStart"/>
      <w:r w:rsidR="004128DB">
        <w:t>all of</w:t>
      </w:r>
      <w:proofErr w:type="gramEnd"/>
      <w:r w:rsidR="004128DB">
        <w:t xml:space="preserve"> the </w:t>
      </w:r>
      <w:r>
        <w:t>legislated objectives. In contrast, the ACT Government note</w:t>
      </w:r>
      <w:r w:rsidR="003327D2">
        <w:t xml:space="preserve">d that not </w:t>
      </w:r>
      <w:proofErr w:type="gramStart"/>
      <w:r w:rsidR="003327D2">
        <w:t>all of</w:t>
      </w:r>
      <w:proofErr w:type="gramEnd"/>
      <w:r w:rsidR="003327D2">
        <w:t xml:space="preserve"> the objectives may be relevant to the Inspector–General’s functions, given they do not administer all of the Water Act.</w:t>
      </w:r>
    </w:p>
    <w:p w14:paraId="4B4E26AA" w14:textId="4E154458" w:rsidR="00E57777" w:rsidRDefault="00B35391" w:rsidP="00E711B2">
      <w:r>
        <w:t xml:space="preserve">The Inspector–General </w:t>
      </w:r>
      <w:r w:rsidR="0074279E">
        <w:t xml:space="preserve">intends to clarify </w:t>
      </w:r>
      <w:r w:rsidR="004446F7">
        <w:t>how they prioritise and perform specific regulatory responsibilities</w:t>
      </w:r>
      <w:r w:rsidR="008074A6">
        <w:t xml:space="preserve">, </w:t>
      </w:r>
      <w:r w:rsidR="00FB7594">
        <w:t xml:space="preserve">having regard to </w:t>
      </w:r>
      <w:r w:rsidR="008074A6">
        <w:t xml:space="preserve">the application of </w:t>
      </w:r>
      <w:r w:rsidR="00FB7594">
        <w:t xml:space="preserve">relevant </w:t>
      </w:r>
      <w:r w:rsidR="008074A6">
        <w:t xml:space="preserve">objectives in that </w:t>
      </w:r>
      <w:proofErr w:type="gramStart"/>
      <w:r w:rsidR="008074A6">
        <w:t>particular context</w:t>
      </w:r>
      <w:proofErr w:type="gramEnd"/>
      <w:r w:rsidR="008074A6">
        <w:t>.</w:t>
      </w:r>
      <w:r w:rsidR="00546947">
        <w:t xml:space="preserve"> This will ameliorate the need to </w:t>
      </w:r>
      <w:r w:rsidR="00C17759">
        <w:t xml:space="preserve">determine what objectives are relevant to the Inspector–General, which is </w:t>
      </w:r>
      <w:r w:rsidR="009943C3">
        <w:t xml:space="preserve">a matter </w:t>
      </w:r>
      <w:r w:rsidR="00C17759">
        <w:t xml:space="preserve">more appropriately considered </w:t>
      </w:r>
      <w:r w:rsidR="005163FF">
        <w:t>as part of legislative design.</w:t>
      </w:r>
    </w:p>
    <w:p w14:paraId="35CECEB0" w14:textId="35173594" w:rsidR="00643B7C" w:rsidRPr="00643B7C" w:rsidRDefault="00643B7C" w:rsidP="00643B7C">
      <w:pPr>
        <w:pStyle w:val="Heading1"/>
        <w:pageBreakBefore w:val="0"/>
        <w:spacing w:after="360"/>
        <w:rPr>
          <w:sz w:val="36"/>
          <w:szCs w:val="16"/>
        </w:rPr>
      </w:pPr>
      <w:bookmarkStart w:id="13" w:name="_Toc136847610"/>
      <w:r w:rsidRPr="00643B7C">
        <w:rPr>
          <w:sz w:val="36"/>
          <w:szCs w:val="16"/>
        </w:rPr>
        <w:t>Content of Regulatory Policy</w:t>
      </w:r>
      <w:bookmarkEnd w:id="13"/>
    </w:p>
    <w:p w14:paraId="2F1097A0" w14:textId="6C1B7A1C" w:rsidR="009F6560" w:rsidRPr="009F6560" w:rsidRDefault="00383EB9" w:rsidP="009F6560">
      <w:r>
        <w:t xml:space="preserve">The ACCC submission </w:t>
      </w:r>
      <w:r w:rsidR="00D5346E">
        <w:t>noted that an a</w:t>
      </w:r>
      <w:r w:rsidR="009F6560" w:rsidRPr="009F6560">
        <w:t xml:space="preserve">ccessible and public regulatory policy will help the </w:t>
      </w:r>
      <w:r w:rsidR="00D5346E">
        <w:t xml:space="preserve">Inspector–General </w:t>
      </w:r>
      <w:r w:rsidR="009F6560" w:rsidRPr="009F6560">
        <w:t xml:space="preserve">deliver on </w:t>
      </w:r>
      <w:r w:rsidR="00D5346E">
        <w:t xml:space="preserve">their </w:t>
      </w:r>
      <w:r w:rsidR="009F6560" w:rsidRPr="009F6560">
        <w:t xml:space="preserve">functions and improve public understanding of </w:t>
      </w:r>
      <w:r w:rsidR="00D5346E">
        <w:t xml:space="preserve">their </w:t>
      </w:r>
      <w:r w:rsidR="009F6560" w:rsidRPr="009F6560">
        <w:t xml:space="preserve">role, including by clarifying when the </w:t>
      </w:r>
      <w:r w:rsidR="00D5346E">
        <w:t xml:space="preserve">Inspector–General </w:t>
      </w:r>
      <w:r w:rsidR="009F6560" w:rsidRPr="009F6560">
        <w:t xml:space="preserve">can and will </w:t>
      </w:r>
      <w:proofErr w:type="gramStart"/>
      <w:r w:rsidR="009F6560" w:rsidRPr="009F6560">
        <w:t>take action</w:t>
      </w:r>
      <w:proofErr w:type="gramEnd"/>
      <w:r w:rsidR="009F6560" w:rsidRPr="009F6560">
        <w:t xml:space="preserve">. </w:t>
      </w:r>
      <w:r w:rsidR="002E0549">
        <w:t>The r</w:t>
      </w:r>
      <w:r w:rsidR="009F6560" w:rsidRPr="009F6560">
        <w:t>egulatory policy does this by:</w:t>
      </w:r>
    </w:p>
    <w:p w14:paraId="2A959856" w14:textId="614CCDD3" w:rsidR="009F6560" w:rsidRDefault="009F6560" w:rsidP="002E0549">
      <w:pPr>
        <w:pStyle w:val="ListBullet"/>
      </w:pPr>
      <w:r w:rsidRPr="009F6560">
        <w:t>Explain</w:t>
      </w:r>
      <w:r w:rsidR="002E0549">
        <w:t>ing</w:t>
      </w:r>
      <w:r w:rsidRPr="009F6560">
        <w:t xml:space="preserve"> the </w:t>
      </w:r>
      <w:r w:rsidR="002E0549">
        <w:t xml:space="preserve">Inspector–General’s </w:t>
      </w:r>
      <w:r w:rsidRPr="009F6560">
        <w:t xml:space="preserve">role </w:t>
      </w:r>
    </w:p>
    <w:p w14:paraId="15AB0F97" w14:textId="23047CBF" w:rsidR="00643B7C" w:rsidRDefault="009F6560" w:rsidP="002E0549">
      <w:pPr>
        <w:pStyle w:val="ListBullet"/>
      </w:pPr>
      <w:r w:rsidRPr="009F6560">
        <w:t>Explain</w:t>
      </w:r>
      <w:r w:rsidR="002E0549">
        <w:t>ing</w:t>
      </w:r>
      <w:r w:rsidRPr="009F6560">
        <w:t xml:space="preserve"> how </w:t>
      </w:r>
      <w:r w:rsidR="002E0549">
        <w:t xml:space="preserve">they </w:t>
      </w:r>
      <w:r w:rsidRPr="009F6560">
        <w:t>support the wider regulatory framework in the Basin.</w:t>
      </w:r>
    </w:p>
    <w:p w14:paraId="2DC1902E" w14:textId="1B416488" w:rsidR="002E0549" w:rsidRDefault="00744201" w:rsidP="002E0549">
      <w:r>
        <w:t xml:space="preserve">The Inspector–General agrees the Regulatory Policy is </w:t>
      </w:r>
      <w:r w:rsidR="00E27E09">
        <w:t xml:space="preserve">an important foundational document that will aid in improving understanding about their role. The Inspector–General will </w:t>
      </w:r>
      <w:r w:rsidR="00BF507B">
        <w:t>consider</w:t>
      </w:r>
      <w:r w:rsidR="006230D4">
        <w:t xml:space="preserve"> </w:t>
      </w:r>
      <w:r w:rsidR="00E27E09">
        <w:t xml:space="preserve">the matters </w:t>
      </w:r>
      <w:r w:rsidR="00327D13">
        <w:t>raised in the ACCC’s submission</w:t>
      </w:r>
      <w:r w:rsidR="006230D4" w:rsidRPr="006230D4">
        <w:t xml:space="preserve"> </w:t>
      </w:r>
      <w:r w:rsidR="006230D4">
        <w:t>through the development of their Regulatory Policy</w:t>
      </w:r>
      <w:r w:rsidR="00327D13">
        <w:t>.</w:t>
      </w:r>
    </w:p>
    <w:p w14:paraId="73BCC030" w14:textId="5F6EC870" w:rsidR="005A16F3" w:rsidRDefault="005A16F3" w:rsidP="002E0549">
      <w:r>
        <w:t>The MLDRIN submission noted the opportunity the Inspector–General has in preparing and upholding an innovative Regulatory Policy that is based on an inclusive</w:t>
      </w:r>
      <w:r w:rsidR="007E05C7">
        <w:t xml:space="preserve"> approach to interpreting and applying the national framework. The Inspector–General intends to reflect </w:t>
      </w:r>
      <w:r w:rsidR="00DE31BB">
        <w:t xml:space="preserve">concepts of inclusivity and innovation, along with accountability, </w:t>
      </w:r>
      <w:proofErr w:type="gramStart"/>
      <w:r w:rsidR="00DE31BB">
        <w:t>transparency</w:t>
      </w:r>
      <w:proofErr w:type="gramEnd"/>
      <w:r w:rsidR="00DE31BB">
        <w:t xml:space="preserve"> and truth-telling throughout their Regulatory Policy.</w:t>
      </w:r>
    </w:p>
    <w:p w14:paraId="7D568685" w14:textId="7A23208A" w:rsidR="006B0D7E" w:rsidRDefault="006B0D7E" w:rsidP="002E0549">
      <w:r>
        <w:t xml:space="preserve">The MLDRIN submission noted the </w:t>
      </w:r>
      <w:r w:rsidR="00080921">
        <w:t xml:space="preserve">significance of water resource plans within the national framework for </w:t>
      </w:r>
      <w:r w:rsidR="00404055">
        <w:t>addressing First Nations rights and interests.</w:t>
      </w:r>
      <w:r w:rsidR="001C0C28" w:rsidRPr="001C0C28">
        <w:t xml:space="preserve"> </w:t>
      </w:r>
      <w:r w:rsidR="00326438">
        <w:t xml:space="preserve">The Inspector–General </w:t>
      </w:r>
      <w:r w:rsidR="00421FA2">
        <w:t xml:space="preserve">has started work on developing </w:t>
      </w:r>
      <w:r w:rsidR="008D1110">
        <w:t>a Water Resource Plan Compliance</w:t>
      </w:r>
      <w:r w:rsidR="00980CA1">
        <w:t xml:space="preserve"> and Enforcement</w:t>
      </w:r>
      <w:r w:rsidR="008D1110">
        <w:t xml:space="preserve"> Framework, which </w:t>
      </w:r>
      <w:r w:rsidR="00C91746">
        <w:t>will</w:t>
      </w:r>
      <w:r w:rsidR="00254B7F">
        <w:t xml:space="preserve"> provide detail about the Inspector–General’s approach to </w:t>
      </w:r>
      <w:r w:rsidR="00421FA2">
        <w:t>water resource plan compliance.</w:t>
      </w:r>
      <w:r w:rsidR="00D42326">
        <w:t xml:space="preserve"> </w:t>
      </w:r>
      <w:r w:rsidR="004315D3">
        <w:t xml:space="preserve">Compliance with triggered </w:t>
      </w:r>
      <w:r w:rsidR="008D55D8">
        <w:t xml:space="preserve">management obligations covering, among other things, </w:t>
      </w:r>
      <w:r w:rsidR="0025354E">
        <w:t xml:space="preserve">indigenous </w:t>
      </w:r>
      <w:proofErr w:type="gramStart"/>
      <w:r w:rsidR="0025354E">
        <w:t>values</w:t>
      </w:r>
      <w:proofErr w:type="gramEnd"/>
      <w:r w:rsidR="0025354E">
        <w:t xml:space="preserve"> and uses of water, </w:t>
      </w:r>
      <w:r w:rsidR="004E0066">
        <w:t>will also be referred to in the Inspector–General’s Regulatory Policy.</w:t>
      </w:r>
    </w:p>
    <w:p w14:paraId="05B05D56" w14:textId="7529741D" w:rsidR="00D76A72" w:rsidRDefault="00F91E99" w:rsidP="002E0549">
      <w:r>
        <w:t xml:space="preserve">The MLDRIN submission also referenced </w:t>
      </w:r>
      <w:r w:rsidR="003631BF">
        <w:t xml:space="preserve">the implementation of and compliance with relevant international agreements, particularly with respect to </w:t>
      </w:r>
      <w:r w:rsidR="001436B2" w:rsidRPr="007A0287">
        <w:t>all relevant components relating to First Nations and relevant decisions and directives of the Conference of the Parties</w:t>
      </w:r>
      <w:r w:rsidR="00D41A57">
        <w:t xml:space="preserve">. The Inspector–General notes </w:t>
      </w:r>
      <w:r w:rsidR="007F18A5">
        <w:t xml:space="preserve">they do not have a </w:t>
      </w:r>
      <w:r w:rsidR="00D41A57">
        <w:t xml:space="preserve">role in </w:t>
      </w:r>
      <w:r w:rsidR="007F18A5">
        <w:t xml:space="preserve">the </w:t>
      </w:r>
      <w:r w:rsidR="00D41A57">
        <w:t xml:space="preserve">implementation of and compliance with international </w:t>
      </w:r>
      <w:r w:rsidR="007F18A5">
        <w:t xml:space="preserve">agreements. However, </w:t>
      </w:r>
      <w:r w:rsidR="00617EFD">
        <w:t xml:space="preserve">the </w:t>
      </w:r>
      <w:r w:rsidR="005015DD">
        <w:t xml:space="preserve">matters covered in </w:t>
      </w:r>
      <w:r w:rsidR="0002731B">
        <w:t xml:space="preserve">relevant </w:t>
      </w:r>
      <w:r w:rsidR="005015DD">
        <w:t xml:space="preserve">international </w:t>
      </w:r>
      <w:r w:rsidR="00617EFD">
        <w:t>agreements</w:t>
      </w:r>
      <w:r w:rsidR="006E0644">
        <w:t xml:space="preserve">, including those elements relating to First Nations, </w:t>
      </w:r>
      <w:r w:rsidR="00173627">
        <w:t>inform</w:t>
      </w:r>
      <w:r w:rsidR="006E0644">
        <w:t xml:space="preserve">s </w:t>
      </w:r>
      <w:r w:rsidR="00173627">
        <w:t xml:space="preserve">how the Inspector-General interprets and applies </w:t>
      </w:r>
      <w:r w:rsidR="00BC3560">
        <w:t xml:space="preserve">the national frameworks in performing </w:t>
      </w:r>
      <w:r w:rsidR="00BA44B3">
        <w:t>their functions under the Water Act</w:t>
      </w:r>
      <w:r w:rsidR="00BC3560">
        <w:t xml:space="preserve">. </w:t>
      </w:r>
      <w:r w:rsidR="0047190E">
        <w:t xml:space="preserve">These matters </w:t>
      </w:r>
      <w:r w:rsidR="00617EFD">
        <w:t xml:space="preserve">may </w:t>
      </w:r>
      <w:r w:rsidR="0047190E">
        <w:t xml:space="preserve">also </w:t>
      </w:r>
      <w:r w:rsidR="005015DD">
        <w:t xml:space="preserve">be </w:t>
      </w:r>
      <w:r w:rsidR="007D71BB">
        <w:t xml:space="preserve">relevant to </w:t>
      </w:r>
      <w:r w:rsidR="00617EFD">
        <w:t xml:space="preserve">the Inspector–General </w:t>
      </w:r>
      <w:r w:rsidR="00FD6A52">
        <w:t>in setting up and</w:t>
      </w:r>
      <w:r w:rsidR="005015DD">
        <w:t>/ or conducting</w:t>
      </w:r>
      <w:r w:rsidR="00FD6A52">
        <w:t xml:space="preserve"> inquiries</w:t>
      </w:r>
      <w:r w:rsidR="005015DD">
        <w:t xml:space="preserve"> in the future</w:t>
      </w:r>
      <w:r w:rsidR="00722CBF">
        <w:t xml:space="preserve"> and would, therefore, be considered in that context rather than in the Regulatory Policy</w:t>
      </w:r>
      <w:r w:rsidR="00FD6A52">
        <w:t>.</w:t>
      </w:r>
    </w:p>
    <w:p w14:paraId="156CCDA5" w14:textId="543C5437" w:rsidR="00F91E99" w:rsidRDefault="00F91E99" w:rsidP="00F91E99">
      <w:r>
        <w:lastRenderedPageBreak/>
        <w:t>The ACCC and MDBA submissions both referenced annual work plans and priorities. The Inspector–General notes they have a legal obligation to publish annual work plans, which set out their priorities for the financial year. As such, the Inspector–General will not include annual</w:t>
      </w:r>
      <w:r w:rsidR="007654E1">
        <w:t xml:space="preserve">ly </w:t>
      </w:r>
      <w:r w:rsidR="00D81D2D">
        <w:t xml:space="preserve">created </w:t>
      </w:r>
      <w:r>
        <w:t>matters in their Regulatory Policy.</w:t>
      </w:r>
    </w:p>
    <w:p w14:paraId="2C39642D" w14:textId="5839E844" w:rsidR="00F91E99" w:rsidRDefault="009F164A" w:rsidP="002E0549">
      <w:r>
        <w:t xml:space="preserve">The Qld Government submission requested that the Regulatory Policy </w:t>
      </w:r>
      <w:r w:rsidR="009B14AA">
        <w:t xml:space="preserve">provide clarity or commitments for the process for continued collaboration and consultation. </w:t>
      </w:r>
      <w:r w:rsidR="00365B4E">
        <w:t xml:space="preserve">The Inspector–General adopts a collegiate approach with other regulatory agencies and notes the </w:t>
      </w:r>
      <w:r w:rsidR="00AC2C8D">
        <w:t xml:space="preserve">ongoing participation of the Qld Government, along with other Basin State compliance regulators, in the Regulatory Leaders Forum. </w:t>
      </w:r>
      <w:r w:rsidR="005D6B50">
        <w:t xml:space="preserve">The Inspector–General intends to continue this collegiate approach and notes the </w:t>
      </w:r>
      <w:r w:rsidR="00227DA3">
        <w:t xml:space="preserve">work on schedules to </w:t>
      </w:r>
      <w:r w:rsidR="005D6B50">
        <w:t xml:space="preserve">Memorandum of Understanding they have with compliance regulators </w:t>
      </w:r>
      <w:r w:rsidR="00227DA3">
        <w:t>provides an opportunity to establish agreed procedures and ways of working together.</w:t>
      </w:r>
    </w:p>
    <w:p w14:paraId="7B03F369" w14:textId="77777777" w:rsidR="00131DCF" w:rsidRPr="002D107B" w:rsidRDefault="00131DCF" w:rsidP="00AC6749">
      <w:pPr>
        <w:pStyle w:val="Heading1"/>
        <w:keepNext/>
        <w:pageBreakBefore w:val="0"/>
        <w:spacing w:after="360"/>
        <w:rPr>
          <w:sz w:val="36"/>
          <w:szCs w:val="16"/>
        </w:rPr>
      </w:pPr>
      <w:bookmarkStart w:id="14" w:name="_Toc136847611"/>
      <w:r w:rsidRPr="002D107B">
        <w:rPr>
          <w:sz w:val="36"/>
          <w:szCs w:val="16"/>
        </w:rPr>
        <w:t>Collaboration and engagement</w:t>
      </w:r>
      <w:bookmarkEnd w:id="14"/>
    </w:p>
    <w:p w14:paraId="619DF02A" w14:textId="3491C50E" w:rsidR="00131DCF" w:rsidRDefault="00E841FB" w:rsidP="00131DCF">
      <w:r>
        <w:t xml:space="preserve">Basin State submissions noted they welcomed </w:t>
      </w:r>
      <w:r w:rsidR="0065728B">
        <w:t xml:space="preserve">working collaboratively with the Inspector–General, including through </w:t>
      </w:r>
      <w:r w:rsidR="007D3389">
        <w:t xml:space="preserve">the Regulatory Leaders Forum and the Memorandum of Understanding between compliance regulators. </w:t>
      </w:r>
      <w:r w:rsidR="00006955">
        <w:t xml:space="preserve">The MDBA submission emphasised the importance of effective working relationships and collaboration. </w:t>
      </w:r>
      <w:r w:rsidR="00CC3D7F">
        <w:t xml:space="preserve">The ACT Government submission identified potentially expanding on this </w:t>
      </w:r>
      <w:r w:rsidR="00CB2C33">
        <w:t>for further engagement between the Inspector–General and agencies with planning and policy responsibilities to proactively address issues through collaboration.</w:t>
      </w:r>
    </w:p>
    <w:p w14:paraId="3C8F5E1C" w14:textId="772869FA" w:rsidR="00006955" w:rsidRDefault="00CB2C33" w:rsidP="00131DCF">
      <w:r>
        <w:t xml:space="preserve">The Inspector–General welcomes opportunities for collaboration and will seek to establish a collegiate relationship with </w:t>
      </w:r>
      <w:r w:rsidR="0096592E">
        <w:t>the Basin Officials Committee. The Inspector–General further intends to reflect the roles of, and their approach to engagement with, the Murray–Darling Basin Ministerial Council and the Basin Officials Committee in their Regulatory Policy.</w:t>
      </w:r>
    </w:p>
    <w:p w14:paraId="36120619" w14:textId="37F58E93" w:rsidR="00016E20" w:rsidRPr="00ED5335" w:rsidRDefault="001402A2" w:rsidP="00ED5335">
      <w:pPr>
        <w:pStyle w:val="Heading1"/>
        <w:pageBreakBefore w:val="0"/>
        <w:spacing w:after="360"/>
        <w:rPr>
          <w:sz w:val="36"/>
          <w:szCs w:val="16"/>
        </w:rPr>
      </w:pPr>
      <w:bookmarkStart w:id="15" w:name="_Toc136847612"/>
      <w:r>
        <w:rPr>
          <w:sz w:val="36"/>
          <w:szCs w:val="16"/>
        </w:rPr>
        <w:t>Quality of water</w:t>
      </w:r>
      <w:r w:rsidR="004B1267" w:rsidRPr="00ED5335">
        <w:rPr>
          <w:sz w:val="36"/>
          <w:szCs w:val="16"/>
        </w:rPr>
        <w:t xml:space="preserve"> </w:t>
      </w:r>
      <w:r w:rsidR="00ED5335" w:rsidRPr="00ED5335">
        <w:rPr>
          <w:sz w:val="36"/>
          <w:szCs w:val="16"/>
        </w:rPr>
        <w:t>information</w:t>
      </w:r>
      <w:bookmarkEnd w:id="15"/>
    </w:p>
    <w:p w14:paraId="749ABE93" w14:textId="16038210" w:rsidR="00ED5335" w:rsidRDefault="000B2544" w:rsidP="00E711B2">
      <w:r>
        <w:t xml:space="preserve">The ACT Government, MDBA and ACCC submissions all pointed to the importance of </w:t>
      </w:r>
      <w:r w:rsidR="00BF6454">
        <w:t>accurate and high</w:t>
      </w:r>
      <w:r w:rsidR="000F03C3">
        <w:t>–</w:t>
      </w:r>
      <w:r w:rsidR="00BF6454">
        <w:t>quality information as cri</w:t>
      </w:r>
      <w:r w:rsidR="000F03C3">
        <w:t>tical for building trust and confidence in the management of Basin water resources.</w:t>
      </w:r>
      <w:r w:rsidR="00BE48C8">
        <w:t xml:space="preserve"> The ACT Government and ACCC submissions </w:t>
      </w:r>
      <w:r w:rsidR="004415C6">
        <w:t xml:space="preserve">noted </w:t>
      </w:r>
      <w:r w:rsidR="00360134">
        <w:t xml:space="preserve">the </w:t>
      </w:r>
      <w:r w:rsidR="004415C6">
        <w:t xml:space="preserve">consistency, accessibility and relevance of information has been raised </w:t>
      </w:r>
      <w:r w:rsidR="00360134">
        <w:t xml:space="preserve">as concerns in multiple reviews over </w:t>
      </w:r>
      <w:r w:rsidR="009C1328">
        <w:t>the last five years.</w:t>
      </w:r>
    </w:p>
    <w:p w14:paraId="0DAB880A" w14:textId="22010F25" w:rsidR="009C1328" w:rsidRDefault="009C1328" w:rsidP="00E711B2">
      <w:r>
        <w:t xml:space="preserve">The Inspector–General </w:t>
      </w:r>
      <w:r w:rsidR="000F48F3">
        <w:t xml:space="preserve">prioritises transparency and accountability, including through the publication of </w:t>
      </w:r>
      <w:r w:rsidR="00642514">
        <w:t>compliance information</w:t>
      </w:r>
      <w:r w:rsidR="005D2CC1">
        <w:t xml:space="preserve">. The Inspector–General will maintain </w:t>
      </w:r>
      <w:r w:rsidR="00D81526">
        <w:t>a transparent and public</w:t>
      </w:r>
      <w:r w:rsidR="0066692F">
        <w:t xml:space="preserve">–focused </w:t>
      </w:r>
      <w:r w:rsidR="00D81526">
        <w:t xml:space="preserve">reporting approach in </w:t>
      </w:r>
      <w:r w:rsidR="0066692F">
        <w:t>their Regulatory Policy, noting the MDBA strongly supported</w:t>
      </w:r>
      <w:r w:rsidR="00676B9E">
        <w:t xml:space="preserve"> this emphasis </w:t>
      </w:r>
      <w:r w:rsidR="00D81526">
        <w:t xml:space="preserve">in </w:t>
      </w:r>
      <w:r w:rsidR="00676B9E">
        <w:t>its submission</w:t>
      </w:r>
      <w:r w:rsidR="00D81526">
        <w:t>.</w:t>
      </w:r>
    </w:p>
    <w:p w14:paraId="25292D6C" w14:textId="47E60CF1" w:rsidR="000B2544" w:rsidRDefault="00676B9E" w:rsidP="00E711B2">
      <w:r>
        <w:t xml:space="preserve">The Inspector–General </w:t>
      </w:r>
      <w:r w:rsidR="001F15F7">
        <w:t xml:space="preserve">recognises that </w:t>
      </w:r>
      <w:r w:rsidR="00FD003F">
        <w:t>c</w:t>
      </w:r>
      <w:r w:rsidR="00CB6540" w:rsidRPr="00CB6540">
        <w:t xml:space="preserve">ollecting regulatory information from a range of reliable sources </w:t>
      </w:r>
      <w:r w:rsidR="00764D46" w:rsidRPr="00764D46">
        <w:t>provide</w:t>
      </w:r>
      <w:r w:rsidR="00A86A38">
        <w:t>s</w:t>
      </w:r>
      <w:r w:rsidR="00764D46" w:rsidRPr="00764D46">
        <w:t xml:space="preserve"> </w:t>
      </w:r>
      <w:r w:rsidR="00CB6540" w:rsidRPr="00CB6540">
        <w:t>a level of assurance that regulatory objectives are being met.</w:t>
      </w:r>
      <w:r w:rsidR="00FD003F">
        <w:t xml:space="preserve"> </w:t>
      </w:r>
      <w:r w:rsidR="00107010">
        <w:t xml:space="preserve">Further, access to high–quality information, that is </w:t>
      </w:r>
      <w:r w:rsidR="00577351">
        <w:t xml:space="preserve">information that is </w:t>
      </w:r>
      <w:r w:rsidR="008E681C" w:rsidRPr="008E681C">
        <w:t>accura</w:t>
      </w:r>
      <w:r w:rsidR="00577351">
        <w:t>te</w:t>
      </w:r>
      <w:r w:rsidR="008E681C" w:rsidRPr="008E681C">
        <w:t>, complete, consisten</w:t>
      </w:r>
      <w:r w:rsidR="00577351">
        <w:t>t</w:t>
      </w:r>
      <w:r w:rsidR="008E681C" w:rsidRPr="008E681C">
        <w:t xml:space="preserve">, </w:t>
      </w:r>
      <w:proofErr w:type="gramStart"/>
      <w:r w:rsidR="008E681C" w:rsidRPr="008E681C">
        <w:t>reliab</w:t>
      </w:r>
      <w:r w:rsidR="00577351">
        <w:t>le</w:t>
      </w:r>
      <w:proofErr w:type="gramEnd"/>
      <w:r w:rsidR="008E681C" w:rsidRPr="008E681C">
        <w:t xml:space="preserve"> and up to date</w:t>
      </w:r>
      <w:r w:rsidR="00577351">
        <w:t xml:space="preserve">, underpins effective </w:t>
      </w:r>
      <w:r w:rsidR="00637AF5">
        <w:t>outcomes and risk–based approaches to regulation</w:t>
      </w:r>
      <w:r w:rsidR="008E681C" w:rsidRPr="008E681C">
        <w:t>.</w:t>
      </w:r>
    </w:p>
    <w:p w14:paraId="264D80EE" w14:textId="3A4CA6DC" w:rsidR="008E681C" w:rsidRDefault="00206BF4" w:rsidP="00E711B2">
      <w:r>
        <w:t xml:space="preserve">The quality of </w:t>
      </w:r>
      <w:r w:rsidR="00A95CDF">
        <w:t xml:space="preserve">water and compliance information is a </w:t>
      </w:r>
      <w:r w:rsidR="00FE135B">
        <w:t xml:space="preserve">long-term </w:t>
      </w:r>
      <w:r w:rsidR="00A95CDF">
        <w:t>priority of the Inspector–General</w:t>
      </w:r>
      <w:r w:rsidR="00A9601C">
        <w:t xml:space="preserve">. There are </w:t>
      </w:r>
      <w:proofErr w:type="gramStart"/>
      <w:r w:rsidR="00A9601C">
        <w:t>a number of</w:t>
      </w:r>
      <w:proofErr w:type="gramEnd"/>
      <w:r w:rsidR="00A9601C">
        <w:t xml:space="preserve"> existing processes through which the Inspector–General is seeking to drive improvements</w:t>
      </w:r>
      <w:r w:rsidR="00894810">
        <w:t>, including:</w:t>
      </w:r>
    </w:p>
    <w:p w14:paraId="39865449" w14:textId="0C40C636" w:rsidR="00894810" w:rsidRDefault="00894810" w:rsidP="00894810">
      <w:pPr>
        <w:pStyle w:val="ListBullet"/>
      </w:pPr>
      <w:r>
        <w:t>Sustainable Diversion Limit Compliance Framework</w:t>
      </w:r>
    </w:p>
    <w:p w14:paraId="31CF8AA5" w14:textId="4CB52429" w:rsidR="00894810" w:rsidRDefault="00894810" w:rsidP="00894810">
      <w:pPr>
        <w:pStyle w:val="ListBullet"/>
      </w:pPr>
      <w:r>
        <w:t xml:space="preserve">Water Resource Plan Compliance </w:t>
      </w:r>
      <w:r w:rsidR="00AE1F6A">
        <w:t xml:space="preserve">and Enforcement </w:t>
      </w:r>
      <w:r>
        <w:t>Framework</w:t>
      </w:r>
    </w:p>
    <w:p w14:paraId="1649A714" w14:textId="2FFF9174" w:rsidR="00894810" w:rsidRDefault="00D40B90" w:rsidP="00894810">
      <w:pPr>
        <w:pStyle w:val="ListBullet"/>
      </w:pPr>
      <w:r>
        <w:t>Annual r</w:t>
      </w:r>
      <w:r w:rsidR="00894810">
        <w:t xml:space="preserve">eporting on water </w:t>
      </w:r>
      <w:r>
        <w:t xml:space="preserve">resource plan compliance under the Basin Plan (i.e., Matter 19 in Schedule </w:t>
      </w:r>
      <w:r w:rsidR="00AF3C71">
        <w:t>12)</w:t>
      </w:r>
    </w:p>
    <w:p w14:paraId="077E9177" w14:textId="61F9CD33" w:rsidR="00F531BC" w:rsidRDefault="00F531BC" w:rsidP="00894810">
      <w:pPr>
        <w:pStyle w:val="ListBullet"/>
      </w:pPr>
      <w:r>
        <w:lastRenderedPageBreak/>
        <w:t>Annual meter</w:t>
      </w:r>
      <w:r w:rsidR="00703A53">
        <w:t>ing</w:t>
      </w:r>
      <w:r>
        <w:t xml:space="preserve"> report card</w:t>
      </w:r>
    </w:p>
    <w:p w14:paraId="74B6795C" w14:textId="073DA885" w:rsidR="00F531BC" w:rsidRDefault="00F531BC" w:rsidP="00894810">
      <w:pPr>
        <w:pStyle w:val="ListBullet"/>
      </w:pPr>
      <w:r>
        <w:t>Annual reporting on water compliance performance</w:t>
      </w:r>
    </w:p>
    <w:p w14:paraId="54E535AE" w14:textId="7BFA1A05" w:rsidR="006B2C5A" w:rsidRDefault="006B2C5A" w:rsidP="00894810">
      <w:pPr>
        <w:pStyle w:val="ListBullet"/>
      </w:pPr>
      <w:r>
        <w:t>Metering Standard and Metering Guideline</w:t>
      </w:r>
    </w:p>
    <w:p w14:paraId="1E14C292" w14:textId="190BEDEF" w:rsidR="004A7EB3" w:rsidRDefault="004A7EB3" w:rsidP="00894810">
      <w:pPr>
        <w:pStyle w:val="ListBullet"/>
      </w:pPr>
      <w:r>
        <w:t>Updating Memorandum of Understanding between the Inspector–General and the MDBA</w:t>
      </w:r>
    </w:p>
    <w:p w14:paraId="532FF400" w14:textId="05F59A52" w:rsidR="00E328D9" w:rsidRDefault="00E328D9" w:rsidP="00894810">
      <w:pPr>
        <w:pStyle w:val="ListBullet"/>
      </w:pPr>
      <w:r>
        <w:t>Legislative reform processes</w:t>
      </w:r>
    </w:p>
    <w:p w14:paraId="1120DFC8" w14:textId="3C98BE6E" w:rsidR="00E328D9" w:rsidRDefault="00E328D9" w:rsidP="00894810">
      <w:pPr>
        <w:pStyle w:val="ListBullet"/>
      </w:pPr>
      <w:r>
        <w:t>Annual work planning</w:t>
      </w:r>
      <w:r w:rsidR="00DE05F8">
        <w:t>.</w:t>
      </w:r>
    </w:p>
    <w:p w14:paraId="7933F4F2" w14:textId="2E088225" w:rsidR="008E681C" w:rsidRDefault="00DE05F8" w:rsidP="00E711B2">
      <w:r>
        <w:t xml:space="preserve">The Inspector–General also notes </w:t>
      </w:r>
      <w:r w:rsidR="00C362E3">
        <w:t xml:space="preserve">it is possible </w:t>
      </w:r>
      <w:r w:rsidR="00B67CB2">
        <w:t xml:space="preserve">to explore </w:t>
      </w:r>
      <w:r>
        <w:t xml:space="preserve">opportunities to improve the quality of </w:t>
      </w:r>
      <w:r w:rsidR="00B67CB2">
        <w:t xml:space="preserve">information </w:t>
      </w:r>
      <w:r w:rsidR="00C362E3">
        <w:t xml:space="preserve">through collaborative </w:t>
      </w:r>
      <w:r w:rsidR="000A1899">
        <w:t>processes, such as the Regulatory Leaders Forum</w:t>
      </w:r>
      <w:r w:rsidR="007E43F9">
        <w:t xml:space="preserve"> </w:t>
      </w:r>
      <w:r w:rsidR="00553E49">
        <w:t>and Basin Officials Committee.</w:t>
      </w:r>
      <w:r w:rsidR="00C362E3">
        <w:t xml:space="preserve"> </w:t>
      </w:r>
    </w:p>
    <w:p w14:paraId="72E2C044" w14:textId="070B3E27" w:rsidR="00BD19A0" w:rsidRPr="00326944" w:rsidRDefault="00326944" w:rsidP="0033482F">
      <w:pPr>
        <w:pStyle w:val="Heading1"/>
        <w:keepNext/>
        <w:pageBreakBefore w:val="0"/>
        <w:spacing w:after="360"/>
        <w:rPr>
          <w:sz w:val="36"/>
          <w:szCs w:val="16"/>
        </w:rPr>
      </w:pPr>
      <w:bookmarkStart w:id="16" w:name="_Toc136847613"/>
      <w:r w:rsidRPr="00326944">
        <w:rPr>
          <w:sz w:val="36"/>
          <w:szCs w:val="16"/>
        </w:rPr>
        <w:t>Review of Regulatory Policy</w:t>
      </w:r>
      <w:bookmarkEnd w:id="16"/>
    </w:p>
    <w:p w14:paraId="751BED58" w14:textId="7ED06D6A" w:rsidR="00326944" w:rsidRDefault="006A3923" w:rsidP="00E711B2">
      <w:r>
        <w:t xml:space="preserve">The Qld Government and ACT Government submissions both </w:t>
      </w:r>
      <w:r w:rsidR="0026591B">
        <w:t xml:space="preserve">indicated </w:t>
      </w:r>
      <w:r>
        <w:t xml:space="preserve">the </w:t>
      </w:r>
      <w:r w:rsidR="0026591B">
        <w:t xml:space="preserve">need for future reviews of the Regulatory Policy to </w:t>
      </w:r>
      <w:r w:rsidR="004F4A0D">
        <w:t>reflect and refine the Inspector–General’s approach based on experience, particularly in testing the breadth of their powers.</w:t>
      </w:r>
      <w:r w:rsidR="00DC5E9A">
        <w:t xml:space="preserve"> The Inspector–General agrees with </w:t>
      </w:r>
      <w:r w:rsidR="005A3F97">
        <w:t xml:space="preserve">these proposals and notes that their Regulatory Policy will </w:t>
      </w:r>
      <w:r w:rsidR="007C2E56">
        <w:t xml:space="preserve">also </w:t>
      </w:r>
      <w:r w:rsidR="005A3F97">
        <w:t xml:space="preserve">need to be maintained </w:t>
      </w:r>
      <w:r w:rsidR="007C2E56">
        <w:t>to reflect reforms to the legislative frameworks under which they operate.</w:t>
      </w:r>
    </w:p>
    <w:p w14:paraId="0561AF12" w14:textId="5CAF69BD" w:rsidR="007C2E56" w:rsidRDefault="007C2E56" w:rsidP="00E711B2">
      <w:r>
        <w:t xml:space="preserve">The ACCC submission referred to </w:t>
      </w:r>
      <w:r w:rsidR="00B6680D">
        <w:t xml:space="preserve">the </w:t>
      </w:r>
      <w:r w:rsidR="00F0719C">
        <w:t xml:space="preserve">water market </w:t>
      </w:r>
      <w:r w:rsidR="00B6680D">
        <w:t xml:space="preserve">legislative reforms currently being progressed by </w:t>
      </w:r>
      <w:r w:rsidR="00F0719C">
        <w:t>the Commonwealth Government and the implications for the Inspector–General’s role. The Inspector–General considers</w:t>
      </w:r>
      <w:r w:rsidR="006624E3">
        <w:t xml:space="preserve"> their Regulatory Policy will need to be reviewed and, where necessary, updated to reflect their roles and responsibilities, once legislated. </w:t>
      </w:r>
      <w:r w:rsidR="00F569A4">
        <w:t>However, it would be premature to consider those matters in the current version of the Regulatory Policy.</w:t>
      </w:r>
    </w:p>
    <w:p w14:paraId="5B163B91" w14:textId="31E7CE19" w:rsidR="0026591B" w:rsidRDefault="003E7A0B" w:rsidP="00E711B2">
      <w:r>
        <w:t>T</w:t>
      </w:r>
      <w:r w:rsidR="00F569A4">
        <w:t xml:space="preserve">he uncertainty around future roles and responsibilities </w:t>
      </w:r>
      <w:r w:rsidR="00852897">
        <w:t xml:space="preserve">relating to the water markets mean the Inspector–General has not engaged with market–related matters raised in submissions in </w:t>
      </w:r>
      <w:r w:rsidR="006F7D53">
        <w:t xml:space="preserve">detail through </w:t>
      </w:r>
      <w:r w:rsidR="00852897">
        <w:t>th</w:t>
      </w:r>
      <w:r w:rsidR="006F7D53">
        <w:t>eir Regulatory Policy development process. This extends to the MDBA’s recommendation for the Inspector–General to</w:t>
      </w:r>
      <w:r w:rsidR="00817501">
        <w:t xml:space="preserve"> provide </w:t>
      </w:r>
      <w:r w:rsidR="00817501" w:rsidRPr="00817501">
        <w:t xml:space="preserve">sensitive water market information guidance to support Basin </w:t>
      </w:r>
      <w:r w:rsidR="00817501">
        <w:t>S</w:t>
      </w:r>
      <w:r w:rsidR="00817501" w:rsidRPr="00817501">
        <w:t>tate and Commonwealth agency practice</w:t>
      </w:r>
      <w:r w:rsidR="00817501">
        <w:t>s.</w:t>
      </w:r>
    </w:p>
    <w:p w14:paraId="292B15F7" w14:textId="4EED0127" w:rsidR="00D91835" w:rsidRPr="00D362EF" w:rsidRDefault="001402A2" w:rsidP="00D362EF">
      <w:pPr>
        <w:pStyle w:val="Heading1"/>
        <w:pageBreakBefore w:val="0"/>
        <w:spacing w:after="360"/>
        <w:rPr>
          <w:sz w:val="36"/>
          <w:szCs w:val="16"/>
        </w:rPr>
      </w:pPr>
      <w:bookmarkStart w:id="17" w:name="_Toc136847614"/>
      <w:r>
        <w:rPr>
          <w:sz w:val="36"/>
          <w:szCs w:val="16"/>
        </w:rPr>
        <w:t>N</w:t>
      </w:r>
      <w:r w:rsidR="00D362EF">
        <w:rPr>
          <w:sz w:val="36"/>
          <w:szCs w:val="16"/>
        </w:rPr>
        <w:t>egative</w:t>
      </w:r>
      <w:r w:rsidR="00D362EF" w:rsidRPr="00D362EF">
        <w:rPr>
          <w:sz w:val="36"/>
          <w:szCs w:val="16"/>
        </w:rPr>
        <w:t xml:space="preserve"> outcomes</w:t>
      </w:r>
      <w:bookmarkEnd w:id="17"/>
    </w:p>
    <w:p w14:paraId="2BE59940" w14:textId="77777777" w:rsidR="009C6B1C" w:rsidRDefault="00817501" w:rsidP="00E711B2">
      <w:r>
        <w:t xml:space="preserve">The ACT Government submission </w:t>
      </w:r>
      <w:r w:rsidR="00A92416">
        <w:t xml:space="preserve">raised </w:t>
      </w:r>
      <w:r w:rsidR="000B3CB5">
        <w:t>issues around the health of the Murrumbidgee River</w:t>
      </w:r>
      <w:r w:rsidR="00F35AB4">
        <w:t>. The Inspector–General notes the matters raised in the submission are indicators</w:t>
      </w:r>
      <w:r w:rsidR="00B623E6">
        <w:t xml:space="preserve"> of issues around the effective management of the relevant water resources, which the Inspector–General </w:t>
      </w:r>
      <w:r w:rsidR="00C33F3F">
        <w:t xml:space="preserve">will </w:t>
      </w:r>
      <w:r w:rsidR="0051449E">
        <w:t xml:space="preserve">include in the risks they monitor across the Basin. </w:t>
      </w:r>
    </w:p>
    <w:p w14:paraId="505D9938" w14:textId="208F7DED" w:rsidR="00D362EF" w:rsidRDefault="0051449E" w:rsidP="00E711B2">
      <w:r>
        <w:t xml:space="preserve">The Inspector–General encourages other stakeholders to </w:t>
      </w:r>
      <w:r w:rsidR="00FC7252">
        <w:t xml:space="preserve">bring other issues around the outcomes from water management </w:t>
      </w:r>
      <w:r w:rsidR="005002D1">
        <w:t>in the Basin to their attention</w:t>
      </w:r>
      <w:r w:rsidR="009C6B1C">
        <w:t>.</w:t>
      </w:r>
      <w:r w:rsidR="005002D1">
        <w:t xml:space="preserve"> </w:t>
      </w:r>
      <w:r w:rsidR="009C6B1C">
        <w:t xml:space="preserve">Details on how to contact the Inspector–General can be found on </w:t>
      </w:r>
      <w:r w:rsidR="005002D1">
        <w:t xml:space="preserve">their </w:t>
      </w:r>
      <w:r w:rsidR="009C6B1C">
        <w:t xml:space="preserve">website </w:t>
      </w:r>
      <w:r w:rsidR="005002D1">
        <w:t>(</w:t>
      </w:r>
      <w:hyperlink r:id="rId11" w:history="1">
        <w:r w:rsidR="009C6B1C" w:rsidRPr="005E2E3C">
          <w:rPr>
            <w:rStyle w:val="Hyperlink"/>
          </w:rPr>
          <w:t>https://www.igwc.gov.au/contact</w:t>
        </w:r>
      </w:hyperlink>
      <w:r w:rsidR="009C6B1C">
        <w:t>)</w:t>
      </w:r>
      <w:r w:rsidR="007952F0">
        <w:t>.</w:t>
      </w:r>
    </w:p>
    <w:sectPr w:rsidR="00D362EF" w:rsidSect="00B530C9">
      <w:footerReference w:type="default" r:id="rId12"/>
      <w:footerReference w:type="first" r:id="rId13"/>
      <w:pgSz w:w="11906" w:h="16838"/>
      <w:pgMar w:top="1284" w:right="1134" w:bottom="816" w:left="1134" w:header="425" w:footer="99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6C47" w14:textId="77777777" w:rsidR="00154A73" w:rsidRDefault="00154A73">
      <w:r>
        <w:separator/>
      </w:r>
    </w:p>
  </w:endnote>
  <w:endnote w:type="continuationSeparator" w:id="0">
    <w:p w14:paraId="093BB21C" w14:textId="77777777" w:rsidR="00154A73" w:rsidRDefault="00154A73">
      <w:r>
        <w:continuationSeparator/>
      </w:r>
    </w:p>
  </w:endnote>
  <w:endnote w:type="continuationNotice" w:id="1">
    <w:p w14:paraId="13CBD6C1" w14:textId="77777777" w:rsidR="00154A73" w:rsidRDefault="00154A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846C" w14:textId="5DE5AADA" w:rsidR="000B4743" w:rsidRDefault="000B4743" w:rsidP="000B4743">
    <w:pPr>
      <w:pStyle w:val="Footer"/>
      <w:tabs>
        <w:tab w:val="clear" w:pos="4513"/>
        <w:tab w:val="clear" w:pos="9026"/>
        <w:tab w:val="right" w:pos="9638"/>
      </w:tabs>
    </w:pPr>
    <w:r w:rsidRPr="000B4743">
      <w:t>Inspector-General of Water Compliance</w:t>
    </w:r>
    <w:r w:rsidRPr="000B4743">
      <w:tab/>
    </w:r>
    <w:r w:rsidRPr="000B4743">
      <w:fldChar w:fldCharType="begin"/>
    </w:r>
    <w:r w:rsidRPr="000B4743">
      <w:instrText xml:space="preserve"> PAGE   \* MERGEFORMAT </w:instrText>
    </w:r>
    <w:r w:rsidRPr="000B4743">
      <w:fldChar w:fldCharType="separate"/>
    </w:r>
    <w:r w:rsidRPr="000B4743">
      <w:t>1</w:t>
    </w:r>
    <w:r w:rsidRPr="000B474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C9B7" w14:textId="27948092" w:rsidR="00DF5E17" w:rsidRPr="00767C5A" w:rsidRDefault="00DF5E17" w:rsidP="00767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7064" w14:textId="59338A50" w:rsidR="00B530C9" w:rsidRPr="00767C5A" w:rsidRDefault="00B530C9" w:rsidP="00B530C9">
    <w:pPr>
      <w:pStyle w:val="Footer"/>
      <w:tabs>
        <w:tab w:val="clear" w:pos="4513"/>
        <w:tab w:val="clear" w:pos="9026"/>
        <w:tab w:val="right" w:pos="9638"/>
      </w:tabs>
    </w:pPr>
    <w:r w:rsidRPr="000B4743">
      <w:t>Inspector-General of Water Compliance</w:t>
    </w:r>
    <w:r w:rsidRPr="000B4743">
      <w:tab/>
    </w:r>
    <w:r w:rsidRPr="000B4743">
      <w:fldChar w:fldCharType="begin"/>
    </w:r>
    <w:r w:rsidRPr="000B4743">
      <w:instrText xml:space="preserve"> PAGE   \* MERGEFORMAT </w:instrText>
    </w:r>
    <w:r w:rsidRPr="000B4743">
      <w:fldChar w:fldCharType="separate"/>
    </w:r>
    <w:r>
      <w:t>1</w:t>
    </w:r>
    <w:r w:rsidRPr="000B4743">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6E6" w14:textId="77777777" w:rsidR="00006955" w:rsidRDefault="00006955" w:rsidP="00986D57">
    <w:pPr>
      <w:pStyle w:val="Footer"/>
      <w:tabs>
        <w:tab w:val="clear" w:pos="4513"/>
        <w:tab w:val="clear" w:pos="9026"/>
        <w:tab w:val="right" w:pos="9638"/>
      </w:tabs>
    </w:pPr>
    <w:r w:rsidRPr="000B4743">
      <w:t>Inspector-General of Water Compliance</w:t>
    </w:r>
    <w:r w:rsidRPr="000B4743">
      <w:tab/>
    </w:r>
    <w:r w:rsidRPr="000B4743">
      <w:fldChar w:fldCharType="begin"/>
    </w:r>
    <w:r w:rsidRPr="000B4743">
      <w:instrText xml:space="preserve"> PAGE   \* MERGEFORMAT </w:instrText>
    </w:r>
    <w:r w:rsidRPr="000B4743">
      <w:fldChar w:fldCharType="separate"/>
    </w:r>
    <w:r>
      <w:t>2</w:t>
    </w:r>
    <w:r w:rsidRPr="000B47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F717" w14:textId="77777777" w:rsidR="00154A73" w:rsidRDefault="00154A73">
      <w:r>
        <w:separator/>
      </w:r>
    </w:p>
  </w:footnote>
  <w:footnote w:type="continuationSeparator" w:id="0">
    <w:p w14:paraId="46AD0252" w14:textId="77777777" w:rsidR="00154A73" w:rsidRDefault="00154A73">
      <w:r>
        <w:continuationSeparator/>
      </w:r>
    </w:p>
  </w:footnote>
  <w:footnote w:type="continuationNotice" w:id="1">
    <w:p w14:paraId="650B582F" w14:textId="77777777" w:rsidR="00154A73" w:rsidRDefault="00154A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FD6C" w14:textId="50BEDBCF" w:rsidR="002C07A5" w:rsidRPr="00DC6237" w:rsidRDefault="002C07A5" w:rsidP="00071327">
    <w:pPr>
      <w:rPr>
        <w:color w:val="00B050"/>
      </w:rPr>
    </w:pPr>
    <w:r>
      <w:rPr>
        <w:noProof/>
        <w:color w:val="00B050"/>
      </w:rPr>
      <w:drawing>
        <wp:anchor distT="0" distB="0" distL="114300" distR="114300" simplePos="0" relativeHeight="251658240" behindDoc="1" locked="0" layoutInCell="1" allowOverlap="1" wp14:anchorId="45037C59" wp14:editId="416944F9">
          <wp:simplePos x="0" y="0"/>
          <wp:positionH relativeFrom="column">
            <wp:posOffset>-746984</wp:posOffset>
          </wp:positionH>
          <wp:positionV relativeFrom="paragraph">
            <wp:posOffset>-256428</wp:posOffset>
          </wp:positionV>
          <wp:extent cx="7570694" cy="10713498"/>
          <wp:effectExtent l="0" t="0" r="0" b="5715"/>
          <wp:wrapNone/>
          <wp:docPr id="9" name="Picture 9"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0648" cy="107275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7BA1" w14:textId="0974D7F7" w:rsidR="00DF5E17" w:rsidRPr="00DC6237" w:rsidRDefault="00DF5E17" w:rsidP="00071327">
    <w:pPr>
      <w:rPr>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32C4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91578559">
    <w:abstractNumId w:val="6"/>
  </w:num>
  <w:num w:numId="2" w16cid:durableId="1695494793">
    <w:abstractNumId w:val="1"/>
  </w:num>
  <w:num w:numId="3" w16cid:durableId="1193498152">
    <w:abstractNumId w:val="3"/>
  </w:num>
  <w:num w:numId="4" w16cid:durableId="904608017">
    <w:abstractNumId w:val="2"/>
  </w:num>
  <w:num w:numId="5" w16cid:durableId="1563101622">
    <w:abstractNumId w:val="5"/>
  </w:num>
  <w:num w:numId="6" w16cid:durableId="636885182">
    <w:abstractNumId w:val="0"/>
  </w:num>
  <w:num w:numId="7" w16cid:durableId="165093757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49B9"/>
    <w:rsid w:val="00006955"/>
    <w:rsid w:val="00007DE1"/>
    <w:rsid w:val="000107B7"/>
    <w:rsid w:val="000123C6"/>
    <w:rsid w:val="000131EE"/>
    <w:rsid w:val="00013B5B"/>
    <w:rsid w:val="00015756"/>
    <w:rsid w:val="00016E20"/>
    <w:rsid w:val="00022F4B"/>
    <w:rsid w:val="000248BC"/>
    <w:rsid w:val="0002731B"/>
    <w:rsid w:val="00030E28"/>
    <w:rsid w:val="000314C2"/>
    <w:rsid w:val="0003323A"/>
    <w:rsid w:val="000427FE"/>
    <w:rsid w:val="00042F20"/>
    <w:rsid w:val="00043FF4"/>
    <w:rsid w:val="00044B9C"/>
    <w:rsid w:val="00045266"/>
    <w:rsid w:val="000514BD"/>
    <w:rsid w:val="00054163"/>
    <w:rsid w:val="0005503C"/>
    <w:rsid w:val="00055589"/>
    <w:rsid w:val="00057419"/>
    <w:rsid w:val="00057953"/>
    <w:rsid w:val="000613B1"/>
    <w:rsid w:val="0006600F"/>
    <w:rsid w:val="00071327"/>
    <w:rsid w:val="0007588A"/>
    <w:rsid w:val="00076A43"/>
    <w:rsid w:val="00080921"/>
    <w:rsid w:val="00080EA8"/>
    <w:rsid w:val="00082522"/>
    <w:rsid w:val="00082E59"/>
    <w:rsid w:val="0008472F"/>
    <w:rsid w:val="0009113F"/>
    <w:rsid w:val="00091B06"/>
    <w:rsid w:val="00092E15"/>
    <w:rsid w:val="000A1899"/>
    <w:rsid w:val="000A1C8F"/>
    <w:rsid w:val="000A2B21"/>
    <w:rsid w:val="000A4A3E"/>
    <w:rsid w:val="000B003C"/>
    <w:rsid w:val="000B0636"/>
    <w:rsid w:val="000B2544"/>
    <w:rsid w:val="000B31F3"/>
    <w:rsid w:val="000B3CB5"/>
    <w:rsid w:val="000B45A5"/>
    <w:rsid w:val="000B4743"/>
    <w:rsid w:val="000B69F0"/>
    <w:rsid w:val="000C16DD"/>
    <w:rsid w:val="000D06D9"/>
    <w:rsid w:val="000D1751"/>
    <w:rsid w:val="000D3E66"/>
    <w:rsid w:val="000D7078"/>
    <w:rsid w:val="000E339C"/>
    <w:rsid w:val="000E5C12"/>
    <w:rsid w:val="000F03C3"/>
    <w:rsid w:val="000F12EE"/>
    <w:rsid w:val="000F1EE0"/>
    <w:rsid w:val="000F48F3"/>
    <w:rsid w:val="000F55E7"/>
    <w:rsid w:val="00102129"/>
    <w:rsid w:val="00104AF8"/>
    <w:rsid w:val="00105379"/>
    <w:rsid w:val="00107010"/>
    <w:rsid w:val="00112812"/>
    <w:rsid w:val="00114BA0"/>
    <w:rsid w:val="00131DCF"/>
    <w:rsid w:val="001345C9"/>
    <w:rsid w:val="001355F5"/>
    <w:rsid w:val="00136E31"/>
    <w:rsid w:val="001402A2"/>
    <w:rsid w:val="001414D6"/>
    <w:rsid w:val="0014182C"/>
    <w:rsid w:val="001427A3"/>
    <w:rsid w:val="00142E0B"/>
    <w:rsid w:val="001436B2"/>
    <w:rsid w:val="0014397D"/>
    <w:rsid w:val="0015336D"/>
    <w:rsid w:val="00153E97"/>
    <w:rsid w:val="00154A73"/>
    <w:rsid w:val="00156132"/>
    <w:rsid w:val="00156159"/>
    <w:rsid w:val="0015695F"/>
    <w:rsid w:val="001623A3"/>
    <w:rsid w:val="00164F97"/>
    <w:rsid w:val="001664ED"/>
    <w:rsid w:val="00167BC1"/>
    <w:rsid w:val="0017077A"/>
    <w:rsid w:val="00170D66"/>
    <w:rsid w:val="00170DC6"/>
    <w:rsid w:val="0017351A"/>
    <w:rsid w:val="00173627"/>
    <w:rsid w:val="00177858"/>
    <w:rsid w:val="00180898"/>
    <w:rsid w:val="00181EA4"/>
    <w:rsid w:val="001827C2"/>
    <w:rsid w:val="0018420D"/>
    <w:rsid w:val="001868E3"/>
    <w:rsid w:val="00186E6F"/>
    <w:rsid w:val="001931AC"/>
    <w:rsid w:val="00195782"/>
    <w:rsid w:val="0019776A"/>
    <w:rsid w:val="001A3931"/>
    <w:rsid w:val="001B1D26"/>
    <w:rsid w:val="001B5169"/>
    <w:rsid w:val="001B6719"/>
    <w:rsid w:val="001C0255"/>
    <w:rsid w:val="001C054B"/>
    <w:rsid w:val="001C0C28"/>
    <w:rsid w:val="001C0F11"/>
    <w:rsid w:val="001C1ABF"/>
    <w:rsid w:val="001C5529"/>
    <w:rsid w:val="001C621D"/>
    <w:rsid w:val="001E0F95"/>
    <w:rsid w:val="001E12FF"/>
    <w:rsid w:val="001E49F4"/>
    <w:rsid w:val="001E4FAE"/>
    <w:rsid w:val="001E5272"/>
    <w:rsid w:val="001E592A"/>
    <w:rsid w:val="001E66FB"/>
    <w:rsid w:val="001F15F7"/>
    <w:rsid w:val="001F2A15"/>
    <w:rsid w:val="001F78C1"/>
    <w:rsid w:val="0020009C"/>
    <w:rsid w:val="0020094F"/>
    <w:rsid w:val="00204675"/>
    <w:rsid w:val="00204E35"/>
    <w:rsid w:val="00205C42"/>
    <w:rsid w:val="00206BF4"/>
    <w:rsid w:val="002079EC"/>
    <w:rsid w:val="00216FF7"/>
    <w:rsid w:val="00221D95"/>
    <w:rsid w:val="00227079"/>
    <w:rsid w:val="00227DA3"/>
    <w:rsid w:val="00231A97"/>
    <w:rsid w:val="00232281"/>
    <w:rsid w:val="00234917"/>
    <w:rsid w:val="002418F1"/>
    <w:rsid w:val="002429EF"/>
    <w:rsid w:val="00247CF7"/>
    <w:rsid w:val="00251C7A"/>
    <w:rsid w:val="0025354E"/>
    <w:rsid w:val="00254B7F"/>
    <w:rsid w:val="002561B9"/>
    <w:rsid w:val="00261121"/>
    <w:rsid w:val="00262BA6"/>
    <w:rsid w:val="002645C1"/>
    <w:rsid w:val="0026591B"/>
    <w:rsid w:val="00266470"/>
    <w:rsid w:val="002669FD"/>
    <w:rsid w:val="00272B0B"/>
    <w:rsid w:val="002769F6"/>
    <w:rsid w:val="00281780"/>
    <w:rsid w:val="0028249A"/>
    <w:rsid w:val="002A2869"/>
    <w:rsid w:val="002A3C29"/>
    <w:rsid w:val="002A5A1E"/>
    <w:rsid w:val="002A663B"/>
    <w:rsid w:val="002A709B"/>
    <w:rsid w:val="002A7384"/>
    <w:rsid w:val="002B15FD"/>
    <w:rsid w:val="002B4251"/>
    <w:rsid w:val="002C07A5"/>
    <w:rsid w:val="002C086E"/>
    <w:rsid w:val="002C0F28"/>
    <w:rsid w:val="002C1D46"/>
    <w:rsid w:val="002C47C3"/>
    <w:rsid w:val="002C55AF"/>
    <w:rsid w:val="002C6921"/>
    <w:rsid w:val="002C6C13"/>
    <w:rsid w:val="002D107B"/>
    <w:rsid w:val="002D15B9"/>
    <w:rsid w:val="002D1D35"/>
    <w:rsid w:val="002D3EC0"/>
    <w:rsid w:val="002D6E93"/>
    <w:rsid w:val="002E04B0"/>
    <w:rsid w:val="002E0549"/>
    <w:rsid w:val="002E351B"/>
    <w:rsid w:val="002E5A71"/>
    <w:rsid w:val="002F23FC"/>
    <w:rsid w:val="002F66A0"/>
    <w:rsid w:val="002F7F8E"/>
    <w:rsid w:val="003042AA"/>
    <w:rsid w:val="00305DE0"/>
    <w:rsid w:val="00307E38"/>
    <w:rsid w:val="00311410"/>
    <w:rsid w:val="00311DE6"/>
    <w:rsid w:val="00316094"/>
    <w:rsid w:val="003169B6"/>
    <w:rsid w:val="00316E57"/>
    <w:rsid w:val="003202C8"/>
    <w:rsid w:val="00323390"/>
    <w:rsid w:val="0032356E"/>
    <w:rsid w:val="00326438"/>
    <w:rsid w:val="003268F7"/>
    <w:rsid w:val="00326944"/>
    <w:rsid w:val="00326FB4"/>
    <w:rsid w:val="00327D13"/>
    <w:rsid w:val="00330141"/>
    <w:rsid w:val="003327D2"/>
    <w:rsid w:val="0033482F"/>
    <w:rsid w:val="003357B5"/>
    <w:rsid w:val="00340E60"/>
    <w:rsid w:val="00352BB1"/>
    <w:rsid w:val="00353BCE"/>
    <w:rsid w:val="00354E2A"/>
    <w:rsid w:val="00357453"/>
    <w:rsid w:val="003577E1"/>
    <w:rsid w:val="00360134"/>
    <w:rsid w:val="003631BF"/>
    <w:rsid w:val="0036512B"/>
    <w:rsid w:val="00365B4E"/>
    <w:rsid w:val="00372A5B"/>
    <w:rsid w:val="00374311"/>
    <w:rsid w:val="00374588"/>
    <w:rsid w:val="00374903"/>
    <w:rsid w:val="00374D98"/>
    <w:rsid w:val="00376A5A"/>
    <w:rsid w:val="00383200"/>
    <w:rsid w:val="00383EB9"/>
    <w:rsid w:val="00384EC2"/>
    <w:rsid w:val="00387BBE"/>
    <w:rsid w:val="00390883"/>
    <w:rsid w:val="00391F50"/>
    <w:rsid w:val="0039416C"/>
    <w:rsid w:val="003A1F01"/>
    <w:rsid w:val="003A2410"/>
    <w:rsid w:val="003A39E1"/>
    <w:rsid w:val="003A6733"/>
    <w:rsid w:val="003A7454"/>
    <w:rsid w:val="003A7927"/>
    <w:rsid w:val="003B10AF"/>
    <w:rsid w:val="003B36A5"/>
    <w:rsid w:val="003B3811"/>
    <w:rsid w:val="003B3E05"/>
    <w:rsid w:val="003B64C4"/>
    <w:rsid w:val="003B7B80"/>
    <w:rsid w:val="003C19A7"/>
    <w:rsid w:val="003C4471"/>
    <w:rsid w:val="003C464C"/>
    <w:rsid w:val="003C7128"/>
    <w:rsid w:val="003D0B1A"/>
    <w:rsid w:val="003D4DE2"/>
    <w:rsid w:val="003D63BD"/>
    <w:rsid w:val="003E05EC"/>
    <w:rsid w:val="003E5908"/>
    <w:rsid w:val="003E7A0B"/>
    <w:rsid w:val="003F475F"/>
    <w:rsid w:val="003F73CD"/>
    <w:rsid w:val="003F7DA8"/>
    <w:rsid w:val="004009EF"/>
    <w:rsid w:val="00402EF9"/>
    <w:rsid w:val="00404055"/>
    <w:rsid w:val="00406DCC"/>
    <w:rsid w:val="00407031"/>
    <w:rsid w:val="004076CE"/>
    <w:rsid w:val="00407D3B"/>
    <w:rsid w:val="00412531"/>
    <w:rsid w:val="004128DB"/>
    <w:rsid w:val="00414658"/>
    <w:rsid w:val="0041613E"/>
    <w:rsid w:val="0041656D"/>
    <w:rsid w:val="00421FA2"/>
    <w:rsid w:val="00430EC6"/>
    <w:rsid w:val="004315D3"/>
    <w:rsid w:val="00435004"/>
    <w:rsid w:val="0044113D"/>
    <w:rsid w:val="004413EA"/>
    <w:rsid w:val="004415C6"/>
    <w:rsid w:val="004429CF"/>
    <w:rsid w:val="00443785"/>
    <w:rsid w:val="004446F7"/>
    <w:rsid w:val="004606B5"/>
    <w:rsid w:val="00461FF0"/>
    <w:rsid w:val="00463597"/>
    <w:rsid w:val="00463BE8"/>
    <w:rsid w:val="0046450A"/>
    <w:rsid w:val="00466021"/>
    <w:rsid w:val="00466123"/>
    <w:rsid w:val="00470695"/>
    <w:rsid w:val="00470F0A"/>
    <w:rsid w:val="0047190E"/>
    <w:rsid w:val="00473F5B"/>
    <w:rsid w:val="00474D5B"/>
    <w:rsid w:val="0048324B"/>
    <w:rsid w:val="00487CF3"/>
    <w:rsid w:val="00490047"/>
    <w:rsid w:val="00491AE4"/>
    <w:rsid w:val="004A3264"/>
    <w:rsid w:val="004A705C"/>
    <w:rsid w:val="004A7EB3"/>
    <w:rsid w:val="004B1267"/>
    <w:rsid w:val="004B159F"/>
    <w:rsid w:val="004B42BA"/>
    <w:rsid w:val="004B45E7"/>
    <w:rsid w:val="004B6AB8"/>
    <w:rsid w:val="004B6ECD"/>
    <w:rsid w:val="004B7C72"/>
    <w:rsid w:val="004C561D"/>
    <w:rsid w:val="004C70E8"/>
    <w:rsid w:val="004C7B7E"/>
    <w:rsid w:val="004D2472"/>
    <w:rsid w:val="004D61FE"/>
    <w:rsid w:val="004D72FB"/>
    <w:rsid w:val="004D786B"/>
    <w:rsid w:val="004E0066"/>
    <w:rsid w:val="004E09A7"/>
    <w:rsid w:val="004E30CC"/>
    <w:rsid w:val="004E7BFE"/>
    <w:rsid w:val="004F33A8"/>
    <w:rsid w:val="004F4A0D"/>
    <w:rsid w:val="004F5BB5"/>
    <w:rsid w:val="004F6C74"/>
    <w:rsid w:val="004F7190"/>
    <w:rsid w:val="005002D1"/>
    <w:rsid w:val="00500E40"/>
    <w:rsid w:val="005015DD"/>
    <w:rsid w:val="005102AB"/>
    <w:rsid w:val="00510BCE"/>
    <w:rsid w:val="00511DB3"/>
    <w:rsid w:val="00513A14"/>
    <w:rsid w:val="0051449E"/>
    <w:rsid w:val="005163FF"/>
    <w:rsid w:val="00517AA6"/>
    <w:rsid w:val="005206CE"/>
    <w:rsid w:val="00520E6B"/>
    <w:rsid w:val="005268BF"/>
    <w:rsid w:val="00526DE4"/>
    <w:rsid w:val="00527FB3"/>
    <w:rsid w:val="005359F0"/>
    <w:rsid w:val="00540E88"/>
    <w:rsid w:val="00541D23"/>
    <w:rsid w:val="00546947"/>
    <w:rsid w:val="005470E2"/>
    <w:rsid w:val="00547138"/>
    <w:rsid w:val="00553E49"/>
    <w:rsid w:val="00555E2C"/>
    <w:rsid w:val="005562C1"/>
    <w:rsid w:val="005611FA"/>
    <w:rsid w:val="00564FB9"/>
    <w:rsid w:val="00565413"/>
    <w:rsid w:val="00566803"/>
    <w:rsid w:val="00566EC2"/>
    <w:rsid w:val="00577351"/>
    <w:rsid w:val="005830F2"/>
    <w:rsid w:val="00585C61"/>
    <w:rsid w:val="00585FD1"/>
    <w:rsid w:val="00586407"/>
    <w:rsid w:val="005915A7"/>
    <w:rsid w:val="00592D63"/>
    <w:rsid w:val="00593866"/>
    <w:rsid w:val="00596C59"/>
    <w:rsid w:val="005A16F3"/>
    <w:rsid w:val="005A3F97"/>
    <w:rsid w:val="005A6BAF"/>
    <w:rsid w:val="005A74C5"/>
    <w:rsid w:val="005B0AC3"/>
    <w:rsid w:val="005B1BA8"/>
    <w:rsid w:val="005B2F67"/>
    <w:rsid w:val="005B6CD0"/>
    <w:rsid w:val="005C4596"/>
    <w:rsid w:val="005C55E3"/>
    <w:rsid w:val="005C5D99"/>
    <w:rsid w:val="005C6471"/>
    <w:rsid w:val="005C66B0"/>
    <w:rsid w:val="005C6D7F"/>
    <w:rsid w:val="005D04E1"/>
    <w:rsid w:val="005D29EB"/>
    <w:rsid w:val="005D2CC1"/>
    <w:rsid w:val="005D2DFC"/>
    <w:rsid w:val="005D3B91"/>
    <w:rsid w:val="005D5DC6"/>
    <w:rsid w:val="005D6B50"/>
    <w:rsid w:val="005E1FF7"/>
    <w:rsid w:val="005E3F3F"/>
    <w:rsid w:val="005E7734"/>
    <w:rsid w:val="005F16D0"/>
    <w:rsid w:val="005F4E14"/>
    <w:rsid w:val="0060101C"/>
    <w:rsid w:val="00606C45"/>
    <w:rsid w:val="006112CC"/>
    <w:rsid w:val="00617D03"/>
    <w:rsid w:val="00617EFD"/>
    <w:rsid w:val="00622053"/>
    <w:rsid w:val="0062207A"/>
    <w:rsid w:val="006230D4"/>
    <w:rsid w:val="00623444"/>
    <w:rsid w:val="00626264"/>
    <w:rsid w:val="006279CC"/>
    <w:rsid w:val="006305B8"/>
    <w:rsid w:val="006318A8"/>
    <w:rsid w:val="00632566"/>
    <w:rsid w:val="0063369B"/>
    <w:rsid w:val="006355D3"/>
    <w:rsid w:val="00637AF5"/>
    <w:rsid w:val="00642514"/>
    <w:rsid w:val="00643B7C"/>
    <w:rsid w:val="0065140A"/>
    <w:rsid w:val="00651C53"/>
    <w:rsid w:val="006549F8"/>
    <w:rsid w:val="00656E00"/>
    <w:rsid w:val="0065728B"/>
    <w:rsid w:val="006612D3"/>
    <w:rsid w:val="0066217F"/>
    <w:rsid w:val="006621E8"/>
    <w:rsid w:val="006624E3"/>
    <w:rsid w:val="00665C45"/>
    <w:rsid w:val="0066607F"/>
    <w:rsid w:val="00666411"/>
    <w:rsid w:val="0066692F"/>
    <w:rsid w:val="006701E1"/>
    <w:rsid w:val="00672E31"/>
    <w:rsid w:val="00676412"/>
    <w:rsid w:val="00676B9E"/>
    <w:rsid w:val="0067754B"/>
    <w:rsid w:val="00680DD2"/>
    <w:rsid w:val="006814B2"/>
    <w:rsid w:val="00692730"/>
    <w:rsid w:val="006A3923"/>
    <w:rsid w:val="006A59CF"/>
    <w:rsid w:val="006B0D7E"/>
    <w:rsid w:val="006B2B83"/>
    <w:rsid w:val="006B2C5A"/>
    <w:rsid w:val="006C22B0"/>
    <w:rsid w:val="006C323F"/>
    <w:rsid w:val="006D01B3"/>
    <w:rsid w:val="006D0D47"/>
    <w:rsid w:val="006D4C9D"/>
    <w:rsid w:val="006D77A6"/>
    <w:rsid w:val="006E0644"/>
    <w:rsid w:val="006E0EC3"/>
    <w:rsid w:val="006E2B5F"/>
    <w:rsid w:val="006E433A"/>
    <w:rsid w:val="006F0D99"/>
    <w:rsid w:val="006F3470"/>
    <w:rsid w:val="006F7256"/>
    <w:rsid w:val="006F7D53"/>
    <w:rsid w:val="00703A53"/>
    <w:rsid w:val="00707824"/>
    <w:rsid w:val="00710673"/>
    <w:rsid w:val="00717588"/>
    <w:rsid w:val="00717762"/>
    <w:rsid w:val="00722346"/>
    <w:rsid w:val="00722CBF"/>
    <w:rsid w:val="00723BDE"/>
    <w:rsid w:val="00725B2A"/>
    <w:rsid w:val="00726C17"/>
    <w:rsid w:val="007301F5"/>
    <w:rsid w:val="00735885"/>
    <w:rsid w:val="0074279E"/>
    <w:rsid w:val="00743ABB"/>
    <w:rsid w:val="007440F7"/>
    <w:rsid w:val="00744201"/>
    <w:rsid w:val="0074454B"/>
    <w:rsid w:val="00755691"/>
    <w:rsid w:val="00764D46"/>
    <w:rsid w:val="0076513C"/>
    <w:rsid w:val="007654E1"/>
    <w:rsid w:val="00766C8F"/>
    <w:rsid w:val="00767C5A"/>
    <w:rsid w:val="00770DD9"/>
    <w:rsid w:val="00772428"/>
    <w:rsid w:val="00774844"/>
    <w:rsid w:val="00774B4C"/>
    <w:rsid w:val="00777168"/>
    <w:rsid w:val="007811A8"/>
    <w:rsid w:val="00783454"/>
    <w:rsid w:val="00792822"/>
    <w:rsid w:val="007935B6"/>
    <w:rsid w:val="007941B6"/>
    <w:rsid w:val="007952F0"/>
    <w:rsid w:val="007A01F9"/>
    <w:rsid w:val="007A0287"/>
    <w:rsid w:val="007A1306"/>
    <w:rsid w:val="007A29DB"/>
    <w:rsid w:val="007A2EBB"/>
    <w:rsid w:val="007B0891"/>
    <w:rsid w:val="007B3379"/>
    <w:rsid w:val="007B6D5C"/>
    <w:rsid w:val="007C2E56"/>
    <w:rsid w:val="007C3F00"/>
    <w:rsid w:val="007C592B"/>
    <w:rsid w:val="007C6F1D"/>
    <w:rsid w:val="007D08FB"/>
    <w:rsid w:val="007D3389"/>
    <w:rsid w:val="007D71BB"/>
    <w:rsid w:val="007E05C7"/>
    <w:rsid w:val="007E17AB"/>
    <w:rsid w:val="007E29C7"/>
    <w:rsid w:val="007E43F9"/>
    <w:rsid w:val="007E60B7"/>
    <w:rsid w:val="007F18A5"/>
    <w:rsid w:val="007F3D87"/>
    <w:rsid w:val="007F73E7"/>
    <w:rsid w:val="008015ED"/>
    <w:rsid w:val="008023F7"/>
    <w:rsid w:val="008044EB"/>
    <w:rsid w:val="00804B66"/>
    <w:rsid w:val="0080536E"/>
    <w:rsid w:val="00805E0A"/>
    <w:rsid w:val="0080688A"/>
    <w:rsid w:val="008074A6"/>
    <w:rsid w:val="00817501"/>
    <w:rsid w:val="00820015"/>
    <w:rsid w:val="00820BB2"/>
    <w:rsid w:val="00822586"/>
    <w:rsid w:val="008238EE"/>
    <w:rsid w:val="00825337"/>
    <w:rsid w:val="00827E39"/>
    <w:rsid w:val="00827EA7"/>
    <w:rsid w:val="008341EF"/>
    <w:rsid w:val="00835D05"/>
    <w:rsid w:val="008407ED"/>
    <w:rsid w:val="00843C1C"/>
    <w:rsid w:val="008443FB"/>
    <w:rsid w:val="00850E7F"/>
    <w:rsid w:val="00852897"/>
    <w:rsid w:val="00852F3F"/>
    <w:rsid w:val="00854106"/>
    <w:rsid w:val="00860CEB"/>
    <w:rsid w:val="00861326"/>
    <w:rsid w:val="008713D5"/>
    <w:rsid w:val="0087312F"/>
    <w:rsid w:val="008740E1"/>
    <w:rsid w:val="008773E5"/>
    <w:rsid w:val="00883B69"/>
    <w:rsid w:val="008909EE"/>
    <w:rsid w:val="00891993"/>
    <w:rsid w:val="00892B80"/>
    <w:rsid w:val="00894810"/>
    <w:rsid w:val="008A0665"/>
    <w:rsid w:val="008A2AB3"/>
    <w:rsid w:val="008A3CFE"/>
    <w:rsid w:val="008A6AE9"/>
    <w:rsid w:val="008A6BDC"/>
    <w:rsid w:val="008A7636"/>
    <w:rsid w:val="008B1BA2"/>
    <w:rsid w:val="008B295E"/>
    <w:rsid w:val="008B7E56"/>
    <w:rsid w:val="008C6280"/>
    <w:rsid w:val="008D1110"/>
    <w:rsid w:val="008D55D8"/>
    <w:rsid w:val="008D5D81"/>
    <w:rsid w:val="008D5EF9"/>
    <w:rsid w:val="008E681C"/>
    <w:rsid w:val="008F1E81"/>
    <w:rsid w:val="008F202F"/>
    <w:rsid w:val="008F279C"/>
    <w:rsid w:val="00900BD0"/>
    <w:rsid w:val="00904C20"/>
    <w:rsid w:val="00904EA7"/>
    <w:rsid w:val="009067DC"/>
    <w:rsid w:val="009125C0"/>
    <w:rsid w:val="00912CE2"/>
    <w:rsid w:val="009225FD"/>
    <w:rsid w:val="00924B94"/>
    <w:rsid w:val="009308F6"/>
    <w:rsid w:val="00931F76"/>
    <w:rsid w:val="009346D3"/>
    <w:rsid w:val="009356F8"/>
    <w:rsid w:val="009376CB"/>
    <w:rsid w:val="00941E92"/>
    <w:rsid w:val="009427AA"/>
    <w:rsid w:val="00943054"/>
    <w:rsid w:val="009511E0"/>
    <w:rsid w:val="00951AD8"/>
    <w:rsid w:val="00952B48"/>
    <w:rsid w:val="00954A4F"/>
    <w:rsid w:val="0095576A"/>
    <w:rsid w:val="00962800"/>
    <w:rsid w:val="0096323D"/>
    <w:rsid w:val="0096592E"/>
    <w:rsid w:val="009723D5"/>
    <w:rsid w:val="00980CA1"/>
    <w:rsid w:val="00981E11"/>
    <w:rsid w:val="0098440B"/>
    <w:rsid w:val="00986D57"/>
    <w:rsid w:val="00993421"/>
    <w:rsid w:val="009943C3"/>
    <w:rsid w:val="009A412F"/>
    <w:rsid w:val="009A74DE"/>
    <w:rsid w:val="009A7C8E"/>
    <w:rsid w:val="009A7D68"/>
    <w:rsid w:val="009A7E8D"/>
    <w:rsid w:val="009B14AA"/>
    <w:rsid w:val="009B711C"/>
    <w:rsid w:val="009C0F08"/>
    <w:rsid w:val="009C0F3E"/>
    <w:rsid w:val="009C1328"/>
    <w:rsid w:val="009C3510"/>
    <w:rsid w:val="009C47DF"/>
    <w:rsid w:val="009C4A09"/>
    <w:rsid w:val="009C5848"/>
    <w:rsid w:val="009C6B1C"/>
    <w:rsid w:val="009C6C6D"/>
    <w:rsid w:val="009D2E36"/>
    <w:rsid w:val="009D33CE"/>
    <w:rsid w:val="009E078F"/>
    <w:rsid w:val="009E4079"/>
    <w:rsid w:val="009F0367"/>
    <w:rsid w:val="009F164A"/>
    <w:rsid w:val="009F22A0"/>
    <w:rsid w:val="009F6560"/>
    <w:rsid w:val="009F6DDC"/>
    <w:rsid w:val="00A0041E"/>
    <w:rsid w:val="00A04CBD"/>
    <w:rsid w:val="00A05987"/>
    <w:rsid w:val="00A06101"/>
    <w:rsid w:val="00A12252"/>
    <w:rsid w:val="00A122AB"/>
    <w:rsid w:val="00A17E40"/>
    <w:rsid w:val="00A2366A"/>
    <w:rsid w:val="00A24389"/>
    <w:rsid w:val="00A27E49"/>
    <w:rsid w:val="00A31967"/>
    <w:rsid w:val="00A32E99"/>
    <w:rsid w:val="00A40284"/>
    <w:rsid w:val="00A4261E"/>
    <w:rsid w:val="00A60AFB"/>
    <w:rsid w:val="00A645E5"/>
    <w:rsid w:val="00A719EE"/>
    <w:rsid w:val="00A74736"/>
    <w:rsid w:val="00A74C3E"/>
    <w:rsid w:val="00A74C64"/>
    <w:rsid w:val="00A76511"/>
    <w:rsid w:val="00A8000C"/>
    <w:rsid w:val="00A81CAD"/>
    <w:rsid w:val="00A86A38"/>
    <w:rsid w:val="00A87D7A"/>
    <w:rsid w:val="00A91909"/>
    <w:rsid w:val="00A92416"/>
    <w:rsid w:val="00A94315"/>
    <w:rsid w:val="00A945E4"/>
    <w:rsid w:val="00A94BCC"/>
    <w:rsid w:val="00A95CDF"/>
    <w:rsid w:val="00A9601C"/>
    <w:rsid w:val="00AA2167"/>
    <w:rsid w:val="00AA3BF9"/>
    <w:rsid w:val="00AA3FA9"/>
    <w:rsid w:val="00AA608C"/>
    <w:rsid w:val="00AA7CB2"/>
    <w:rsid w:val="00AB5BDC"/>
    <w:rsid w:val="00AC290D"/>
    <w:rsid w:val="00AC2C8D"/>
    <w:rsid w:val="00AC4678"/>
    <w:rsid w:val="00AC500B"/>
    <w:rsid w:val="00AC6749"/>
    <w:rsid w:val="00AC691F"/>
    <w:rsid w:val="00AC7F2B"/>
    <w:rsid w:val="00AD2128"/>
    <w:rsid w:val="00AE1109"/>
    <w:rsid w:val="00AE18A7"/>
    <w:rsid w:val="00AE1F6A"/>
    <w:rsid w:val="00AF0CDB"/>
    <w:rsid w:val="00AF3C71"/>
    <w:rsid w:val="00AF62C3"/>
    <w:rsid w:val="00AF63BF"/>
    <w:rsid w:val="00AF680C"/>
    <w:rsid w:val="00AF6D36"/>
    <w:rsid w:val="00AF73BD"/>
    <w:rsid w:val="00B0012D"/>
    <w:rsid w:val="00B005B2"/>
    <w:rsid w:val="00B02932"/>
    <w:rsid w:val="00B1156A"/>
    <w:rsid w:val="00B12041"/>
    <w:rsid w:val="00B129E4"/>
    <w:rsid w:val="00B20ADD"/>
    <w:rsid w:val="00B21DAC"/>
    <w:rsid w:val="00B22440"/>
    <w:rsid w:val="00B25458"/>
    <w:rsid w:val="00B277F7"/>
    <w:rsid w:val="00B309DF"/>
    <w:rsid w:val="00B31505"/>
    <w:rsid w:val="00B35391"/>
    <w:rsid w:val="00B427AF"/>
    <w:rsid w:val="00B42C94"/>
    <w:rsid w:val="00B516DA"/>
    <w:rsid w:val="00B51968"/>
    <w:rsid w:val="00B519A9"/>
    <w:rsid w:val="00B530C9"/>
    <w:rsid w:val="00B57ED5"/>
    <w:rsid w:val="00B612AF"/>
    <w:rsid w:val="00B623E6"/>
    <w:rsid w:val="00B6347E"/>
    <w:rsid w:val="00B63721"/>
    <w:rsid w:val="00B667A4"/>
    <w:rsid w:val="00B6680D"/>
    <w:rsid w:val="00B67CB2"/>
    <w:rsid w:val="00B746E1"/>
    <w:rsid w:val="00B74B41"/>
    <w:rsid w:val="00B80DFF"/>
    <w:rsid w:val="00B86445"/>
    <w:rsid w:val="00B91E25"/>
    <w:rsid w:val="00B924B6"/>
    <w:rsid w:val="00BA07B9"/>
    <w:rsid w:val="00BA0F24"/>
    <w:rsid w:val="00BA44B3"/>
    <w:rsid w:val="00BA7881"/>
    <w:rsid w:val="00BB2B92"/>
    <w:rsid w:val="00BC2D10"/>
    <w:rsid w:val="00BC3560"/>
    <w:rsid w:val="00BC4B9C"/>
    <w:rsid w:val="00BD0D2A"/>
    <w:rsid w:val="00BD19A0"/>
    <w:rsid w:val="00BD3725"/>
    <w:rsid w:val="00BD52B6"/>
    <w:rsid w:val="00BE20A7"/>
    <w:rsid w:val="00BE48C8"/>
    <w:rsid w:val="00BE76F0"/>
    <w:rsid w:val="00BF32C8"/>
    <w:rsid w:val="00BF507B"/>
    <w:rsid w:val="00BF6454"/>
    <w:rsid w:val="00BF67BF"/>
    <w:rsid w:val="00BF7140"/>
    <w:rsid w:val="00BF71B3"/>
    <w:rsid w:val="00BF7940"/>
    <w:rsid w:val="00C0103F"/>
    <w:rsid w:val="00C0241A"/>
    <w:rsid w:val="00C05C74"/>
    <w:rsid w:val="00C118DE"/>
    <w:rsid w:val="00C15205"/>
    <w:rsid w:val="00C17759"/>
    <w:rsid w:val="00C251A9"/>
    <w:rsid w:val="00C252F8"/>
    <w:rsid w:val="00C26335"/>
    <w:rsid w:val="00C276E0"/>
    <w:rsid w:val="00C31FD6"/>
    <w:rsid w:val="00C322D8"/>
    <w:rsid w:val="00C32A64"/>
    <w:rsid w:val="00C33777"/>
    <w:rsid w:val="00C33F3F"/>
    <w:rsid w:val="00C362E3"/>
    <w:rsid w:val="00C37F95"/>
    <w:rsid w:val="00C41911"/>
    <w:rsid w:val="00C425EA"/>
    <w:rsid w:val="00C43780"/>
    <w:rsid w:val="00C4558D"/>
    <w:rsid w:val="00C463A9"/>
    <w:rsid w:val="00C4688F"/>
    <w:rsid w:val="00C47057"/>
    <w:rsid w:val="00C47F9D"/>
    <w:rsid w:val="00C5495A"/>
    <w:rsid w:val="00C652C7"/>
    <w:rsid w:val="00C65F8C"/>
    <w:rsid w:val="00C721EA"/>
    <w:rsid w:val="00C724EE"/>
    <w:rsid w:val="00C827DA"/>
    <w:rsid w:val="00C82C04"/>
    <w:rsid w:val="00C83D74"/>
    <w:rsid w:val="00C84DD1"/>
    <w:rsid w:val="00C875FC"/>
    <w:rsid w:val="00C876EA"/>
    <w:rsid w:val="00C90B33"/>
    <w:rsid w:val="00C91746"/>
    <w:rsid w:val="00C918CF"/>
    <w:rsid w:val="00C9508B"/>
    <w:rsid w:val="00C97AB7"/>
    <w:rsid w:val="00CA087E"/>
    <w:rsid w:val="00CA62BF"/>
    <w:rsid w:val="00CB2C33"/>
    <w:rsid w:val="00CB359E"/>
    <w:rsid w:val="00CB5B52"/>
    <w:rsid w:val="00CB6540"/>
    <w:rsid w:val="00CC0717"/>
    <w:rsid w:val="00CC0D65"/>
    <w:rsid w:val="00CC3D7F"/>
    <w:rsid w:val="00CC4700"/>
    <w:rsid w:val="00CC4E01"/>
    <w:rsid w:val="00CC76D5"/>
    <w:rsid w:val="00CC7983"/>
    <w:rsid w:val="00CD12E6"/>
    <w:rsid w:val="00CD1F16"/>
    <w:rsid w:val="00CD346C"/>
    <w:rsid w:val="00CD4747"/>
    <w:rsid w:val="00CD59A8"/>
    <w:rsid w:val="00CD6DEB"/>
    <w:rsid w:val="00CE0AC9"/>
    <w:rsid w:val="00CF21B0"/>
    <w:rsid w:val="00CF6C34"/>
    <w:rsid w:val="00CF73FD"/>
    <w:rsid w:val="00CF7A50"/>
    <w:rsid w:val="00D00AEA"/>
    <w:rsid w:val="00D02834"/>
    <w:rsid w:val="00D03401"/>
    <w:rsid w:val="00D03518"/>
    <w:rsid w:val="00D03AC8"/>
    <w:rsid w:val="00D12AEE"/>
    <w:rsid w:val="00D14BA9"/>
    <w:rsid w:val="00D15EEC"/>
    <w:rsid w:val="00D16AA3"/>
    <w:rsid w:val="00D26CB8"/>
    <w:rsid w:val="00D3052D"/>
    <w:rsid w:val="00D32B5E"/>
    <w:rsid w:val="00D32F2B"/>
    <w:rsid w:val="00D3516F"/>
    <w:rsid w:val="00D362EF"/>
    <w:rsid w:val="00D37335"/>
    <w:rsid w:val="00D40B90"/>
    <w:rsid w:val="00D41A57"/>
    <w:rsid w:val="00D42326"/>
    <w:rsid w:val="00D446A8"/>
    <w:rsid w:val="00D50382"/>
    <w:rsid w:val="00D50C76"/>
    <w:rsid w:val="00D5346E"/>
    <w:rsid w:val="00D5441C"/>
    <w:rsid w:val="00D55AFE"/>
    <w:rsid w:val="00D55F96"/>
    <w:rsid w:val="00D61E94"/>
    <w:rsid w:val="00D624A3"/>
    <w:rsid w:val="00D6293A"/>
    <w:rsid w:val="00D76A72"/>
    <w:rsid w:val="00D76EF4"/>
    <w:rsid w:val="00D775D1"/>
    <w:rsid w:val="00D80621"/>
    <w:rsid w:val="00D80A31"/>
    <w:rsid w:val="00D81526"/>
    <w:rsid w:val="00D81D2D"/>
    <w:rsid w:val="00D91835"/>
    <w:rsid w:val="00D94ABF"/>
    <w:rsid w:val="00D962D6"/>
    <w:rsid w:val="00DA11A7"/>
    <w:rsid w:val="00DA5284"/>
    <w:rsid w:val="00DA546D"/>
    <w:rsid w:val="00DA5598"/>
    <w:rsid w:val="00DB1C08"/>
    <w:rsid w:val="00DB245C"/>
    <w:rsid w:val="00DB261C"/>
    <w:rsid w:val="00DB360C"/>
    <w:rsid w:val="00DB49E3"/>
    <w:rsid w:val="00DB4BB7"/>
    <w:rsid w:val="00DC54BA"/>
    <w:rsid w:val="00DC5E9A"/>
    <w:rsid w:val="00DC6237"/>
    <w:rsid w:val="00DD7AAE"/>
    <w:rsid w:val="00DE05F8"/>
    <w:rsid w:val="00DE06C0"/>
    <w:rsid w:val="00DE31BB"/>
    <w:rsid w:val="00DE4572"/>
    <w:rsid w:val="00DE6D31"/>
    <w:rsid w:val="00DE74DD"/>
    <w:rsid w:val="00DF2153"/>
    <w:rsid w:val="00DF265B"/>
    <w:rsid w:val="00DF434F"/>
    <w:rsid w:val="00DF443A"/>
    <w:rsid w:val="00DF5E17"/>
    <w:rsid w:val="00E00FB5"/>
    <w:rsid w:val="00E02794"/>
    <w:rsid w:val="00E07C28"/>
    <w:rsid w:val="00E10F14"/>
    <w:rsid w:val="00E200CC"/>
    <w:rsid w:val="00E239D6"/>
    <w:rsid w:val="00E24D84"/>
    <w:rsid w:val="00E26BD7"/>
    <w:rsid w:val="00E2744A"/>
    <w:rsid w:val="00E27E09"/>
    <w:rsid w:val="00E30578"/>
    <w:rsid w:val="00E328D9"/>
    <w:rsid w:val="00E337AC"/>
    <w:rsid w:val="00E37723"/>
    <w:rsid w:val="00E40B54"/>
    <w:rsid w:val="00E40C1B"/>
    <w:rsid w:val="00E41D50"/>
    <w:rsid w:val="00E513B6"/>
    <w:rsid w:val="00E519C2"/>
    <w:rsid w:val="00E51BFA"/>
    <w:rsid w:val="00E53F03"/>
    <w:rsid w:val="00E56ACF"/>
    <w:rsid w:val="00E5772B"/>
    <w:rsid w:val="00E57777"/>
    <w:rsid w:val="00E65D59"/>
    <w:rsid w:val="00E711B2"/>
    <w:rsid w:val="00E75161"/>
    <w:rsid w:val="00E75432"/>
    <w:rsid w:val="00E76D67"/>
    <w:rsid w:val="00E77B8C"/>
    <w:rsid w:val="00E819E7"/>
    <w:rsid w:val="00E82C7C"/>
    <w:rsid w:val="00E841FB"/>
    <w:rsid w:val="00E8463C"/>
    <w:rsid w:val="00E84F9D"/>
    <w:rsid w:val="00E863C5"/>
    <w:rsid w:val="00E86540"/>
    <w:rsid w:val="00E90BE6"/>
    <w:rsid w:val="00E91783"/>
    <w:rsid w:val="00E92636"/>
    <w:rsid w:val="00E97A4A"/>
    <w:rsid w:val="00EA08BD"/>
    <w:rsid w:val="00EA0C2A"/>
    <w:rsid w:val="00EA1107"/>
    <w:rsid w:val="00EA2045"/>
    <w:rsid w:val="00EA710B"/>
    <w:rsid w:val="00EA7464"/>
    <w:rsid w:val="00EA7B53"/>
    <w:rsid w:val="00EB1D9A"/>
    <w:rsid w:val="00EB3CD1"/>
    <w:rsid w:val="00EB3CEF"/>
    <w:rsid w:val="00EC31C8"/>
    <w:rsid w:val="00EC6A4B"/>
    <w:rsid w:val="00ED10F6"/>
    <w:rsid w:val="00ED1B2C"/>
    <w:rsid w:val="00ED1C10"/>
    <w:rsid w:val="00ED27BB"/>
    <w:rsid w:val="00ED30D0"/>
    <w:rsid w:val="00ED327E"/>
    <w:rsid w:val="00ED5335"/>
    <w:rsid w:val="00ED7BEC"/>
    <w:rsid w:val="00EE1860"/>
    <w:rsid w:val="00EE4374"/>
    <w:rsid w:val="00EF7F76"/>
    <w:rsid w:val="00F019E9"/>
    <w:rsid w:val="00F0719C"/>
    <w:rsid w:val="00F12434"/>
    <w:rsid w:val="00F13E5C"/>
    <w:rsid w:val="00F22D19"/>
    <w:rsid w:val="00F23F93"/>
    <w:rsid w:val="00F24506"/>
    <w:rsid w:val="00F24B1D"/>
    <w:rsid w:val="00F258F2"/>
    <w:rsid w:val="00F267AC"/>
    <w:rsid w:val="00F2686C"/>
    <w:rsid w:val="00F3130F"/>
    <w:rsid w:val="00F316AB"/>
    <w:rsid w:val="00F33200"/>
    <w:rsid w:val="00F33452"/>
    <w:rsid w:val="00F35AB4"/>
    <w:rsid w:val="00F425C3"/>
    <w:rsid w:val="00F468EE"/>
    <w:rsid w:val="00F51273"/>
    <w:rsid w:val="00F52D4B"/>
    <w:rsid w:val="00F531BC"/>
    <w:rsid w:val="00F54AA6"/>
    <w:rsid w:val="00F557D8"/>
    <w:rsid w:val="00F569A4"/>
    <w:rsid w:val="00F608F8"/>
    <w:rsid w:val="00F70602"/>
    <w:rsid w:val="00F76EF9"/>
    <w:rsid w:val="00F805D9"/>
    <w:rsid w:val="00F8107D"/>
    <w:rsid w:val="00F810F8"/>
    <w:rsid w:val="00F81BDB"/>
    <w:rsid w:val="00F81F21"/>
    <w:rsid w:val="00F82A8F"/>
    <w:rsid w:val="00F8674E"/>
    <w:rsid w:val="00F91E99"/>
    <w:rsid w:val="00F92297"/>
    <w:rsid w:val="00F93899"/>
    <w:rsid w:val="00F948FE"/>
    <w:rsid w:val="00F963C0"/>
    <w:rsid w:val="00FA0421"/>
    <w:rsid w:val="00FA5498"/>
    <w:rsid w:val="00FA69DC"/>
    <w:rsid w:val="00FA6BFB"/>
    <w:rsid w:val="00FB0DE5"/>
    <w:rsid w:val="00FB2E6D"/>
    <w:rsid w:val="00FB42B0"/>
    <w:rsid w:val="00FB4745"/>
    <w:rsid w:val="00FB7594"/>
    <w:rsid w:val="00FC1DB1"/>
    <w:rsid w:val="00FC2697"/>
    <w:rsid w:val="00FC3E1B"/>
    <w:rsid w:val="00FC5E92"/>
    <w:rsid w:val="00FC7252"/>
    <w:rsid w:val="00FC7F5F"/>
    <w:rsid w:val="00FD003F"/>
    <w:rsid w:val="00FD0681"/>
    <w:rsid w:val="00FD1C48"/>
    <w:rsid w:val="00FD236F"/>
    <w:rsid w:val="00FD2B29"/>
    <w:rsid w:val="00FD6A52"/>
    <w:rsid w:val="00FE0C2F"/>
    <w:rsid w:val="00FE135B"/>
    <w:rsid w:val="00FE21E0"/>
    <w:rsid w:val="00FE6C4E"/>
    <w:rsid w:val="00FF4A3C"/>
    <w:rsid w:val="194FC86F"/>
    <w:rsid w:val="706CFC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74AB8E86-56BF-4C4C-B1CF-A0372C3F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qFormat/>
    <w:rsid w:val="003268F7"/>
    <w:pPr>
      <w:keepNext/>
      <w:spacing w:before="120"/>
      <w:outlineLvl w:val="3"/>
    </w:pPr>
    <w:rPr>
      <w:rFonts w:cs="Arial"/>
      <w:sz w:val="22"/>
    </w:rPr>
  </w:style>
  <w:style w:type="paragraph" w:styleId="Heading5">
    <w:name w:val="heading 5"/>
    <w:basedOn w:val="Normal"/>
    <w:next w:val="Normal"/>
    <w:link w:val="Heading5Char"/>
    <w:unhideWhenUsed/>
    <w:rsid w:val="008015ED"/>
    <w:pPr>
      <w:keepNext/>
      <w:keepLines/>
      <w:spacing w:before="40" w:after="240"/>
      <w:outlineLvl w:val="4"/>
    </w:pPr>
    <w:rPr>
      <w:rFonts w:eastAsiaTheme="majorEastAsia" w:cstheme="majorBidi"/>
      <w:i/>
      <w:color w:val="4C6968" w:themeColor="text1"/>
    </w:rPr>
  </w:style>
  <w:style w:type="paragraph" w:styleId="Heading6">
    <w:name w:val="heading 6"/>
    <w:basedOn w:val="Normal"/>
    <w:link w:val="Heading6Char"/>
    <w:rsid w:val="002A663B"/>
    <w:pPr>
      <w:tabs>
        <w:tab w:val="num" w:pos="4820"/>
      </w:tabs>
      <w:spacing w:after="240"/>
      <w:ind w:left="4820" w:hanging="964"/>
      <w:outlineLvl w:val="5"/>
    </w:pPr>
    <w:rPr>
      <w:rFonts w:ascii="Arial" w:eastAsia="Times New Roman" w:hAnsi="Arial"/>
      <w:bCs/>
      <w:lang w:eastAsia="en-AU"/>
    </w:rPr>
  </w:style>
  <w:style w:type="paragraph" w:styleId="Heading7">
    <w:name w:val="heading 7"/>
    <w:basedOn w:val="Normal"/>
    <w:link w:val="Heading7Char"/>
    <w:rsid w:val="002A663B"/>
    <w:pPr>
      <w:tabs>
        <w:tab w:val="num" w:pos="5783"/>
      </w:tabs>
      <w:spacing w:after="240"/>
      <w:ind w:left="5783" w:hanging="963"/>
      <w:outlineLvl w:val="6"/>
    </w:pPr>
    <w:rPr>
      <w:rFonts w:ascii="Arial" w:eastAsia="Times New Roman" w:hAnsi="Arial"/>
      <w:szCs w:val="20"/>
      <w:lang w:eastAsia="en-AU"/>
    </w:rPr>
  </w:style>
  <w:style w:type="paragraph" w:styleId="Heading8">
    <w:name w:val="heading 8"/>
    <w:basedOn w:val="Normal"/>
    <w:link w:val="Heading8Char"/>
    <w:rsid w:val="002A663B"/>
    <w:pPr>
      <w:tabs>
        <w:tab w:val="num" w:pos="6747"/>
      </w:tabs>
      <w:spacing w:after="240"/>
      <w:ind w:left="6747" w:hanging="964"/>
      <w:outlineLvl w:val="7"/>
    </w:pPr>
    <w:rPr>
      <w:rFonts w:ascii="Arial" w:eastAsia="Times New Roman" w:hAnsi="Arial"/>
      <w:iCs/>
      <w:szCs w:val="20"/>
      <w:lang w:eastAsia="en-AU"/>
    </w:rPr>
  </w:style>
  <w:style w:type="paragraph" w:styleId="Heading9">
    <w:name w:val="heading 9"/>
    <w:basedOn w:val="Normal"/>
    <w:next w:val="Normal"/>
    <w:link w:val="Heading9Char"/>
    <w:rsid w:val="002A663B"/>
    <w:pPr>
      <w:keepNext/>
      <w:spacing w:after="240"/>
      <w:outlineLvl w:val="8"/>
    </w:pPr>
    <w:rPr>
      <w:rFonts w:ascii="Arial" w:eastAsia="Times New Roman" w:hAnsi="Arial" w:cs="Arial"/>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4"/>
      </w:numPr>
      <w:spacing w:after="120"/>
    </w:pPr>
  </w:style>
  <w:style w:type="paragraph" w:styleId="ListBullet2">
    <w:name w:val="List Bullet 2"/>
    <w:basedOn w:val="Normal"/>
    <w:uiPriority w:val="99"/>
    <w:unhideWhenUsed/>
    <w:pPr>
      <w:numPr>
        <w:ilvl w:val="1"/>
        <w:numId w:val="4"/>
      </w:numPr>
    </w:pPr>
  </w:style>
  <w:style w:type="numbering" w:customStyle="1" w:styleId="Attach">
    <w:name w:val="Attach"/>
    <w:basedOn w:val="NoList"/>
    <w:uiPriority w:val="99"/>
    <w:pPr>
      <w:numPr>
        <w:numId w:val="3"/>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5"/>
      </w:numPr>
      <w:spacing w:before="120" w:after="120"/>
    </w:pPr>
  </w:style>
  <w:style w:type="paragraph" w:styleId="ListNumber2">
    <w:name w:val="List Number 2"/>
    <w:basedOn w:val="Normal"/>
    <w:uiPriority w:val="99"/>
    <w:rsid w:val="00FE0C2F"/>
    <w:pPr>
      <w:numPr>
        <w:ilvl w:val="1"/>
        <w:numId w:val="5"/>
      </w:numPr>
      <w:spacing w:after="120"/>
    </w:pPr>
    <w:rPr>
      <w:rFonts w:cs="Segoe UI"/>
    </w:rPr>
  </w:style>
  <w:style w:type="paragraph" w:styleId="ListNumber3">
    <w:name w:val="List Number 3"/>
    <w:basedOn w:val="Normal"/>
    <w:uiPriority w:val="99"/>
    <w:rsid w:val="00FE0C2F"/>
    <w:pPr>
      <w:numPr>
        <w:ilvl w:val="2"/>
        <w:numId w:val="5"/>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rsid w:val="00C118DE"/>
    <w:rPr>
      <w:rFonts w:eastAsiaTheme="minorEastAsia" w:cstheme="minorBidi"/>
      <w:sz w:val="20"/>
      <w:szCs w:val="20"/>
      <w:lang w:eastAsia="en-GB"/>
    </w:rPr>
  </w:style>
  <w:style w:type="paragraph" w:styleId="ListParagraph">
    <w:name w:val="List Paragraph"/>
    <w:basedOn w:val="Normal"/>
    <w:uiPriority w:val="34"/>
    <w:rsid w:val="00104AF8"/>
    <w:pPr>
      <w:ind w:left="720"/>
      <w:contextualSpacing/>
    </w:pPr>
  </w:style>
  <w:style w:type="paragraph" w:styleId="Revision">
    <w:name w:val="Revision"/>
    <w:hidden/>
    <w:uiPriority w:val="99"/>
    <w:semiHidden/>
    <w:rsid w:val="002A2869"/>
    <w:rPr>
      <w:rFonts w:ascii="Verdana" w:hAnsi="Verdana"/>
      <w:sz w:val="20"/>
      <w:lang w:eastAsia="en-US"/>
    </w:rPr>
  </w:style>
  <w:style w:type="character" w:styleId="Mention">
    <w:name w:val="Mention"/>
    <w:basedOn w:val="DefaultParagraphFont"/>
    <w:uiPriority w:val="99"/>
    <w:unhideWhenUsed/>
    <w:rsid w:val="00BF67BF"/>
    <w:rPr>
      <w:color w:val="2B579A"/>
      <w:shd w:val="clear" w:color="auto" w:fill="E1DFDD"/>
    </w:rPr>
  </w:style>
  <w:style w:type="character" w:customStyle="1" w:styleId="Heading6Char">
    <w:name w:val="Heading 6 Char"/>
    <w:basedOn w:val="DefaultParagraphFont"/>
    <w:link w:val="Heading6"/>
    <w:rsid w:val="002A663B"/>
    <w:rPr>
      <w:rFonts w:eastAsia="Times New Roman"/>
      <w:bCs/>
      <w:sz w:val="20"/>
    </w:rPr>
  </w:style>
  <w:style w:type="character" w:customStyle="1" w:styleId="Heading7Char">
    <w:name w:val="Heading 7 Char"/>
    <w:basedOn w:val="DefaultParagraphFont"/>
    <w:link w:val="Heading7"/>
    <w:rsid w:val="002A663B"/>
    <w:rPr>
      <w:rFonts w:eastAsia="Times New Roman"/>
      <w:sz w:val="20"/>
      <w:szCs w:val="20"/>
    </w:rPr>
  </w:style>
  <w:style w:type="character" w:customStyle="1" w:styleId="Heading8Char">
    <w:name w:val="Heading 8 Char"/>
    <w:basedOn w:val="DefaultParagraphFont"/>
    <w:link w:val="Heading8"/>
    <w:rsid w:val="002A663B"/>
    <w:rPr>
      <w:rFonts w:eastAsia="Times New Roman"/>
      <w:iCs/>
      <w:sz w:val="20"/>
      <w:szCs w:val="20"/>
    </w:rPr>
  </w:style>
  <w:style w:type="character" w:customStyle="1" w:styleId="Heading9Char">
    <w:name w:val="Heading 9 Char"/>
    <w:basedOn w:val="DefaultParagraphFont"/>
    <w:link w:val="Heading9"/>
    <w:rsid w:val="002A663B"/>
    <w:rPr>
      <w:rFonts w:eastAsia="Times New Roman" w:cs="Arial"/>
      <w:b/>
      <w:sz w:val="24"/>
    </w:rPr>
  </w:style>
  <w:style w:type="character" w:styleId="FootnoteReference">
    <w:name w:val="footnote reference"/>
    <w:semiHidden/>
    <w:rsid w:val="002A663B"/>
    <w:rPr>
      <w:rFonts w:ascii="Arial" w:hAnsi="Arial"/>
      <w:sz w:val="17"/>
      <w:vertAlign w:val="superscript"/>
    </w:rPr>
  </w:style>
  <w:style w:type="paragraph" w:styleId="FootnoteText">
    <w:name w:val="footnote text"/>
    <w:basedOn w:val="Normal"/>
    <w:link w:val="FootnoteTextChar"/>
    <w:semiHidden/>
    <w:rsid w:val="002A663B"/>
    <w:rPr>
      <w:rFonts w:ascii="Arial" w:eastAsia="Times New Roman" w:hAnsi="Arial"/>
      <w:sz w:val="18"/>
      <w:szCs w:val="20"/>
    </w:rPr>
  </w:style>
  <w:style w:type="character" w:customStyle="1" w:styleId="FootnoteTextChar">
    <w:name w:val="Footnote Text Char"/>
    <w:basedOn w:val="DefaultParagraphFont"/>
    <w:link w:val="FootnoteText"/>
    <w:semiHidden/>
    <w:rsid w:val="002A663B"/>
    <w:rPr>
      <w:rFonts w:eastAsia="Times New Roman"/>
      <w:sz w:val="18"/>
      <w:szCs w:val="20"/>
      <w:lang w:eastAsia="en-US"/>
    </w:rPr>
  </w:style>
  <w:style w:type="numbering" w:customStyle="1" w:styleId="CUHeading">
    <w:name w:val="CU_Heading"/>
    <w:uiPriority w:val="99"/>
    <w:rsid w:val="002A663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gwc.gov.au/conta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A66950E6-4CD6-4218-8442-DFAB3F78F34D}"/>
</file>

<file path=customXml/itemProps2.xml><?xml version="1.0" encoding="utf-8"?>
<ds:datastoreItem xmlns:ds="http://schemas.openxmlformats.org/officeDocument/2006/customXml" ds:itemID="{8E89AB24-ABD1-41D0-B7A0-0E837BE8B92C}"/>
</file>

<file path=customXml/itemProps3.xml><?xml version="1.0" encoding="utf-8"?>
<ds:datastoreItem xmlns:ds="http://schemas.openxmlformats.org/officeDocument/2006/customXml" ds:itemID="{1942EAC5-B4D8-4FCA-BCCA-2E668C1173DF}"/>
</file>

<file path=docProps/app.xml><?xml version="1.0" encoding="utf-8"?>
<Properties xmlns="http://schemas.openxmlformats.org/officeDocument/2006/extended-properties" xmlns:vt="http://schemas.openxmlformats.org/officeDocument/2006/docPropsVTypes">
  <Template>Normal</Template>
  <TotalTime>1</TotalTime>
  <Pages>11</Pages>
  <Words>4398</Words>
  <Characters>25075</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Response to submissions</vt:lpstr>
    </vt:vector>
  </TitlesOfParts>
  <Manager/>
  <Company/>
  <LinksUpToDate>false</LinksUpToDate>
  <CharactersWithSpaces>29415</CharactersWithSpaces>
  <SharedDoc>false</SharedDoc>
  <HLinks>
    <vt:vector size="126" baseType="variant">
      <vt:variant>
        <vt:i4>7012392</vt:i4>
      </vt:variant>
      <vt:variant>
        <vt:i4>99</vt:i4>
      </vt:variant>
      <vt:variant>
        <vt:i4>0</vt:i4>
      </vt:variant>
      <vt:variant>
        <vt:i4>5</vt:i4>
      </vt:variant>
      <vt:variant>
        <vt:lpwstr>https://www.igwc.gov.au/contact</vt:lpwstr>
      </vt:variant>
      <vt:variant>
        <vt:lpwstr/>
      </vt:variant>
      <vt:variant>
        <vt:i4>1703989</vt:i4>
      </vt:variant>
      <vt:variant>
        <vt:i4>92</vt:i4>
      </vt:variant>
      <vt:variant>
        <vt:i4>0</vt:i4>
      </vt:variant>
      <vt:variant>
        <vt:i4>5</vt:i4>
      </vt:variant>
      <vt:variant>
        <vt:lpwstr/>
      </vt:variant>
      <vt:variant>
        <vt:lpwstr>_Toc136847614</vt:lpwstr>
      </vt:variant>
      <vt:variant>
        <vt:i4>1703989</vt:i4>
      </vt:variant>
      <vt:variant>
        <vt:i4>86</vt:i4>
      </vt:variant>
      <vt:variant>
        <vt:i4>0</vt:i4>
      </vt:variant>
      <vt:variant>
        <vt:i4>5</vt:i4>
      </vt:variant>
      <vt:variant>
        <vt:lpwstr/>
      </vt:variant>
      <vt:variant>
        <vt:lpwstr>_Toc136847613</vt:lpwstr>
      </vt:variant>
      <vt:variant>
        <vt:i4>1703989</vt:i4>
      </vt:variant>
      <vt:variant>
        <vt:i4>80</vt:i4>
      </vt:variant>
      <vt:variant>
        <vt:i4>0</vt:i4>
      </vt:variant>
      <vt:variant>
        <vt:i4>5</vt:i4>
      </vt:variant>
      <vt:variant>
        <vt:lpwstr/>
      </vt:variant>
      <vt:variant>
        <vt:lpwstr>_Toc136847612</vt:lpwstr>
      </vt:variant>
      <vt:variant>
        <vt:i4>1703989</vt:i4>
      </vt:variant>
      <vt:variant>
        <vt:i4>74</vt:i4>
      </vt:variant>
      <vt:variant>
        <vt:i4>0</vt:i4>
      </vt:variant>
      <vt:variant>
        <vt:i4>5</vt:i4>
      </vt:variant>
      <vt:variant>
        <vt:lpwstr/>
      </vt:variant>
      <vt:variant>
        <vt:lpwstr>_Toc136847611</vt:lpwstr>
      </vt:variant>
      <vt:variant>
        <vt:i4>1703989</vt:i4>
      </vt:variant>
      <vt:variant>
        <vt:i4>68</vt:i4>
      </vt:variant>
      <vt:variant>
        <vt:i4>0</vt:i4>
      </vt:variant>
      <vt:variant>
        <vt:i4>5</vt:i4>
      </vt:variant>
      <vt:variant>
        <vt:lpwstr/>
      </vt:variant>
      <vt:variant>
        <vt:lpwstr>_Toc136847610</vt:lpwstr>
      </vt:variant>
      <vt:variant>
        <vt:i4>1769525</vt:i4>
      </vt:variant>
      <vt:variant>
        <vt:i4>62</vt:i4>
      </vt:variant>
      <vt:variant>
        <vt:i4>0</vt:i4>
      </vt:variant>
      <vt:variant>
        <vt:i4>5</vt:i4>
      </vt:variant>
      <vt:variant>
        <vt:lpwstr/>
      </vt:variant>
      <vt:variant>
        <vt:lpwstr>_Toc136847609</vt:lpwstr>
      </vt:variant>
      <vt:variant>
        <vt:i4>1769525</vt:i4>
      </vt:variant>
      <vt:variant>
        <vt:i4>56</vt:i4>
      </vt:variant>
      <vt:variant>
        <vt:i4>0</vt:i4>
      </vt:variant>
      <vt:variant>
        <vt:i4>5</vt:i4>
      </vt:variant>
      <vt:variant>
        <vt:lpwstr/>
      </vt:variant>
      <vt:variant>
        <vt:lpwstr>_Toc136847608</vt:lpwstr>
      </vt:variant>
      <vt:variant>
        <vt:i4>1769525</vt:i4>
      </vt:variant>
      <vt:variant>
        <vt:i4>50</vt:i4>
      </vt:variant>
      <vt:variant>
        <vt:i4>0</vt:i4>
      </vt:variant>
      <vt:variant>
        <vt:i4>5</vt:i4>
      </vt:variant>
      <vt:variant>
        <vt:lpwstr/>
      </vt:variant>
      <vt:variant>
        <vt:lpwstr>_Toc136847607</vt:lpwstr>
      </vt:variant>
      <vt:variant>
        <vt:i4>1769525</vt:i4>
      </vt:variant>
      <vt:variant>
        <vt:i4>44</vt:i4>
      </vt:variant>
      <vt:variant>
        <vt:i4>0</vt:i4>
      </vt:variant>
      <vt:variant>
        <vt:i4>5</vt:i4>
      </vt:variant>
      <vt:variant>
        <vt:lpwstr/>
      </vt:variant>
      <vt:variant>
        <vt:lpwstr>_Toc136847606</vt:lpwstr>
      </vt:variant>
      <vt:variant>
        <vt:i4>1769525</vt:i4>
      </vt:variant>
      <vt:variant>
        <vt:i4>38</vt:i4>
      </vt:variant>
      <vt:variant>
        <vt:i4>0</vt:i4>
      </vt:variant>
      <vt:variant>
        <vt:i4>5</vt:i4>
      </vt:variant>
      <vt:variant>
        <vt:lpwstr/>
      </vt:variant>
      <vt:variant>
        <vt:lpwstr>_Toc136847605</vt:lpwstr>
      </vt:variant>
      <vt:variant>
        <vt:i4>1769525</vt:i4>
      </vt:variant>
      <vt:variant>
        <vt:i4>32</vt:i4>
      </vt:variant>
      <vt:variant>
        <vt:i4>0</vt:i4>
      </vt:variant>
      <vt:variant>
        <vt:i4>5</vt:i4>
      </vt:variant>
      <vt:variant>
        <vt:lpwstr/>
      </vt:variant>
      <vt:variant>
        <vt:lpwstr>_Toc136847604</vt:lpwstr>
      </vt:variant>
      <vt:variant>
        <vt:i4>1769525</vt:i4>
      </vt:variant>
      <vt:variant>
        <vt:i4>26</vt:i4>
      </vt:variant>
      <vt:variant>
        <vt:i4>0</vt:i4>
      </vt:variant>
      <vt:variant>
        <vt:i4>5</vt:i4>
      </vt:variant>
      <vt:variant>
        <vt:lpwstr/>
      </vt:variant>
      <vt:variant>
        <vt:lpwstr>_Toc136847603</vt:lpwstr>
      </vt:variant>
      <vt:variant>
        <vt:i4>1769525</vt:i4>
      </vt:variant>
      <vt:variant>
        <vt:i4>20</vt:i4>
      </vt:variant>
      <vt:variant>
        <vt:i4>0</vt:i4>
      </vt:variant>
      <vt:variant>
        <vt:i4>5</vt:i4>
      </vt:variant>
      <vt:variant>
        <vt:lpwstr/>
      </vt:variant>
      <vt:variant>
        <vt:lpwstr>_Toc136847602</vt:lpwstr>
      </vt:variant>
      <vt:variant>
        <vt:i4>1769525</vt:i4>
      </vt:variant>
      <vt:variant>
        <vt:i4>14</vt:i4>
      </vt:variant>
      <vt:variant>
        <vt:i4>0</vt:i4>
      </vt:variant>
      <vt:variant>
        <vt:i4>5</vt:i4>
      </vt:variant>
      <vt:variant>
        <vt:lpwstr/>
      </vt:variant>
      <vt:variant>
        <vt:lpwstr>_Toc136847601</vt:lpwstr>
      </vt:variant>
      <vt:variant>
        <vt:i4>1769525</vt:i4>
      </vt:variant>
      <vt:variant>
        <vt:i4>8</vt:i4>
      </vt:variant>
      <vt:variant>
        <vt:i4>0</vt:i4>
      </vt:variant>
      <vt:variant>
        <vt:i4>5</vt:i4>
      </vt:variant>
      <vt:variant>
        <vt:lpwstr/>
      </vt:variant>
      <vt:variant>
        <vt:lpwstr>_Toc136847600</vt:lpwstr>
      </vt:variant>
      <vt:variant>
        <vt:i4>1179702</vt:i4>
      </vt:variant>
      <vt:variant>
        <vt:i4>2</vt:i4>
      </vt:variant>
      <vt:variant>
        <vt:i4>0</vt:i4>
      </vt:variant>
      <vt:variant>
        <vt:i4>5</vt:i4>
      </vt:variant>
      <vt:variant>
        <vt:lpwstr/>
      </vt:variant>
      <vt:variant>
        <vt:lpwstr>_Toc136847599</vt:lpwstr>
      </vt:variant>
      <vt:variant>
        <vt:i4>3670036</vt:i4>
      </vt:variant>
      <vt:variant>
        <vt:i4>9</vt:i4>
      </vt:variant>
      <vt:variant>
        <vt:i4>0</vt:i4>
      </vt:variant>
      <vt:variant>
        <vt:i4>5</vt:i4>
      </vt:variant>
      <vt:variant>
        <vt:lpwstr>mailto:Ken.Lonnie@igwc.gov.au</vt:lpwstr>
      </vt:variant>
      <vt:variant>
        <vt:lpwstr/>
      </vt:variant>
      <vt:variant>
        <vt:i4>7274575</vt:i4>
      </vt:variant>
      <vt:variant>
        <vt:i4>6</vt:i4>
      </vt:variant>
      <vt:variant>
        <vt:i4>0</vt:i4>
      </vt:variant>
      <vt:variant>
        <vt:i4>5</vt:i4>
      </vt:variant>
      <vt:variant>
        <vt:lpwstr>mailto:Jodi.Smith@igwc.gov.au</vt:lpwstr>
      </vt:variant>
      <vt:variant>
        <vt:lpwstr/>
      </vt:variant>
      <vt:variant>
        <vt:i4>2949126</vt:i4>
      </vt:variant>
      <vt:variant>
        <vt:i4>3</vt:i4>
      </vt:variant>
      <vt:variant>
        <vt:i4>0</vt:i4>
      </vt:variant>
      <vt:variant>
        <vt:i4>5</vt:i4>
      </vt:variant>
      <vt:variant>
        <vt:lpwstr>mailto:Joseph.Vile@igwc.gov.au</vt:lpwstr>
      </vt:variant>
      <vt:variant>
        <vt:lpwstr/>
      </vt:variant>
      <vt:variant>
        <vt:i4>3670036</vt:i4>
      </vt:variant>
      <vt:variant>
        <vt:i4>0</vt:i4>
      </vt:variant>
      <vt:variant>
        <vt:i4>0</vt:i4>
      </vt:variant>
      <vt:variant>
        <vt:i4>5</vt:i4>
      </vt:variant>
      <vt:variant>
        <vt:lpwstr>mailto:Ken.Lonnie@igwc.gov.au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submissions</dc:title>
  <dc:subject/>
  <dc:creator>Inspector-General of Water Compliance</dc:creator>
  <cp:keywords/>
  <dc:description/>
  <cp:lastModifiedBy>Haynes, Ellie</cp:lastModifiedBy>
  <cp:revision>2</cp:revision>
  <dcterms:created xsi:type="dcterms:W3CDTF">2023-08-11T00:44:00Z</dcterms:created>
  <dcterms:modified xsi:type="dcterms:W3CDTF">2023-08-11T00:44:00Z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