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CEDF" w14:textId="77777777" w:rsidR="00EF07CA" w:rsidRDefault="00EF07CA" w:rsidP="00EF07CA">
      <w:pPr>
        <w:pStyle w:val="Heading1"/>
      </w:pPr>
      <w:r>
        <w:t>Glossary</w:t>
      </w:r>
    </w:p>
    <w:p w14:paraId="331C1E60"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b/>
          <w:bCs/>
          <w:color w:val="48565E"/>
          <w:sz w:val="18"/>
          <w:szCs w:val="18"/>
        </w:rPr>
        <w:t xml:space="preserve">Accurate </w:t>
      </w:r>
      <w:r w:rsidRPr="00BE29C9">
        <w:rPr>
          <w:rFonts w:cstheme="minorHAnsi"/>
          <w:color w:val="000000"/>
          <w:sz w:val="18"/>
          <w:szCs w:val="18"/>
        </w:rPr>
        <w:t>Up to +/-5% MPE in-situ operation as per Compliance Compact and</w:t>
      </w:r>
    </w:p>
    <w:p w14:paraId="58C608CA"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color w:val="000000"/>
          <w:sz w:val="18"/>
          <w:szCs w:val="18"/>
        </w:rPr>
        <w:t>MAF2 requirements.</w:t>
      </w:r>
    </w:p>
    <w:p w14:paraId="404C04E6" w14:textId="77777777" w:rsidR="00EF07CA" w:rsidRPr="00BE29C9" w:rsidRDefault="00EF07CA" w:rsidP="00EF07CA">
      <w:pPr>
        <w:autoSpaceDE w:val="0"/>
        <w:autoSpaceDN w:val="0"/>
        <w:adjustRightInd w:val="0"/>
        <w:spacing w:after="0"/>
        <w:rPr>
          <w:rFonts w:cstheme="minorHAnsi"/>
          <w:color w:val="000000"/>
          <w:sz w:val="18"/>
          <w:szCs w:val="18"/>
        </w:rPr>
      </w:pPr>
    </w:p>
    <w:p w14:paraId="3F64CB63"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b/>
          <w:bCs/>
          <w:color w:val="48565E"/>
          <w:sz w:val="18"/>
          <w:szCs w:val="18"/>
        </w:rPr>
        <w:t xml:space="preserve">AS4747-compliant meter </w:t>
      </w:r>
      <w:r w:rsidRPr="00BE29C9">
        <w:rPr>
          <w:rFonts w:cstheme="minorHAnsi"/>
          <w:color w:val="000000"/>
          <w:sz w:val="18"/>
          <w:szCs w:val="18"/>
        </w:rPr>
        <w:t xml:space="preserve">A non-urban water meter that has met the requirements of </w:t>
      </w:r>
      <w:proofErr w:type="gramStart"/>
      <w:r w:rsidRPr="00BE29C9">
        <w:rPr>
          <w:rFonts w:cstheme="minorHAnsi"/>
          <w:color w:val="000000"/>
          <w:sz w:val="18"/>
          <w:szCs w:val="18"/>
        </w:rPr>
        <w:t>AS4747</w:t>
      </w:r>
      <w:proofErr w:type="gramEnd"/>
    </w:p>
    <w:p w14:paraId="18DB7B05"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color w:val="000000"/>
          <w:sz w:val="18"/>
          <w:szCs w:val="18"/>
        </w:rPr>
        <w:t>and has been issued with a Pattern Approval certificate.</w:t>
      </w:r>
    </w:p>
    <w:p w14:paraId="370B316E" w14:textId="77777777" w:rsidR="00EF07CA" w:rsidRPr="00BE29C9" w:rsidRDefault="00EF07CA" w:rsidP="00EF07CA">
      <w:pPr>
        <w:autoSpaceDE w:val="0"/>
        <w:autoSpaceDN w:val="0"/>
        <w:adjustRightInd w:val="0"/>
        <w:spacing w:after="0"/>
        <w:rPr>
          <w:rFonts w:cstheme="minorHAnsi"/>
          <w:color w:val="000000"/>
          <w:sz w:val="18"/>
          <w:szCs w:val="18"/>
        </w:rPr>
      </w:pPr>
    </w:p>
    <w:p w14:paraId="43740ECB"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b/>
          <w:bCs/>
          <w:color w:val="48565E"/>
          <w:sz w:val="18"/>
          <w:szCs w:val="18"/>
        </w:rPr>
        <w:t xml:space="preserve">Australian Standard 4747 (AS4747) </w:t>
      </w:r>
      <w:r w:rsidRPr="00BE29C9">
        <w:rPr>
          <w:rFonts w:cstheme="minorHAnsi"/>
          <w:color w:val="000000"/>
          <w:sz w:val="18"/>
          <w:szCs w:val="18"/>
        </w:rPr>
        <w:t xml:space="preserve">The Australian standard which covers meters for non-urban </w:t>
      </w:r>
      <w:proofErr w:type="gramStart"/>
      <w:r w:rsidRPr="00BE29C9">
        <w:rPr>
          <w:rFonts w:cstheme="minorHAnsi"/>
          <w:color w:val="000000"/>
          <w:sz w:val="18"/>
          <w:szCs w:val="18"/>
        </w:rPr>
        <w:t>water</w:t>
      </w:r>
      <w:proofErr w:type="gramEnd"/>
    </w:p>
    <w:p w14:paraId="566866AC"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color w:val="000000"/>
          <w:sz w:val="18"/>
          <w:szCs w:val="18"/>
        </w:rPr>
        <w:t>supply, and by which said meters are tested and Pattern Approved.</w:t>
      </w:r>
    </w:p>
    <w:p w14:paraId="7E37C805" w14:textId="77777777" w:rsidR="00EF07CA" w:rsidRPr="00BE29C9" w:rsidRDefault="00EF07CA" w:rsidP="00EF07CA">
      <w:pPr>
        <w:autoSpaceDE w:val="0"/>
        <w:autoSpaceDN w:val="0"/>
        <w:adjustRightInd w:val="0"/>
        <w:spacing w:after="0"/>
        <w:rPr>
          <w:rFonts w:cstheme="minorHAnsi"/>
          <w:color w:val="000000"/>
          <w:sz w:val="18"/>
          <w:szCs w:val="18"/>
        </w:rPr>
      </w:pPr>
    </w:p>
    <w:p w14:paraId="3D016B77"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b/>
          <w:bCs/>
          <w:color w:val="48565E"/>
          <w:sz w:val="18"/>
          <w:szCs w:val="18"/>
        </w:rPr>
        <w:t xml:space="preserve">Certified Person </w:t>
      </w:r>
      <w:r w:rsidRPr="00BE29C9">
        <w:rPr>
          <w:rFonts w:cstheme="minorHAnsi"/>
          <w:color w:val="000000"/>
          <w:sz w:val="18"/>
          <w:szCs w:val="18"/>
        </w:rPr>
        <w:t xml:space="preserve">A person certified by an accredited organisation to undertake </w:t>
      </w:r>
      <w:proofErr w:type="gramStart"/>
      <w:r w:rsidRPr="00BE29C9">
        <w:rPr>
          <w:rFonts w:cstheme="minorHAnsi"/>
          <w:color w:val="000000"/>
          <w:sz w:val="18"/>
          <w:szCs w:val="18"/>
        </w:rPr>
        <w:t>meter</w:t>
      </w:r>
      <w:proofErr w:type="gramEnd"/>
    </w:p>
    <w:p w14:paraId="7A84939C" w14:textId="77777777" w:rsidR="00EF07CA" w:rsidRPr="00BE29C9" w:rsidRDefault="00EF07CA" w:rsidP="00EF07CA">
      <w:pPr>
        <w:autoSpaceDE w:val="0"/>
        <w:autoSpaceDN w:val="0"/>
        <w:adjustRightInd w:val="0"/>
        <w:spacing w:after="0"/>
        <w:rPr>
          <w:rFonts w:cstheme="minorHAnsi"/>
          <w:color w:val="000000"/>
          <w:sz w:val="18"/>
          <w:szCs w:val="18"/>
        </w:rPr>
      </w:pPr>
    </w:p>
    <w:p w14:paraId="4B1FD0A4"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b/>
          <w:bCs/>
          <w:color w:val="48565E"/>
          <w:sz w:val="18"/>
          <w:szCs w:val="18"/>
        </w:rPr>
        <w:t xml:space="preserve">Certified Meter Installer </w:t>
      </w:r>
      <w:r w:rsidRPr="00BE29C9">
        <w:rPr>
          <w:rFonts w:cstheme="minorHAnsi"/>
          <w:color w:val="000000"/>
          <w:sz w:val="18"/>
          <w:szCs w:val="18"/>
        </w:rPr>
        <w:t>installation, maintenance and validation activities in accordance with</w:t>
      </w:r>
    </w:p>
    <w:p w14:paraId="1E93FEEB"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color w:val="000000"/>
          <w:sz w:val="18"/>
          <w:szCs w:val="18"/>
        </w:rPr>
        <w:t>codified industry practices and Australian Standards.</w:t>
      </w:r>
    </w:p>
    <w:p w14:paraId="2EA740F5" w14:textId="77777777" w:rsidR="00EF07CA" w:rsidRPr="00BE29C9" w:rsidRDefault="00EF07CA" w:rsidP="00EF07CA">
      <w:pPr>
        <w:autoSpaceDE w:val="0"/>
        <w:autoSpaceDN w:val="0"/>
        <w:adjustRightInd w:val="0"/>
        <w:spacing w:after="0"/>
        <w:rPr>
          <w:rFonts w:cstheme="minorHAnsi"/>
          <w:color w:val="000000"/>
          <w:sz w:val="18"/>
          <w:szCs w:val="18"/>
        </w:rPr>
      </w:pPr>
    </w:p>
    <w:p w14:paraId="6173CAB2"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b/>
          <w:bCs/>
          <w:color w:val="48565E"/>
          <w:sz w:val="18"/>
          <w:szCs w:val="18"/>
        </w:rPr>
        <w:t xml:space="preserve">Closed Conduit meters </w:t>
      </w:r>
      <w:proofErr w:type="spellStart"/>
      <w:r w:rsidRPr="00BE29C9">
        <w:rPr>
          <w:rFonts w:cstheme="minorHAnsi"/>
          <w:color w:val="000000"/>
          <w:sz w:val="18"/>
          <w:szCs w:val="18"/>
        </w:rPr>
        <w:t>Meters</w:t>
      </w:r>
      <w:proofErr w:type="spellEnd"/>
      <w:r w:rsidRPr="00BE29C9">
        <w:rPr>
          <w:rFonts w:cstheme="minorHAnsi"/>
          <w:color w:val="000000"/>
          <w:sz w:val="18"/>
          <w:szCs w:val="18"/>
        </w:rPr>
        <w:t xml:space="preserve"> intended for the metering of water in full flowing pipes.</w:t>
      </w:r>
    </w:p>
    <w:p w14:paraId="32340ABF" w14:textId="77777777" w:rsidR="00EF07CA" w:rsidRPr="00BE29C9" w:rsidRDefault="00EF07CA" w:rsidP="00EF07CA">
      <w:pPr>
        <w:autoSpaceDE w:val="0"/>
        <w:autoSpaceDN w:val="0"/>
        <w:adjustRightInd w:val="0"/>
        <w:spacing w:after="0"/>
        <w:rPr>
          <w:rFonts w:cstheme="minorHAnsi"/>
          <w:color w:val="000000"/>
          <w:sz w:val="18"/>
          <w:szCs w:val="18"/>
        </w:rPr>
      </w:pPr>
    </w:p>
    <w:p w14:paraId="118D1370"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b/>
          <w:bCs/>
          <w:color w:val="48565E"/>
          <w:sz w:val="18"/>
          <w:szCs w:val="18"/>
        </w:rPr>
        <w:t xml:space="preserve">Entitlement </w:t>
      </w:r>
      <w:r w:rsidRPr="00BE29C9">
        <w:rPr>
          <w:rFonts w:cstheme="minorHAnsi"/>
          <w:color w:val="000000"/>
          <w:sz w:val="18"/>
          <w:szCs w:val="18"/>
        </w:rPr>
        <w:t>The amount of water authorised to be taken and used by an irrigator or</w:t>
      </w:r>
    </w:p>
    <w:p w14:paraId="6C2F5F31"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color w:val="000000"/>
          <w:sz w:val="18"/>
          <w:szCs w:val="18"/>
        </w:rPr>
        <w:t>water authority, up to a certain volume of water in a year.</w:t>
      </w:r>
    </w:p>
    <w:p w14:paraId="7063BAC8" w14:textId="77777777" w:rsidR="00EF07CA" w:rsidRPr="00BE29C9" w:rsidRDefault="00EF07CA" w:rsidP="00EF07CA">
      <w:pPr>
        <w:autoSpaceDE w:val="0"/>
        <w:autoSpaceDN w:val="0"/>
        <w:adjustRightInd w:val="0"/>
        <w:spacing w:after="0"/>
        <w:rPr>
          <w:rFonts w:cstheme="minorHAnsi"/>
          <w:color w:val="000000"/>
          <w:sz w:val="18"/>
          <w:szCs w:val="18"/>
        </w:rPr>
      </w:pPr>
    </w:p>
    <w:p w14:paraId="3D017EB8"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b/>
          <w:bCs/>
          <w:color w:val="48565E"/>
          <w:sz w:val="18"/>
          <w:szCs w:val="18"/>
        </w:rPr>
        <w:t xml:space="preserve">Grandfathered or Contemporary meter </w:t>
      </w:r>
      <w:r w:rsidRPr="00BE29C9">
        <w:rPr>
          <w:rFonts w:cstheme="minorHAnsi"/>
          <w:color w:val="000000"/>
          <w:sz w:val="18"/>
          <w:szCs w:val="18"/>
        </w:rPr>
        <w:t>A meter that is not pattern-approved but has been approved for</w:t>
      </w:r>
    </w:p>
    <w:p w14:paraId="7D67409E"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color w:val="000000"/>
          <w:sz w:val="18"/>
          <w:szCs w:val="18"/>
        </w:rPr>
        <w:t>continued use with compliance processes in effect to ensure ongoing accuracy. The state regulator must have an acceptable level of confidence that grandfathered meters have a ±5% accuracy range and have a manufacturer’s certificate of accuracy of ±2.5% and has been installed to manufacturer’s specifications. Full details may be found in</w:t>
      </w:r>
    </w:p>
    <w:p w14:paraId="7D26DD30"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color w:val="000000"/>
          <w:sz w:val="18"/>
          <w:szCs w:val="18"/>
        </w:rPr>
        <w:t>chapter 11.1 of the MAF2.</w:t>
      </w:r>
    </w:p>
    <w:p w14:paraId="57007AF0" w14:textId="77777777" w:rsidR="00EF07CA" w:rsidRPr="00BE29C9" w:rsidRDefault="00EF07CA" w:rsidP="00EF07CA">
      <w:pPr>
        <w:autoSpaceDE w:val="0"/>
        <w:autoSpaceDN w:val="0"/>
        <w:adjustRightInd w:val="0"/>
        <w:spacing w:after="0"/>
        <w:rPr>
          <w:rFonts w:cstheme="minorHAnsi"/>
          <w:color w:val="000000"/>
          <w:sz w:val="18"/>
          <w:szCs w:val="18"/>
        </w:rPr>
      </w:pPr>
    </w:p>
    <w:p w14:paraId="487936CF"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b/>
          <w:bCs/>
          <w:color w:val="48565E"/>
          <w:sz w:val="18"/>
          <w:szCs w:val="18"/>
        </w:rPr>
        <w:t>Murray–Darling Basin Compliance Compact (Compliance Compact)</w:t>
      </w:r>
      <w:r w:rsidRPr="00BE29C9">
        <w:rPr>
          <w:rFonts w:cstheme="minorHAnsi"/>
          <w:color w:val="000000"/>
          <w:sz w:val="18"/>
          <w:szCs w:val="18"/>
        </w:rPr>
        <w:t xml:space="preserve"> The 2018 agreement between the Australian Government and the</w:t>
      </w:r>
      <w:r w:rsidRPr="00BE29C9">
        <w:rPr>
          <w:rFonts w:cstheme="minorHAnsi"/>
          <w:b/>
          <w:bCs/>
          <w:color w:val="48565E"/>
          <w:sz w:val="18"/>
          <w:szCs w:val="18"/>
        </w:rPr>
        <w:t xml:space="preserve"> </w:t>
      </w:r>
      <w:r w:rsidRPr="00BE29C9">
        <w:rPr>
          <w:rFonts w:cstheme="minorHAnsi"/>
          <w:color w:val="000000"/>
          <w:sz w:val="18"/>
          <w:szCs w:val="18"/>
        </w:rPr>
        <w:t>Murray–Darling Basin States, setting priorities and obligations on the governments for water compliance effort and for the integrity of Murray–Darling Basin water management.</w:t>
      </w:r>
    </w:p>
    <w:p w14:paraId="6D387312" w14:textId="77777777" w:rsidR="00EF07CA" w:rsidRPr="00BE29C9" w:rsidRDefault="00EF07CA" w:rsidP="00EF07CA">
      <w:pPr>
        <w:autoSpaceDE w:val="0"/>
        <w:autoSpaceDN w:val="0"/>
        <w:adjustRightInd w:val="0"/>
        <w:spacing w:after="0"/>
        <w:rPr>
          <w:rFonts w:cstheme="minorHAnsi"/>
          <w:color w:val="000000"/>
          <w:sz w:val="18"/>
          <w:szCs w:val="18"/>
        </w:rPr>
      </w:pPr>
    </w:p>
    <w:p w14:paraId="29A36B82"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b/>
          <w:bCs/>
          <w:color w:val="48565E"/>
          <w:sz w:val="18"/>
          <w:szCs w:val="18"/>
        </w:rPr>
        <w:t xml:space="preserve">Metrological Assurance Framework 2 (MAF2) </w:t>
      </w:r>
      <w:r w:rsidRPr="00BE29C9">
        <w:rPr>
          <w:rFonts w:cstheme="minorHAnsi"/>
          <w:color w:val="000000"/>
          <w:sz w:val="18"/>
          <w:szCs w:val="18"/>
        </w:rPr>
        <w:t>Rules and guidance for the use and regulation of non-urban water</w:t>
      </w:r>
    </w:p>
    <w:p w14:paraId="7D601857" w14:textId="77777777" w:rsidR="00EF07CA" w:rsidRPr="00BE29C9" w:rsidRDefault="00EF07CA" w:rsidP="00EF07CA">
      <w:pPr>
        <w:autoSpaceDE w:val="0"/>
        <w:autoSpaceDN w:val="0"/>
        <w:adjustRightInd w:val="0"/>
        <w:spacing w:after="0"/>
        <w:rPr>
          <w:rFonts w:cstheme="minorHAnsi"/>
          <w:color w:val="000000"/>
          <w:sz w:val="18"/>
          <w:szCs w:val="18"/>
        </w:rPr>
      </w:pPr>
      <w:r>
        <w:rPr>
          <w:rFonts w:cstheme="minorHAnsi"/>
          <w:color w:val="000000"/>
          <w:sz w:val="18"/>
          <w:szCs w:val="18"/>
        </w:rPr>
        <w:t>m</w:t>
      </w:r>
      <w:r w:rsidRPr="00BE29C9">
        <w:rPr>
          <w:rFonts w:cstheme="minorHAnsi"/>
          <w:color w:val="000000"/>
          <w:sz w:val="18"/>
          <w:szCs w:val="18"/>
        </w:rPr>
        <w:t>eters</w:t>
      </w:r>
      <w:r>
        <w:rPr>
          <w:rFonts w:cstheme="minorHAnsi"/>
          <w:color w:val="000000"/>
          <w:sz w:val="18"/>
          <w:szCs w:val="18"/>
        </w:rPr>
        <w:t xml:space="preserve"> </w:t>
      </w:r>
      <w:hyperlink r:id="rId11" w:history="1">
        <w:r w:rsidRPr="00201F14">
          <w:rPr>
            <w:rStyle w:val="Hyperlink"/>
            <w:rFonts w:cstheme="minorHAnsi"/>
            <w:sz w:val="18"/>
            <w:szCs w:val="18"/>
          </w:rPr>
          <w:t>https://www.agriculture.gov.au/sites/default/files/documents/metrological-assurance-framework-2.pdf</w:t>
        </w:r>
      </w:hyperlink>
    </w:p>
    <w:p w14:paraId="6A92B1B2" w14:textId="77777777" w:rsidR="00EF07CA" w:rsidRPr="00BE29C9" w:rsidRDefault="00EF07CA" w:rsidP="00EF07CA">
      <w:pPr>
        <w:autoSpaceDE w:val="0"/>
        <w:autoSpaceDN w:val="0"/>
        <w:adjustRightInd w:val="0"/>
        <w:spacing w:after="0"/>
        <w:rPr>
          <w:rFonts w:cstheme="minorHAnsi"/>
          <w:color w:val="000000"/>
          <w:sz w:val="18"/>
          <w:szCs w:val="18"/>
        </w:rPr>
      </w:pPr>
    </w:p>
    <w:p w14:paraId="18B7EFAE" w14:textId="77777777" w:rsidR="00EF07CA" w:rsidRPr="00BE29C9" w:rsidRDefault="00EF07CA" w:rsidP="00EF07CA">
      <w:pPr>
        <w:autoSpaceDE w:val="0"/>
        <w:autoSpaceDN w:val="0"/>
        <w:adjustRightInd w:val="0"/>
        <w:spacing w:after="0"/>
        <w:rPr>
          <w:rFonts w:cstheme="minorHAnsi"/>
          <w:color w:val="000000"/>
          <w:sz w:val="18"/>
          <w:szCs w:val="18"/>
        </w:rPr>
      </w:pPr>
      <w:proofErr w:type="spellStart"/>
      <w:r w:rsidRPr="00BE29C9">
        <w:rPr>
          <w:rFonts w:cstheme="minorHAnsi"/>
          <w:b/>
          <w:bCs/>
          <w:color w:val="48565E"/>
          <w:sz w:val="18"/>
          <w:szCs w:val="18"/>
        </w:rPr>
        <w:t>Meterable</w:t>
      </w:r>
      <w:proofErr w:type="spellEnd"/>
      <w:r w:rsidRPr="00BE29C9">
        <w:rPr>
          <w:rFonts w:cstheme="minorHAnsi"/>
          <w:b/>
          <w:bCs/>
          <w:color w:val="48565E"/>
          <w:sz w:val="18"/>
          <w:szCs w:val="18"/>
        </w:rPr>
        <w:t xml:space="preserve"> take </w:t>
      </w:r>
      <w:r w:rsidRPr="00BE29C9">
        <w:rPr>
          <w:rFonts w:cstheme="minorHAnsi"/>
          <w:color w:val="000000"/>
          <w:sz w:val="18"/>
          <w:szCs w:val="18"/>
        </w:rPr>
        <w:t xml:space="preserve">Licensed water take, as defined at clause 7 of the </w:t>
      </w:r>
      <w:proofErr w:type="gramStart"/>
      <w:r w:rsidRPr="00BE29C9">
        <w:rPr>
          <w:rFonts w:cstheme="minorHAnsi"/>
          <w:color w:val="000000"/>
          <w:sz w:val="18"/>
          <w:szCs w:val="18"/>
        </w:rPr>
        <w:t>Best</w:t>
      </w:r>
      <w:proofErr w:type="gramEnd"/>
      <w:r w:rsidRPr="00BE29C9">
        <w:rPr>
          <w:rFonts w:cstheme="minorHAnsi"/>
          <w:color w:val="000000"/>
          <w:sz w:val="18"/>
          <w:szCs w:val="18"/>
        </w:rPr>
        <w:t xml:space="preserve"> practice guidelines for minimum metering thresholds as agreed by Basin jurisdictions. Note – exemptions are defined in Clause 8. See: </w:t>
      </w:r>
      <w:hyperlink r:id="rId12" w:history="1">
        <w:r w:rsidRPr="00BE29C9">
          <w:rPr>
            <w:rStyle w:val="Hyperlink"/>
            <w:rFonts w:cstheme="minorHAnsi"/>
            <w:sz w:val="18"/>
            <w:szCs w:val="18"/>
          </w:rPr>
          <w:t>https://www.agriculture.gov.au/sites/default/files/documents/mdbbest-practice-guidelines.pdf</w:t>
        </w:r>
      </w:hyperlink>
    </w:p>
    <w:p w14:paraId="63729CE8" w14:textId="77777777" w:rsidR="00EF07CA" w:rsidRPr="00BE29C9" w:rsidRDefault="00EF07CA" w:rsidP="00EF07CA">
      <w:pPr>
        <w:autoSpaceDE w:val="0"/>
        <w:autoSpaceDN w:val="0"/>
        <w:adjustRightInd w:val="0"/>
        <w:spacing w:after="0"/>
        <w:rPr>
          <w:rFonts w:cstheme="minorHAnsi"/>
          <w:color w:val="000000"/>
          <w:sz w:val="18"/>
          <w:szCs w:val="18"/>
        </w:rPr>
      </w:pPr>
    </w:p>
    <w:p w14:paraId="3EFA610C"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b/>
          <w:bCs/>
          <w:color w:val="48565E"/>
          <w:sz w:val="18"/>
          <w:szCs w:val="18"/>
        </w:rPr>
        <w:t xml:space="preserve">National Measurement Institute (NMI) </w:t>
      </w:r>
      <w:r w:rsidRPr="00BE29C9">
        <w:rPr>
          <w:rFonts w:cstheme="minorHAnsi"/>
          <w:color w:val="000000"/>
          <w:sz w:val="18"/>
          <w:szCs w:val="18"/>
        </w:rPr>
        <w:t xml:space="preserve">The National Measurement Institute (NMI) is Australia’s </w:t>
      </w:r>
      <w:proofErr w:type="gramStart"/>
      <w:r w:rsidRPr="00BE29C9">
        <w:rPr>
          <w:rFonts w:cstheme="minorHAnsi"/>
          <w:color w:val="000000"/>
          <w:sz w:val="18"/>
          <w:szCs w:val="18"/>
        </w:rPr>
        <w:t>peak</w:t>
      </w:r>
      <w:proofErr w:type="gramEnd"/>
    </w:p>
    <w:p w14:paraId="2669F15D"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color w:val="000000"/>
          <w:sz w:val="18"/>
          <w:szCs w:val="18"/>
        </w:rPr>
        <w:t>measurement body responsible for biological, chemical, legal and physical measurement.</w:t>
      </w:r>
    </w:p>
    <w:p w14:paraId="495D34C2" w14:textId="77777777" w:rsidR="00EF07CA" w:rsidRPr="00BE29C9" w:rsidRDefault="00EF07CA" w:rsidP="00EF07CA">
      <w:pPr>
        <w:autoSpaceDE w:val="0"/>
        <w:autoSpaceDN w:val="0"/>
        <w:adjustRightInd w:val="0"/>
        <w:spacing w:after="0"/>
        <w:rPr>
          <w:rFonts w:cstheme="minorHAnsi"/>
          <w:color w:val="000000"/>
          <w:sz w:val="18"/>
          <w:szCs w:val="18"/>
        </w:rPr>
      </w:pPr>
    </w:p>
    <w:p w14:paraId="17BDC441"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b/>
          <w:bCs/>
          <w:color w:val="48565E"/>
          <w:sz w:val="18"/>
          <w:szCs w:val="18"/>
        </w:rPr>
        <w:t xml:space="preserve">Open-Channel meters </w:t>
      </w:r>
      <w:proofErr w:type="spellStart"/>
      <w:r w:rsidRPr="00BE29C9">
        <w:rPr>
          <w:rFonts w:cstheme="minorHAnsi"/>
          <w:color w:val="000000"/>
          <w:sz w:val="18"/>
          <w:szCs w:val="18"/>
        </w:rPr>
        <w:t>Meters</w:t>
      </w:r>
      <w:proofErr w:type="spellEnd"/>
      <w:r w:rsidRPr="00BE29C9">
        <w:rPr>
          <w:rFonts w:cstheme="minorHAnsi"/>
          <w:color w:val="000000"/>
          <w:sz w:val="18"/>
          <w:szCs w:val="18"/>
        </w:rPr>
        <w:t xml:space="preserve"> intended for the metering of water in open channels and partially filled pipes.</w:t>
      </w:r>
    </w:p>
    <w:p w14:paraId="661EB9EB" w14:textId="77777777" w:rsidR="00EF07CA" w:rsidRPr="00BE29C9" w:rsidRDefault="00EF07CA" w:rsidP="00EF07CA">
      <w:pPr>
        <w:autoSpaceDE w:val="0"/>
        <w:autoSpaceDN w:val="0"/>
        <w:adjustRightInd w:val="0"/>
        <w:spacing w:after="0"/>
        <w:rPr>
          <w:rFonts w:cstheme="minorHAnsi"/>
          <w:color w:val="000000"/>
          <w:sz w:val="18"/>
          <w:szCs w:val="18"/>
        </w:rPr>
      </w:pPr>
    </w:p>
    <w:p w14:paraId="43CF5113"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b/>
          <w:bCs/>
          <w:color w:val="48565E"/>
          <w:sz w:val="18"/>
          <w:szCs w:val="18"/>
        </w:rPr>
        <w:t xml:space="preserve">Pattern Approval </w:t>
      </w:r>
      <w:r w:rsidRPr="00BE29C9">
        <w:rPr>
          <w:rFonts w:cstheme="minorHAnsi"/>
          <w:color w:val="000000"/>
          <w:sz w:val="18"/>
          <w:szCs w:val="18"/>
        </w:rPr>
        <w:t xml:space="preserve">Evaluation of a design of a measuring instrument (such as a water meter) by an impartial body which examines the pattern of an instrument against a set of national or international metrological specifications, which determine whether an instrument manufactured in accordance with that design </w:t>
      </w:r>
      <w:proofErr w:type="gramStart"/>
      <w:r w:rsidRPr="00BE29C9">
        <w:rPr>
          <w:rFonts w:cstheme="minorHAnsi"/>
          <w:color w:val="000000"/>
          <w:sz w:val="18"/>
          <w:szCs w:val="18"/>
        </w:rPr>
        <w:t>is capable of retaining</w:t>
      </w:r>
      <w:proofErr w:type="gramEnd"/>
      <w:r w:rsidRPr="00BE29C9">
        <w:rPr>
          <w:rFonts w:cstheme="minorHAnsi"/>
          <w:color w:val="000000"/>
          <w:sz w:val="18"/>
          <w:szCs w:val="18"/>
        </w:rPr>
        <w:t xml:space="preserve"> its calibration over a range of conditions.</w:t>
      </w:r>
    </w:p>
    <w:p w14:paraId="0366248A" w14:textId="77777777" w:rsidR="00EF07CA" w:rsidRPr="00BE29C9" w:rsidRDefault="00EF07CA" w:rsidP="00EF07CA">
      <w:pPr>
        <w:autoSpaceDE w:val="0"/>
        <w:autoSpaceDN w:val="0"/>
        <w:adjustRightInd w:val="0"/>
        <w:spacing w:after="0"/>
        <w:rPr>
          <w:rFonts w:cstheme="minorHAnsi"/>
          <w:color w:val="000000"/>
          <w:sz w:val="18"/>
          <w:szCs w:val="18"/>
        </w:rPr>
      </w:pPr>
    </w:p>
    <w:p w14:paraId="0094856C"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b/>
          <w:bCs/>
          <w:color w:val="48565E"/>
          <w:sz w:val="18"/>
          <w:szCs w:val="18"/>
        </w:rPr>
        <w:t xml:space="preserve">Pattern approval certificate </w:t>
      </w:r>
      <w:r w:rsidRPr="00BE29C9">
        <w:rPr>
          <w:rFonts w:cstheme="minorHAnsi"/>
          <w:color w:val="000000"/>
          <w:sz w:val="18"/>
          <w:szCs w:val="18"/>
        </w:rPr>
        <w:t>A certificate, published by the NMI, which describes the design (including type and size) of the meter, which is Pattern Approved, and any conditions for the installation, maintenance and use of the meter.</w:t>
      </w:r>
    </w:p>
    <w:p w14:paraId="5CCF380E" w14:textId="77777777" w:rsidR="00EF07CA" w:rsidRPr="00BE29C9" w:rsidRDefault="00EF07CA" w:rsidP="00EF07CA">
      <w:pPr>
        <w:autoSpaceDE w:val="0"/>
        <w:autoSpaceDN w:val="0"/>
        <w:adjustRightInd w:val="0"/>
        <w:spacing w:after="0"/>
        <w:rPr>
          <w:rFonts w:cstheme="minorHAnsi"/>
          <w:color w:val="000000"/>
          <w:sz w:val="18"/>
          <w:szCs w:val="18"/>
        </w:rPr>
      </w:pPr>
    </w:p>
    <w:p w14:paraId="14A6574B" w14:textId="77777777" w:rsidR="00EF07CA" w:rsidRPr="00BE29C9" w:rsidRDefault="00EF07CA" w:rsidP="00EF07CA">
      <w:pPr>
        <w:autoSpaceDE w:val="0"/>
        <w:autoSpaceDN w:val="0"/>
        <w:adjustRightInd w:val="0"/>
        <w:spacing w:after="0"/>
        <w:rPr>
          <w:rFonts w:cstheme="minorHAnsi"/>
          <w:color w:val="000000"/>
          <w:sz w:val="18"/>
          <w:szCs w:val="18"/>
        </w:rPr>
      </w:pPr>
      <w:r w:rsidRPr="00BE29C9">
        <w:rPr>
          <w:rFonts w:cstheme="minorHAnsi"/>
          <w:b/>
          <w:bCs/>
          <w:color w:val="48565E"/>
          <w:sz w:val="18"/>
          <w:szCs w:val="18"/>
        </w:rPr>
        <w:t xml:space="preserve">Telemetry </w:t>
      </w:r>
      <w:r w:rsidRPr="00BE29C9">
        <w:rPr>
          <w:rFonts w:cstheme="minorHAnsi"/>
          <w:color w:val="000000"/>
          <w:sz w:val="18"/>
          <w:szCs w:val="18"/>
        </w:rPr>
        <w:t>Involves automatically recording data and sending it electronically from the meter to another place for monitoring and analysis.</w:t>
      </w:r>
    </w:p>
    <w:p w14:paraId="0281B095" w14:textId="77777777" w:rsidR="0060641E" w:rsidRPr="00DB00E6" w:rsidRDefault="0060641E" w:rsidP="0076208D">
      <w:pPr>
        <w:pStyle w:val="Heading2"/>
      </w:pPr>
      <w:r w:rsidRPr="00DB00E6">
        <w:lastRenderedPageBreak/>
        <w:t>Murray-Darling Basin – Metering and Measurement Report Card</w:t>
      </w:r>
    </w:p>
    <w:p w14:paraId="57A14BA7" w14:textId="77777777" w:rsidR="00957A06" w:rsidRPr="00DB00E6" w:rsidRDefault="00957A06" w:rsidP="00957A06">
      <w:pPr>
        <w:pStyle w:val="Heading2"/>
      </w:pPr>
      <w:r w:rsidRPr="00DB00E6">
        <w:t>1 July 2021 – 30 June 2022</w:t>
      </w:r>
    </w:p>
    <w:p w14:paraId="75FE1865" w14:textId="77777777" w:rsidR="005F6648" w:rsidRPr="00DB00E6" w:rsidRDefault="005F6648" w:rsidP="00900D39">
      <w:pPr>
        <w:pStyle w:val="Heading3"/>
      </w:pPr>
      <w:r w:rsidRPr="00DB00E6">
        <w:t xml:space="preserve">Data as </w:t>
      </w:r>
      <w:proofErr w:type="gramStart"/>
      <w:r w:rsidRPr="00DB00E6">
        <w:t>at</w:t>
      </w:r>
      <w:proofErr w:type="gramEnd"/>
      <w:r w:rsidRPr="00DB00E6">
        <w:t xml:space="preserve"> 30 June 2022. Change from 2020 - 21 metering report card indicated in brackets.</w:t>
      </w:r>
    </w:p>
    <w:p w14:paraId="2869267A" w14:textId="3A1A1230" w:rsidR="00473F5B" w:rsidRPr="00900D39" w:rsidRDefault="00142E0B" w:rsidP="00900D39">
      <w:pPr>
        <w:pStyle w:val="Heading2"/>
        <w:rPr>
          <w:w w:val="110"/>
          <w:sz w:val="24"/>
          <w:szCs w:val="16"/>
        </w:rPr>
      </w:pPr>
      <w:r w:rsidRPr="00A27456">
        <w:rPr>
          <w:sz w:val="24"/>
          <w:szCs w:val="16"/>
        </w:rPr>
        <w:t>Table 1</w:t>
      </w:r>
      <w:r w:rsidR="00055589" w:rsidRPr="00A27456">
        <w:rPr>
          <w:sz w:val="24"/>
          <w:szCs w:val="16"/>
        </w:rPr>
        <w:t>.</w:t>
      </w:r>
      <w:r w:rsidRPr="00A27456">
        <w:rPr>
          <w:sz w:val="24"/>
          <w:szCs w:val="16"/>
        </w:rPr>
        <w:t xml:space="preserve"> </w:t>
      </w:r>
      <w:r w:rsidR="00A27456" w:rsidRPr="00A27456">
        <w:rPr>
          <w:w w:val="110"/>
          <w:sz w:val="24"/>
          <w:szCs w:val="16"/>
        </w:rPr>
        <w:t xml:space="preserve">Pattern approved </w:t>
      </w:r>
      <w:proofErr w:type="gramStart"/>
      <w:r w:rsidR="00A27456" w:rsidRPr="00A27456">
        <w:rPr>
          <w:w w:val="110"/>
          <w:sz w:val="24"/>
          <w:szCs w:val="16"/>
        </w:rPr>
        <w:t>meters</w:t>
      </w:r>
      <w:proofErr w:type="gramEnd"/>
    </w:p>
    <w:tbl>
      <w:tblPr>
        <w:tblStyle w:val="TableGridLight"/>
        <w:tblW w:w="0" w:type="auto"/>
        <w:tblLook w:val="04A0" w:firstRow="1" w:lastRow="0" w:firstColumn="1" w:lastColumn="0" w:noHBand="0" w:noVBand="1"/>
      </w:tblPr>
      <w:tblGrid>
        <w:gridCol w:w="3209"/>
        <w:gridCol w:w="3209"/>
        <w:gridCol w:w="3210"/>
      </w:tblGrid>
      <w:tr w:rsidR="007C3F00" w14:paraId="4FF20A41" w14:textId="77777777" w:rsidTr="007C3F00">
        <w:trPr>
          <w:cnfStyle w:val="100000000000" w:firstRow="1" w:lastRow="0" w:firstColumn="0" w:lastColumn="0" w:oddVBand="0" w:evenVBand="0" w:oddHBand="0" w:evenHBand="0" w:firstRowFirstColumn="0" w:firstRowLastColumn="0" w:lastRowFirstColumn="0" w:lastRowLastColumn="0"/>
        </w:trPr>
        <w:tc>
          <w:tcPr>
            <w:tcW w:w="3209" w:type="dxa"/>
          </w:tcPr>
          <w:p w14:paraId="679A703D" w14:textId="0B277DED" w:rsidR="007C3F00" w:rsidRDefault="0048092D" w:rsidP="003268F7">
            <w:pPr>
              <w:pStyle w:val="TableHeader"/>
            </w:pPr>
            <w:r>
              <w:t>Model</w:t>
            </w:r>
          </w:p>
        </w:tc>
        <w:tc>
          <w:tcPr>
            <w:tcW w:w="3209" w:type="dxa"/>
          </w:tcPr>
          <w:p w14:paraId="2AD0B964" w14:textId="38F040F5" w:rsidR="007C3F00" w:rsidRDefault="0048092D" w:rsidP="003268F7">
            <w:pPr>
              <w:pStyle w:val="TableHeader"/>
            </w:pPr>
            <w:r>
              <w:t>Pump size min (mm)</w:t>
            </w:r>
          </w:p>
        </w:tc>
        <w:tc>
          <w:tcPr>
            <w:tcW w:w="3210" w:type="dxa"/>
          </w:tcPr>
          <w:p w14:paraId="2464F404" w14:textId="5D85D6EA" w:rsidR="007C3F00" w:rsidRDefault="0048092D" w:rsidP="003268F7">
            <w:pPr>
              <w:pStyle w:val="TableHeader"/>
            </w:pPr>
            <w:r>
              <w:t>Pump size max (mm)</w:t>
            </w:r>
          </w:p>
        </w:tc>
      </w:tr>
      <w:tr w:rsidR="00EC504A" w14:paraId="7600833C" w14:textId="77777777" w:rsidTr="007C3F00">
        <w:tc>
          <w:tcPr>
            <w:tcW w:w="3209" w:type="dxa"/>
          </w:tcPr>
          <w:p w14:paraId="7E580FDA" w14:textId="0DA395F6" w:rsidR="00EC504A" w:rsidRDefault="00EC504A" w:rsidP="00EC504A">
            <w:pPr>
              <w:pStyle w:val="TableText"/>
            </w:pPr>
            <w:r>
              <w:rPr>
                <w:w w:val="110"/>
              </w:rPr>
              <w:t>ABB</w:t>
            </w:r>
          </w:p>
        </w:tc>
        <w:tc>
          <w:tcPr>
            <w:tcW w:w="3209" w:type="dxa"/>
          </w:tcPr>
          <w:p w14:paraId="13650AD8" w14:textId="41E66CA7" w:rsidR="00EC504A" w:rsidRDefault="00EC504A" w:rsidP="00EC504A">
            <w:pPr>
              <w:pStyle w:val="TableText"/>
            </w:pPr>
            <w:r>
              <w:rPr>
                <w:w w:val="110"/>
              </w:rPr>
              <w:t>40</w:t>
            </w:r>
          </w:p>
        </w:tc>
        <w:tc>
          <w:tcPr>
            <w:tcW w:w="3210" w:type="dxa"/>
          </w:tcPr>
          <w:p w14:paraId="265DC2A2" w14:textId="0686EC18" w:rsidR="00EC504A" w:rsidRDefault="00EC504A" w:rsidP="00EC504A">
            <w:pPr>
              <w:pStyle w:val="TableText"/>
            </w:pPr>
            <w:r>
              <w:rPr>
                <w:w w:val="110"/>
              </w:rPr>
              <w:t>200</w:t>
            </w:r>
          </w:p>
        </w:tc>
      </w:tr>
      <w:tr w:rsidR="00EC504A" w14:paraId="684AE0D5" w14:textId="77777777" w:rsidTr="007C3F00">
        <w:tc>
          <w:tcPr>
            <w:tcW w:w="3209" w:type="dxa"/>
          </w:tcPr>
          <w:p w14:paraId="639E854E" w14:textId="57BCB13E" w:rsidR="00EC504A" w:rsidRDefault="00EC504A" w:rsidP="00EC504A">
            <w:pPr>
              <w:pStyle w:val="TableText"/>
            </w:pPr>
            <w:r>
              <w:rPr>
                <w:w w:val="110"/>
              </w:rPr>
              <w:t>ABB</w:t>
            </w:r>
          </w:p>
        </w:tc>
        <w:tc>
          <w:tcPr>
            <w:tcW w:w="3209" w:type="dxa"/>
          </w:tcPr>
          <w:p w14:paraId="536CE2F7" w14:textId="3FE320EE" w:rsidR="00EC504A" w:rsidRDefault="00EC504A" w:rsidP="00EC504A">
            <w:pPr>
              <w:pStyle w:val="TableText"/>
            </w:pPr>
            <w:r>
              <w:rPr>
                <w:w w:val="110"/>
              </w:rPr>
              <w:t>40</w:t>
            </w:r>
          </w:p>
        </w:tc>
        <w:tc>
          <w:tcPr>
            <w:tcW w:w="3210" w:type="dxa"/>
          </w:tcPr>
          <w:p w14:paraId="134C1193" w14:textId="011BFEC2" w:rsidR="00EC504A" w:rsidRDefault="00EC504A" w:rsidP="00EC504A">
            <w:pPr>
              <w:pStyle w:val="TableText"/>
            </w:pPr>
            <w:r>
              <w:rPr>
                <w:w w:val="110"/>
              </w:rPr>
              <w:t>1200</w:t>
            </w:r>
          </w:p>
        </w:tc>
      </w:tr>
      <w:tr w:rsidR="00EC504A" w14:paraId="185EDE00" w14:textId="77777777" w:rsidTr="007C3F00">
        <w:tc>
          <w:tcPr>
            <w:tcW w:w="3209" w:type="dxa"/>
          </w:tcPr>
          <w:p w14:paraId="3E8DEC61" w14:textId="7CE87E2C" w:rsidR="00EC504A" w:rsidRDefault="00EC504A" w:rsidP="00EC504A">
            <w:pPr>
              <w:pStyle w:val="TableText"/>
            </w:pPr>
            <w:r>
              <w:rPr>
                <w:w w:val="110"/>
              </w:rPr>
              <w:t>AQUAMONIX</w:t>
            </w:r>
          </w:p>
        </w:tc>
        <w:tc>
          <w:tcPr>
            <w:tcW w:w="3209" w:type="dxa"/>
          </w:tcPr>
          <w:p w14:paraId="65B2194E" w14:textId="07731146" w:rsidR="00EC504A" w:rsidRDefault="00EC504A" w:rsidP="00EC504A">
            <w:pPr>
              <w:pStyle w:val="TableText"/>
            </w:pPr>
            <w:r>
              <w:rPr>
                <w:w w:val="110"/>
              </w:rPr>
              <w:t>50</w:t>
            </w:r>
          </w:p>
        </w:tc>
        <w:tc>
          <w:tcPr>
            <w:tcW w:w="3210" w:type="dxa"/>
          </w:tcPr>
          <w:p w14:paraId="7C81BDE4" w14:textId="2A090822" w:rsidR="00EC504A" w:rsidRDefault="00EC504A" w:rsidP="00EC504A">
            <w:pPr>
              <w:pStyle w:val="TableText"/>
            </w:pPr>
            <w:r>
              <w:rPr>
                <w:w w:val="110"/>
              </w:rPr>
              <w:t>1500</w:t>
            </w:r>
          </w:p>
        </w:tc>
      </w:tr>
      <w:tr w:rsidR="00EC504A" w14:paraId="512BEF6E" w14:textId="77777777" w:rsidTr="007C3F00">
        <w:tc>
          <w:tcPr>
            <w:tcW w:w="3209" w:type="dxa"/>
          </w:tcPr>
          <w:p w14:paraId="50F28EBE" w14:textId="7E3D5857" w:rsidR="00EC504A" w:rsidRDefault="00EC504A" w:rsidP="00EC504A">
            <w:pPr>
              <w:pStyle w:val="TableText"/>
            </w:pPr>
            <w:r>
              <w:rPr>
                <w:w w:val="110"/>
              </w:rPr>
              <w:t>ARAD</w:t>
            </w:r>
          </w:p>
        </w:tc>
        <w:tc>
          <w:tcPr>
            <w:tcW w:w="3209" w:type="dxa"/>
          </w:tcPr>
          <w:p w14:paraId="045AF3CE" w14:textId="646A507E" w:rsidR="00EC504A" w:rsidRDefault="00EC504A" w:rsidP="00EC504A">
            <w:pPr>
              <w:pStyle w:val="TableText"/>
            </w:pPr>
            <w:r>
              <w:rPr>
                <w:w w:val="110"/>
              </w:rPr>
              <w:t>80</w:t>
            </w:r>
          </w:p>
        </w:tc>
        <w:tc>
          <w:tcPr>
            <w:tcW w:w="3210" w:type="dxa"/>
          </w:tcPr>
          <w:p w14:paraId="3047E514" w14:textId="3789C7E9" w:rsidR="00EC504A" w:rsidRDefault="00EC504A" w:rsidP="00EC504A">
            <w:pPr>
              <w:pStyle w:val="TableText"/>
            </w:pPr>
            <w:r>
              <w:rPr>
                <w:w w:val="110"/>
              </w:rPr>
              <w:t>200</w:t>
            </w:r>
          </w:p>
        </w:tc>
      </w:tr>
      <w:tr w:rsidR="00EC504A" w14:paraId="450F472B" w14:textId="77777777" w:rsidTr="007C3F00">
        <w:tc>
          <w:tcPr>
            <w:tcW w:w="3209" w:type="dxa"/>
          </w:tcPr>
          <w:p w14:paraId="58F7CC3D" w14:textId="1272F346" w:rsidR="00EC504A" w:rsidRDefault="00EC504A" w:rsidP="00EC504A">
            <w:pPr>
              <w:pStyle w:val="TableText"/>
            </w:pPr>
            <w:r>
              <w:rPr>
                <w:w w:val="110"/>
              </w:rPr>
              <w:t>ARAD</w:t>
            </w:r>
          </w:p>
        </w:tc>
        <w:tc>
          <w:tcPr>
            <w:tcW w:w="3209" w:type="dxa"/>
          </w:tcPr>
          <w:p w14:paraId="3563186D" w14:textId="5D9ED61A" w:rsidR="00EC504A" w:rsidRDefault="00EC504A" w:rsidP="00EC504A">
            <w:pPr>
              <w:pStyle w:val="TableText"/>
            </w:pPr>
            <w:r>
              <w:rPr>
                <w:w w:val="110"/>
              </w:rPr>
              <w:t>40</w:t>
            </w:r>
          </w:p>
        </w:tc>
        <w:tc>
          <w:tcPr>
            <w:tcW w:w="3210" w:type="dxa"/>
          </w:tcPr>
          <w:p w14:paraId="35ACE663" w14:textId="3BC70688" w:rsidR="00EC504A" w:rsidRDefault="00EC504A" w:rsidP="00EC504A">
            <w:pPr>
              <w:pStyle w:val="TableText"/>
            </w:pPr>
            <w:r>
              <w:rPr>
                <w:w w:val="110"/>
              </w:rPr>
              <w:t>300</w:t>
            </w:r>
          </w:p>
        </w:tc>
      </w:tr>
      <w:tr w:rsidR="00EC504A" w14:paraId="73CAD07C" w14:textId="77777777" w:rsidTr="007C3F00">
        <w:tc>
          <w:tcPr>
            <w:tcW w:w="3209" w:type="dxa"/>
          </w:tcPr>
          <w:p w14:paraId="311ADD10" w14:textId="5EEB8D09" w:rsidR="00EC504A" w:rsidRDefault="00EC504A" w:rsidP="00EC504A">
            <w:pPr>
              <w:pStyle w:val="TableText"/>
            </w:pPr>
            <w:r>
              <w:rPr>
                <w:w w:val="110"/>
              </w:rPr>
              <w:t>ARAD</w:t>
            </w:r>
          </w:p>
        </w:tc>
        <w:tc>
          <w:tcPr>
            <w:tcW w:w="3209" w:type="dxa"/>
          </w:tcPr>
          <w:p w14:paraId="6E9F7E16" w14:textId="3188859A" w:rsidR="00EC504A" w:rsidRDefault="00EC504A" w:rsidP="00EC504A">
            <w:pPr>
              <w:pStyle w:val="TableText"/>
            </w:pPr>
            <w:r>
              <w:rPr>
                <w:w w:val="110"/>
              </w:rPr>
              <w:t>50</w:t>
            </w:r>
          </w:p>
        </w:tc>
        <w:tc>
          <w:tcPr>
            <w:tcW w:w="3210" w:type="dxa"/>
          </w:tcPr>
          <w:p w14:paraId="77B4F292" w14:textId="5D525922" w:rsidR="00EC504A" w:rsidRDefault="00EC504A" w:rsidP="00EC504A">
            <w:pPr>
              <w:pStyle w:val="TableText"/>
            </w:pPr>
            <w:r>
              <w:rPr>
                <w:w w:val="110"/>
              </w:rPr>
              <w:t>300</w:t>
            </w:r>
          </w:p>
        </w:tc>
      </w:tr>
      <w:tr w:rsidR="00EC504A" w14:paraId="7509D223" w14:textId="77777777" w:rsidTr="007C3F00">
        <w:tc>
          <w:tcPr>
            <w:tcW w:w="3209" w:type="dxa"/>
          </w:tcPr>
          <w:p w14:paraId="673A278C" w14:textId="0D8E6C7D" w:rsidR="00EC504A" w:rsidRDefault="00EC504A" w:rsidP="00EC504A">
            <w:pPr>
              <w:pStyle w:val="TableText"/>
            </w:pPr>
            <w:r>
              <w:rPr>
                <w:w w:val="110"/>
              </w:rPr>
              <w:t>BERMAD</w:t>
            </w:r>
          </w:p>
        </w:tc>
        <w:tc>
          <w:tcPr>
            <w:tcW w:w="3209" w:type="dxa"/>
          </w:tcPr>
          <w:p w14:paraId="3D0C0B8A" w14:textId="5D7A3CD6" w:rsidR="00EC504A" w:rsidRDefault="00EC504A" w:rsidP="00EC504A">
            <w:pPr>
              <w:pStyle w:val="TableText"/>
            </w:pPr>
            <w:r>
              <w:rPr>
                <w:w w:val="110"/>
              </w:rPr>
              <w:t>50</w:t>
            </w:r>
          </w:p>
        </w:tc>
        <w:tc>
          <w:tcPr>
            <w:tcW w:w="3210" w:type="dxa"/>
          </w:tcPr>
          <w:p w14:paraId="12237345" w14:textId="3B32635D" w:rsidR="00EC504A" w:rsidRDefault="00EC504A" w:rsidP="00EC504A">
            <w:pPr>
              <w:pStyle w:val="TableText"/>
            </w:pPr>
            <w:r>
              <w:rPr>
                <w:w w:val="110"/>
              </w:rPr>
              <w:t>300</w:t>
            </w:r>
          </w:p>
        </w:tc>
      </w:tr>
      <w:tr w:rsidR="00EC504A" w14:paraId="0F53E36E" w14:textId="77777777" w:rsidTr="007C3F00">
        <w:tc>
          <w:tcPr>
            <w:tcW w:w="3209" w:type="dxa"/>
          </w:tcPr>
          <w:p w14:paraId="51EA68A3" w14:textId="2BE49F33" w:rsidR="00EC504A" w:rsidRDefault="00EC504A" w:rsidP="00EC504A">
            <w:pPr>
              <w:pStyle w:val="TableText"/>
            </w:pPr>
            <w:r>
              <w:rPr>
                <w:w w:val="110"/>
              </w:rPr>
              <w:t>ELSTER</w:t>
            </w:r>
          </w:p>
        </w:tc>
        <w:tc>
          <w:tcPr>
            <w:tcW w:w="3209" w:type="dxa"/>
          </w:tcPr>
          <w:p w14:paraId="28BD0A8F" w14:textId="357CBA0E" w:rsidR="00EC504A" w:rsidRDefault="00EC504A" w:rsidP="00EC504A">
            <w:pPr>
              <w:pStyle w:val="TableText"/>
            </w:pPr>
            <w:r>
              <w:rPr>
                <w:w w:val="110"/>
              </w:rPr>
              <w:t>50</w:t>
            </w:r>
          </w:p>
        </w:tc>
        <w:tc>
          <w:tcPr>
            <w:tcW w:w="3210" w:type="dxa"/>
          </w:tcPr>
          <w:p w14:paraId="774AE584" w14:textId="171AC3D9" w:rsidR="00EC504A" w:rsidRDefault="00EC504A" w:rsidP="00EC504A">
            <w:pPr>
              <w:pStyle w:val="TableText"/>
            </w:pPr>
            <w:r>
              <w:rPr>
                <w:w w:val="110"/>
              </w:rPr>
              <w:t>200</w:t>
            </w:r>
          </w:p>
        </w:tc>
      </w:tr>
      <w:tr w:rsidR="00EC504A" w14:paraId="347F3643" w14:textId="77777777" w:rsidTr="007C3F00">
        <w:tc>
          <w:tcPr>
            <w:tcW w:w="3209" w:type="dxa"/>
          </w:tcPr>
          <w:p w14:paraId="02C44B35" w14:textId="7CBC2C4F" w:rsidR="00EC504A" w:rsidRDefault="00EC504A" w:rsidP="00EC504A">
            <w:pPr>
              <w:pStyle w:val="TableText"/>
            </w:pPr>
            <w:r>
              <w:rPr>
                <w:w w:val="110"/>
              </w:rPr>
              <w:t>ENDRESS + HAUSER</w:t>
            </w:r>
          </w:p>
        </w:tc>
        <w:tc>
          <w:tcPr>
            <w:tcW w:w="3209" w:type="dxa"/>
          </w:tcPr>
          <w:p w14:paraId="3F85DA70" w14:textId="0CFA7C89" w:rsidR="00EC504A" w:rsidRDefault="00EC504A" w:rsidP="00EC504A">
            <w:pPr>
              <w:pStyle w:val="TableText"/>
            </w:pPr>
            <w:r>
              <w:rPr>
                <w:w w:val="110"/>
              </w:rPr>
              <w:t>25</w:t>
            </w:r>
          </w:p>
        </w:tc>
        <w:tc>
          <w:tcPr>
            <w:tcW w:w="3210" w:type="dxa"/>
          </w:tcPr>
          <w:p w14:paraId="0D19DEA6" w14:textId="78D8263C" w:rsidR="00EC504A" w:rsidRDefault="00EC504A" w:rsidP="00EC504A">
            <w:pPr>
              <w:pStyle w:val="TableText"/>
            </w:pPr>
            <w:r>
              <w:rPr>
                <w:w w:val="110"/>
              </w:rPr>
              <w:t>800</w:t>
            </w:r>
          </w:p>
        </w:tc>
      </w:tr>
      <w:tr w:rsidR="00EC504A" w14:paraId="7C380B49" w14:textId="77777777" w:rsidTr="007C3F00">
        <w:tc>
          <w:tcPr>
            <w:tcW w:w="3209" w:type="dxa"/>
          </w:tcPr>
          <w:p w14:paraId="4E8D2F1A" w14:textId="59FCC929" w:rsidR="00EC504A" w:rsidRDefault="00EC504A" w:rsidP="00EC504A">
            <w:pPr>
              <w:pStyle w:val="TableText"/>
            </w:pPr>
            <w:r>
              <w:rPr>
                <w:w w:val="110"/>
              </w:rPr>
              <w:t>EUROMAG</w:t>
            </w:r>
          </w:p>
        </w:tc>
        <w:tc>
          <w:tcPr>
            <w:tcW w:w="3209" w:type="dxa"/>
          </w:tcPr>
          <w:p w14:paraId="1954D7E9" w14:textId="00885842" w:rsidR="00EC504A" w:rsidRDefault="00EC504A" w:rsidP="00EC504A">
            <w:pPr>
              <w:pStyle w:val="TableText"/>
            </w:pPr>
            <w:r>
              <w:rPr>
                <w:w w:val="110"/>
              </w:rPr>
              <w:t>40</w:t>
            </w:r>
          </w:p>
        </w:tc>
        <w:tc>
          <w:tcPr>
            <w:tcW w:w="3210" w:type="dxa"/>
          </w:tcPr>
          <w:p w14:paraId="66EBB97E" w14:textId="173FB3CD" w:rsidR="00EC504A" w:rsidRDefault="00EC504A" w:rsidP="00EC504A">
            <w:pPr>
              <w:pStyle w:val="TableText"/>
            </w:pPr>
            <w:r>
              <w:rPr>
                <w:w w:val="110"/>
              </w:rPr>
              <w:t>1000</w:t>
            </w:r>
          </w:p>
        </w:tc>
      </w:tr>
      <w:tr w:rsidR="00EC504A" w14:paraId="7396073D" w14:textId="77777777" w:rsidTr="007C3F00">
        <w:tc>
          <w:tcPr>
            <w:tcW w:w="3209" w:type="dxa"/>
          </w:tcPr>
          <w:p w14:paraId="6065554B" w14:textId="51BE0A7A" w:rsidR="00EC504A" w:rsidRDefault="00EC504A" w:rsidP="00EC504A">
            <w:pPr>
              <w:pStyle w:val="TableText"/>
            </w:pPr>
            <w:r>
              <w:rPr>
                <w:w w:val="110"/>
              </w:rPr>
              <w:t>KROHNE</w:t>
            </w:r>
          </w:p>
        </w:tc>
        <w:tc>
          <w:tcPr>
            <w:tcW w:w="3209" w:type="dxa"/>
          </w:tcPr>
          <w:p w14:paraId="2A86183B" w14:textId="09AE9035" w:rsidR="00EC504A" w:rsidRDefault="00EC504A" w:rsidP="00EC504A">
            <w:pPr>
              <w:pStyle w:val="TableText"/>
            </w:pPr>
            <w:r>
              <w:rPr>
                <w:w w:val="110"/>
              </w:rPr>
              <w:t>25</w:t>
            </w:r>
          </w:p>
        </w:tc>
        <w:tc>
          <w:tcPr>
            <w:tcW w:w="3210" w:type="dxa"/>
          </w:tcPr>
          <w:p w14:paraId="755C5E2E" w14:textId="01E17773" w:rsidR="00EC504A" w:rsidRDefault="00EC504A" w:rsidP="00EC504A">
            <w:pPr>
              <w:pStyle w:val="TableText"/>
            </w:pPr>
            <w:r>
              <w:rPr>
                <w:w w:val="110"/>
              </w:rPr>
              <w:t>600</w:t>
            </w:r>
          </w:p>
        </w:tc>
      </w:tr>
      <w:tr w:rsidR="00EC504A" w14:paraId="6B2D6486" w14:textId="77777777" w:rsidTr="007C3F00">
        <w:tc>
          <w:tcPr>
            <w:tcW w:w="3209" w:type="dxa"/>
          </w:tcPr>
          <w:p w14:paraId="42DF1D7C" w14:textId="02A4C955" w:rsidR="00EC504A" w:rsidRDefault="00EC504A" w:rsidP="00EC504A">
            <w:pPr>
              <w:pStyle w:val="TableText"/>
            </w:pPr>
            <w:r>
              <w:rPr>
                <w:w w:val="110"/>
              </w:rPr>
              <w:t>KROHNE</w:t>
            </w:r>
          </w:p>
        </w:tc>
        <w:tc>
          <w:tcPr>
            <w:tcW w:w="3209" w:type="dxa"/>
          </w:tcPr>
          <w:p w14:paraId="047AF6EA" w14:textId="08DEE586" w:rsidR="00EC504A" w:rsidRDefault="00EC504A" w:rsidP="00EC504A">
            <w:pPr>
              <w:pStyle w:val="TableText"/>
            </w:pPr>
            <w:r>
              <w:rPr>
                <w:w w:val="110"/>
              </w:rPr>
              <w:t>25</w:t>
            </w:r>
          </w:p>
        </w:tc>
        <w:tc>
          <w:tcPr>
            <w:tcW w:w="3210" w:type="dxa"/>
          </w:tcPr>
          <w:p w14:paraId="7C5F32D1" w14:textId="41B01E31" w:rsidR="00EC504A" w:rsidRDefault="00EC504A" w:rsidP="00EC504A">
            <w:pPr>
              <w:pStyle w:val="TableText"/>
            </w:pPr>
            <w:r>
              <w:rPr>
                <w:w w:val="110"/>
              </w:rPr>
              <w:t>1800</w:t>
            </w:r>
          </w:p>
        </w:tc>
      </w:tr>
      <w:tr w:rsidR="00EC504A" w14:paraId="27D508FB" w14:textId="77777777" w:rsidTr="007C3F00">
        <w:tc>
          <w:tcPr>
            <w:tcW w:w="3209" w:type="dxa"/>
          </w:tcPr>
          <w:p w14:paraId="22E086A9" w14:textId="06CC81A6" w:rsidR="00EC504A" w:rsidRDefault="00EC504A" w:rsidP="00EC504A">
            <w:pPr>
              <w:pStyle w:val="TableText"/>
            </w:pPr>
            <w:r>
              <w:rPr>
                <w:w w:val="110"/>
              </w:rPr>
              <w:t>RUBICON</w:t>
            </w:r>
          </w:p>
        </w:tc>
        <w:tc>
          <w:tcPr>
            <w:tcW w:w="3209" w:type="dxa"/>
          </w:tcPr>
          <w:p w14:paraId="1A9AD1A5" w14:textId="6A18015C" w:rsidR="00EC504A" w:rsidRDefault="00EC504A" w:rsidP="00EC504A">
            <w:pPr>
              <w:pStyle w:val="TableText"/>
            </w:pPr>
            <w:r>
              <w:rPr>
                <w:w w:val="110"/>
              </w:rPr>
              <w:t>600</w:t>
            </w:r>
          </w:p>
        </w:tc>
        <w:tc>
          <w:tcPr>
            <w:tcW w:w="3210" w:type="dxa"/>
          </w:tcPr>
          <w:p w14:paraId="40696F06" w14:textId="1C83061D" w:rsidR="00EC504A" w:rsidRDefault="00EC504A" w:rsidP="00EC504A">
            <w:pPr>
              <w:pStyle w:val="TableText"/>
            </w:pPr>
            <w:r>
              <w:rPr>
                <w:w w:val="110"/>
              </w:rPr>
              <w:t>600</w:t>
            </w:r>
          </w:p>
        </w:tc>
      </w:tr>
      <w:tr w:rsidR="00EC504A" w14:paraId="3489E8F7" w14:textId="77777777" w:rsidTr="007C3F00">
        <w:tc>
          <w:tcPr>
            <w:tcW w:w="3209" w:type="dxa"/>
          </w:tcPr>
          <w:p w14:paraId="767B60BB" w14:textId="6E966085" w:rsidR="00EC504A" w:rsidRDefault="00EC504A" w:rsidP="00EC504A">
            <w:pPr>
              <w:pStyle w:val="TableText"/>
            </w:pPr>
            <w:r>
              <w:rPr>
                <w:w w:val="110"/>
              </w:rPr>
              <w:t>SIEMENS</w:t>
            </w:r>
          </w:p>
        </w:tc>
        <w:tc>
          <w:tcPr>
            <w:tcW w:w="3209" w:type="dxa"/>
          </w:tcPr>
          <w:p w14:paraId="763AE229" w14:textId="35F9070B" w:rsidR="00EC504A" w:rsidRDefault="00EC504A" w:rsidP="00EC504A">
            <w:pPr>
              <w:pStyle w:val="TableText"/>
            </w:pPr>
            <w:r>
              <w:rPr>
                <w:w w:val="110"/>
              </w:rPr>
              <w:t>25</w:t>
            </w:r>
          </w:p>
        </w:tc>
        <w:tc>
          <w:tcPr>
            <w:tcW w:w="3210" w:type="dxa"/>
          </w:tcPr>
          <w:p w14:paraId="4C034564" w14:textId="698E3583" w:rsidR="00EC504A" w:rsidRDefault="00EC504A" w:rsidP="00EC504A">
            <w:pPr>
              <w:pStyle w:val="TableText"/>
            </w:pPr>
            <w:r>
              <w:rPr>
                <w:w w:val="110"/>
              </w:rPr>
              <w:t>1200</w:t>
            </w:r>
          </w:p>
        </w:tc>
      </w:tr>
      <w:tr w:rsidR="00EC504A" w14:paraId="0B8D27A8" w14:textId="77777777" w:rsidTr="007C3F00">
        <w:tc>
          <w:tcPr>
            <w:tcW w:w="3209" w:type="dxa"/>
          </w:tcPr>
          <w:p w14:paraId="56EDA3E3" w14:textId="1A01CD63" w:rsidR="00EC504A" w:rsidRDefault="00EC504A" w:rsidP="00EC504A">
            <w:pPr>
              <w:pStyle w:val="TableText"/>
            </w:pPr>
            <w:r>
              <w:rPr>
                <w:w w:val="110"/>
              </w:rPr>
              <w:t>SIEMENS</w:t>
            </w:r>
          </w:p>
        </w:tc>
        <w:tc>
          <w:tcPr>
            <w:tcW w:w="3209" w:type="dxa"/>
          </w:tcPr>
          <w:p w14:paraId="75B52F14" w14:textId="2D900046" w:rsidR="00EC504A" w:rsidRDefault="00EC504A" w:rsidP="00EC504A">
            <w:pPr>
              <w:pStyle w:val="TableText"/>
            </w:pPr>
            <w:r>
              <w:rPr>
                <w:w w:val="110"/>
              </w:rPr>
              <w:t>25</w:t>
            </w:r>
          </w:p>
        </w:tc>
        <w:tc>
          <w:tcPr>
            <w:tcW w:w="3210" w:type="dxa"/>
          </w:tcPr>
          <w:p w14:paraId="42DBF685" w14:textId="0FA7DE86" w:rsidR="00EC504A" w:rsidRDefault="00EC504A" w:rsidP="00EC504A">
            <w:pPr>
              <w:pStyle w:val="TableText"/>
            </w:pPr>
            <w:r>
              <w:rPr>
                <w:w w:val="110"/>
              </w:rPr>
              <w:t>2000</w:t>
            </w:r>
          </w:p>
        </w:tc>
      </w:tr>
      <w:tr w:rsidR="00EC504A" w14:paraId="7FF6CB0A" w14:textId="77777777" w:rsidTr="007C3F00">
        <w:tc>
          <w:tcPr>
            <w:tcW w:w="3209" w:type="dxa"/>
          </w:tcPr>
          <w:p w14:paraId="540F1FB8" w14:textId="410E8E7E" w:rsidR="00EC504A" w:rsidRDefault="00EC504A" w:rsidP="00EC504A">
            <w:pPr>
              <w:pStyle w:val="TableText"/>
            </w:pPr>
            <w:r>
              <w:rPr>
                <w:w w:val="110"/>
              </w:rPr>
              <w:t>SENSUS</w:t>
            </w:r>
          </w:p>
        </w:tc>
        <w:tc>
          <w:tcPr>
            <w:tcW w:w="3209" w:type="dxa"/>
          </w:tcPr>
          <w:p w14:paraId="6340AF28" w14:textId="7ACEBA4F" w:rsidR="00EC504A" w:rsidRDefault="00EC504A" w:rsidP="00EC504A">
            <w:pPr>
              <w:pStyle w:val="TableText"/>
            </w:pPr>
            <w:r>
              <w:rPr>
                <w:w w:val="110"/>
              </w:rPr>
              <w:t>40</w:t>
            </w:r>
          </w:p>
        </w:tc>
        <w:tc>
          <w:tcPr>
            <w:tcW w:w="3210" w:type="dxa"/>
          </w:tcPr>
          <w:p w14:paraId="438C7F27" w14:textId="31DCE97E" w:rsidR="00EC504A" w:rsidRDefault="00EC504A" w:rsidP="00EC504A">
            <w:pPr>
              <w:pStyle w:val="TableText"/>
            </w:pPr>
            <w:r>
              <w:rPr>
                <w:w w:val="110"/>
              </w:rPr>
              <w:t>400</w:t>
            </w:r>
          </w:p>
        </w:tc>
      </w:tr>
      <w:tr w:rsidR="00EC504A" w14:paraId="7EE35E70" w14:textId="77777777" w:rsidTr="007C3F00">
        <w:tc>
          <w:tcPr>
            <w:tcW w:w="3209" w:type="dxa"/>
          </w:tcPr>
          <w:p w14:paraId="04F195B3" w14:textId="73AAF003" w:rsidR="00EC504A" w:rsidRDefault="00EC504A" w:rsidP="00EC504A">
            <w:pPr>
              <w:pStyle w:val="TableText"/>
              <w:rPr>
                <w:w w:val="110"/>
              </w:rPr>
            </w:pPr>
            <w:r>
              <w:rPr>
                <w:w w:val="110"/>
              </w:rPr>
              <w:t>ZENNER</w:t>
            </w:r>
          </w:p>
        </w:tc>
        <w:tc>
          <w:tcPr>
            <w:tcW w:w="3209" w:type="dxa"/>
          </w:tcPr>
          <w:p w14:paraId="4308AA0D" w14:textId="67CE7530" w:rsidR="00EC504A" w:rsidRDefault="00EC504A" w:rsidP="00EC504A">
            <w:pPr>
              <w:pStyle w:val="TableText"/>
            </w:pPr>
            <w:r>
              <w:rPr>
                <w:w w:val="110"/>
              </w:rPr>
              <w:t>50</w:t>
            </w:r>
          </w:p>
        </w:tc>
        <w:tc>
          <w:tcPr>
            <w:tcW w:w="3210" w:type="dxa"/>
          </w:tcPr>
          <w:p w14:paraId="3E708D23" w14:textId="02F66603" w:rsidR="00EC504A" w:rsidRDefault="00EC504A" w:rsidP="00EC504A">
            <w:pPr>
              <w:pStyle w:val="TableText"/>
            </w:pPr>
            <w:r>
              <w:rPr>
                <w:w w:val="110"/>
              </w:rPr>
              <w:t>300</w:t>
            </w:r>
          </w:p>
        </w:tc>
      </w:tr>
    </w:tbl>
    <w:p w14:paraId="2DF5E596" w14:textId="77777777" w:rsidR="00EC504A" w:rsidRDefault="00EC504A">
      <w:pPr>
        <w:spacing w:after="0"/>
      </w:pPr>
    </w:p>
    <w:p w14:paraId="0E85C69B" w14:textId="77777777" w:rsidR="00D06256" w:rsidRDefault="00D06256" w:rsidP="00D06256">
      <w:pPr>
        <w:spacing w:after="0"/>
      </w:pPr>
      <w:r>
        <w:t xml:space="preserve">This measure is reported by the National Measurement Institute as </w:t>
      </w:r>
      <w:proofErr w:type="gramStart"/>
      <w:r>
        <w:t>at</w:t>
      </w:r>
      <w:proofErr w:type="gramEnd"/>
      <w:r>
        <w:t xml:space="preserve"> 30 June 2022. The objective of the measure is to signal the market availability of pattern approved meters and models by manufacturer and pump size.</w:t>
      </w:r>
    </w:p>
    <w:p w14:paraId="7F4A05A7" w14:textId="3D20D737" w:rsidR="00D06256" w:rsidRDefault="00D06256" w:rsidP="00D06256">
      <w:pPr>
        <w:spacing w:after="0"/>
      </w:pPr>
      <w:r>
        <w:t>Data owner/sources: National Measurement Institute</w:t>
      </w:r>
    </w:p>
    <w:p w14:paraId="193C0D9B" w14:textId="65C1984B" w:rsidR="00592481" w:rsidRPr="00592481" w:rsidRDefault="00592481" w:rsidP="00592481">
      <w:pPr>
        <w:pStyle w:val="Heading2"/>
        <w:rPr>
          <w:w w:val="110"/>
          <w:sz w:val="24"/>
          <w:szCs w:val="16"/>
        </w:rPr>
      </w:pPr>
      <w:r w:rsidRPr="00A27456">
        <w:rPr>
          <w:sz w:val="24"/>
          <w:szCs w:val="16"/>
        </w:rPr>
        <w:lastRenderedPageBreak/>
        <w:t xml:space="preserve">Table </w:t>
      </w:r>
      <w:r>
        <w:rPr>
          <w:sz w:val="24"/>
          <w:szCs w:val="16"/>
        </w:rPr>
        <w:t>2</w:t>
      </w:r>
      <w:r w:rsidRPr="00A27456">
        <w:rPr>
          <w:sz w:val="24"/>
          <w:szCs w:val="16"/>
        </w:rPr>
        <w:t xml:space="preserve">. </w:t>
      </w:r>
      <w:r w:rsidRPr="00592481">
        <w:rPr>
          <w:w w:val="110"/>
          <w:sz w:val="24"/>
          <w:szCs w:val="16"/>
        </w:rPr>
        <w:t>Count of qualified meter installers</w:t>
      </w:r>
    </w:p>
    <w:tbl>
      <w:tblPr>
        <w:tblStyle w:val="TableGridLight"/>
        <w:tblW w:w="0" w:type="auto"/>
        <w:tblLook w:val="04A0" w:firstRow="1" w:lastRow="0" w:firstColumn="1" w:lastColumn="0" w:noHBand="0" w:noVBand="1"/>
      </w:tblPr>
      <w:tblGrid>
        <w:gridCol w:w="3209"/>
        <w:gridCol w:w="4446"/>
      </w:tblGrid>
      <w:tr w:rsidR="00AD73A9" w14:paraId="415FB55C" w14:textId="77777777" w:rsidTr="00D06256">
        <w:trPr>
          <w:cnfStyle w:val="100000000000" w:firstRow="1" w:lastRow="0" w:firstColumn="0" w:lastColumn="0" w:oddVBand="0" w:evenVBand="0" w:oddHBand="0" w:evenHBand="0" w:firstRowFirstColumn="0" w:firstRowLastColumn="0" w:lastRowFirstColumn="0" w:lastRowLastColumn="0"/>
        </w:trPr>
        <w:tc>
          <w:tcPr>
            <w:tcW w:w="3209" w:type="dxa"/>
          </w:tcPr>
          <w:p w14:paraId="2FE2B28D" w14:textId="2976200A" w:rsidR="00AD73A9" w:rsidRDefault="00AD73A9" w:rsidP="00D33744">
            <w:pPr>
              <w:pStyle w:val="TableHeader"/>
            </w:pPr>
            <w:r>
              <w:t>Basin State</w:t>
            </w:r>
          </w:p>
        </w:tc>
        <w:tc>
          <w:tcPr>
            <w:tcW w:w="4446" w:type="dxa"/>
          </w:tcPr>
          <w:p w14:paraId="26E88A64" w14:textId="3C2347B1" w:rsidR="00AD73A9" w:rsidRDefault="00AD73A9" w:rsidP="00D33744">
            <w:pPr>
              <w:pStyle w:val="TableHeader"/>
            </w:pPr>
            <w:r w:rsidRPr="006E1581">
              <w:rPr>
                <w:bCs/>
              </w:rPr>
              <w:t>Count of qualified meter installers</w:t>
            </w:r>
          </w:p>
        </w:tc>
      </w:tr>
      <w:tr w:rsidR="00935B24" w14:paraId="571CEFF8" w14:textId="77777777" w:rsidTr="00D06256">
        <w:tc>
          <w:tcPr>
            <w:tcW w:w="3209" w:type="dxa"/>
          </w:tcPr>
          <w:p w14:paraId="0FBD6CBB" w14:textId="7C7AB25E" w:rsidR="00935B24" w:rsidRDefault="00935B24" w:rsidP="00935B24">
            <w:pPr>
              <w:pStyle w:val="TableText"/>
            </w:pPr>
            <w:r>
              <w:t>ACT</w:t>
            </w:r>
          </w:p>
        </w:tc>
        <w:tc>
          <w:tcPr>
            <w:tcW w:w="4446" w:type="dxa"/>
          </w:tcPr>
          <w:p w14:paraId="71010165" w14:textId="1434FE7D" w:rsidR="00935B24" w:rsidRDefault="00935B24" w:rsidP="00935B24">
            <w:pPr>
              <w:pStyle w:val="TableText"/>
            </w:pPr>
            <w:r>
              <w:t>0</w:t>
            </w:r>
          </w:p>
        </w:tc>
      </w:tr>
      <w:tr w:rsidR="00935B24" w14:paraId="221716F4" w14:textId="77777777" w:rsidTr="00D06256">
        <w:tc>
          <w:tcPr>
            <w:tcW w:w="3209" w:type="dxa"/>
          </w:tcPr>
          <w:p w14:paraId="0C2EEED7" w14:textId="17516154" w:rsidR="00935B24" w:rsidRDefault="00935B24" w:rsidP="00935B24">
            <w:pPr>
              <w:pStyle w:val="TableText"/>
            </w:pPr>
            <w:r>
              <w:t>NSW</w:t>
            </w:r>
          </w:p>
        </w:tc>
        <w:tc>
          <w:tcPr>
            <w:tcW w:w="4446" w:type="dxa"/>
          </w:tcPr>
          <w:p w14:paraId="7F8D573D" w14:textId="2225B693" w:rsidR="00935B24" w:rsidRDefault="00935B24" w:rsidP="00935B24">
            <w:pPr>
              <w:pStyle w:val="TableText"/>
            </w:pPr>
            <w:r>
              <w:t>175 (+14)</w:t>
            </w:r>
          </w:p>
        </w:tc>
      </w:tr>
      <w:tr w:rsidR="00935B24" w14:paraId="18761A6E" w14:textId="77777777" w:rsidTr="00D06256">
        <w:tc>
          <w:tcPr>
            <w:tcW w:w="3209" w:type="dxa"/>
          </w:tcPr>
          <w:p w14:paraId="6AD84F9A" w14:textId="75E2F9A4" w:rsidR="00935B24" w:rsidRDefault="00935B24" w:rsidP="00935B24">
            <w:pPr>
              <w:pStyle w:val="TableText"/>
            </w:pPr>
            <w:r>
              <w:t>Queensland</w:t>
            </w:r>
          </w:p>
        </w:tc>
        <w:tc>
          <w:tcPr>
            <w:tcW w:w="4446" w:type="dxa"/>
          </w:tcPr>
          <w:p w14:paraId="0772B34C" w14:textId="11F443CC" w:rsidR="00935B24" w:rsidRDefault="00935B24" w:rsidP="00935B24">
            <w:pPr>
              <w:pStyle w:val="TableText"/>
            </w:pPr>
            <w:r>
              <w:t>120 (-22)</w:t>
            </w:r>
          </w:p>
        </w:tc>
      </w:tr>
      <w:tr w:rsidR="00935B24" w14:paraId="0EE6F7D7" w14:textId="77777777" w:rsidTr="00D06256">
        <w:tc>
          <w:tcPr>
            <w:tcW w:w="3209" w:type="dxa"/>
          </w:tcPr>
          <w:p w14:paraId="05E09D65" w14:textId="73EFCF80" w:rsidR="00935B24" w:rsidRDefault="00935B24" w:rsidP="00935B24">
            <w:pPr>
              <w:pStyle w:val="TableText"/>
            </w:pPr>
            <w:r>
              <w:t>SA</w:t>
            </w:r>
          </w:p>
        </w:tc>
        <w:tc>
          <w:tcPr>
            <w:tcW w:w="4446" w:type="dxa"/>
          </w:tcPr>
          <w:p w14:paraId="1502DE59" w14:textId="5394FE6D" w:rsidR="00935B24" w:rsidRDefault="00935B24" w:rsidP="00935B24">
            <w:pPr>
              <w:pStyle w:val="TableText"/>
            </w:pPr>
            <w:r>
              <w:t>38 (+1)</w:t>
            </w:r>
          </w:p>
        </w:tc>
      </w:tr>
      <w:tr w:rsidR="00935B24" w14:paraId="79E081BE" w14:textId="77777777" w:rsidTr="00D06256">
        <w:tc>
          <w:tcPr>
            <w:tcW w:w="3209" w:type="dxa"/>
          </w:tcPr>
          <w:p w14:paraId="4DBEBD36" w14:textId="4019B01A" w:rsidR="00935B24" w:rsidRDefault="00935B24" w:rsidP="00935B24">
            <w:pPr>
              <w:pStyle w:val="TableText"/>
            </w:pPr>
            <w:r>
              <w:t>Victoria</w:t>
            </w:r>
          </w:p>
        </w:tc>
        <w:tc>
          <w:tcPr>
            <w:tcW w:w="4446" w:type="dxa"/>
          </w:tcPr>
          <w:p w14:paraId="296D8CBF" w14:textId="6EB6D2E1" w:rsidR="00935B24" w:rsidRDefault="00935B24" w:rsidP="00935B24">
            <w:pPr>
              <w:pStyle w:val="TableText"/>
            </w:pPr>
            <w:r>
              <w:t>128 (-23)</w:t>
            </w:r>
          </w:p>
        </w:tc>
      </w:tr>
    </w:tbl>
    <w:p w14:paraId="3AC4057D" w14:textId="77777777" w:rsidR="00900D39" w:rsidRDefault="00900D39" w:rsidP="00900D39">
      <w:pPr>
        <w:spacing w:after="0"/>
      </w:pPr>
    </w:p>
    <w:p w14:paraId="502C8AB4" w14:textId="2B0D5D60" w:rsidR="00900D39" w:rsidRDefault="00900D39" w:rsidP="00900D39">
      <w:pPr>
        <w:spacing w:after="0"/>
      </w:pPr>
      <w:r>
        <w:t>This measure is reported in order to highlight the availability of active certified meter installers (</w:t>
      </w:r>
      <w:proofErr w:type="spellStart"/>
      <w:r>
        <w:t>CMl's</w:t>
      </w:r>
      <w:proofErr w:type="spellEnd"/>
      <w:r>
        <w:t xml:space="preserve">) that are qualified to install, certify and validate compliant meter installations, as </w:t>
      </w:r>
      <w:proofErr w:type="gramStart"/>
      <w:r>
        <w:t>at</w:t>
      </w:r>
      <w:proofErr w:type="gramEnd"/>
      <w:r>
        <w:t xml:space="preserve"> 30 June 2022.</w:t>
      </w:r>
    </w:p>
    <w:p w14:paraId="547BDE3D" w14:textId="57D1EA10" w:rsidR="008E3EDD" w:rsidRDefault="00900D39" w:rsidP="00900D39">
      <w:pPr>
        <w:spacing w:after="0"/>
      </w:pPr>
      <w:r>
        <w:t>Data owner/source: Irrigation Australia</w:t>
      </w:r>
    </w:p>
    <w:p w14:paraId="52A7D91F" w14:textId="77777777" w:rsidR="00900D39" w:rsidRDefault="00900D39">
      <w:pPr>
        <w:spacing w:after="0"/>
      </w:pPr>
    </w:p>
    <w:p w14:paraId="7303305D" w14:textId="5C78F788" w:rsidR="00C34822" w:rsidRPr="00592481" w:rsidRDefault="00C34822" w:rsidP="00C34822">
      <w:pPr>
        <w:pStyle w:val="Heading2"/>
        <w:rPr>
          <w:w w:val="110"/>
          <w:sz w:val="24"/>
          <w:szCs w:val="16"/>
        </w:rPr>
      </w:pPr>
      <w:r w:rsidRPr="00A27456">
        <w:rPr>
          <w:sz w:val="24"/>
          <w:szCs w:val="16"/>
        </w:rPr>
        <w:t xml:space="preserve">Table </w:t>
      </w:r>
      <w:r>
        <w:rPr>
          <w:sz w:val="24"/>
          <w:szCs w:val="16"/>
        </w:rPr>
        <w:t>3</w:t>
      </w:r>
      <w:r w:rsidRPr="00A27456">
        <w:rPr>
          <w:sz w:val="24"/>
          <w:szCs w:val="16"/>
        </w:rPr>
        <w:t xml:space="preserve">. </w:t>
      </w:r>
      <w:r w:rsidR="001B555C" w:rsidRPr="001B555C">
        <w:rPr>
          <w:w w:val="110"/>
          <w:sz w:val="24"/>
          <w:szCs w:val="16"/>
        </w:rPr>
        <w:t>2021-22 Water take by Basin State</w:t>
      </w:r>
    </w:p>
    <w:tbl>
      <w:tblPr>
        <w:tblStyle w:val="TableGridLight"/>
        <w:tblW w:w="0" w:type="auto"/>
        <w:tblLook w:val="04A0" w:firstRow="1" w:lastRow="0" w:firstColumn="1" w:lastColumn="0" w:noHBand="0" w:noVBand="1"/>
      </w:tblPr>
      <w:tblGrid>
        <w:gridCol w:w="3209"/>
        <w:gridCol w:w="3209"/>
      </w:tblGrid>
      <w:tr w:rsidR="00C34822" w14:paraId="393B708A" w14:textId="77777777" w:rsidTr="00D33744">
        <w:trPr>
          <w:cnfStyle w:val="100000000000" w:firstRow="1" w:lastRow="0" w:firstColumn="0" w:lastColumn="0" w:oddVBand="0" w:evenVBand="0" w:oddHBand="0" w:evenHBand="0" w:firstRowFirstColumn="0" w:firstRowLastColumn="0" w:lastRowFirstColumn="0" w:lastRowLastColumn="0"/>
        </w:trPr>
        <w:tc>
          <w:tcPr>
            <w:tcW w:w="3209" w:type="dxa"/>
          </w:tcPr>
          <w:p w14:paraId="5C634EC1" w14:textId="77777777" w:rsidR="00C34822" w:rsidRDefault="00C34822" w:rsidP="00D33744">
            <w:pPr>
              <w:pStyle w:val="TableHeader"/>
            </w:pPr>
            <w:r>
              <w:t>Basin State</w:t>
            </w:r>
          </w:p>
        </w:tc>
        <w:tc>
          <w:tcPr>
            <w:tcW w:w="3209" w:type="dxa"/>
          </w:tcPr>
          <w:p w14:paraId="68D11C66" w14:textId="6A971AC9" w:rsidR="00C34822" w:rsidRDefault="00526306" w:rsidP="00D33744">
            <w:pPr>
              <w:pStyle w:val="TableHeader"/>
            </w:pPr>
            <w:r>
              <w:rPr>
                <w:bCs/>
              </w:rPr>
              <w:t xml:space="preserve">Water </w:t>
            </w:r>
            <w:proofErr w:type="gramStart"/>
            <w:r>
              <w:rPr>
                <w:bCs/>
              </w:rPr>
              <w:t>take</w:t>
            </w:r>
            <w:proofErr w:type="gramEnd"/>
          </w:p>
        </w:tc>
      </w:tr>
      <w:tr w:rsidR="000F54F0" w14:paraId="5590591D" w14:textId="77777777" w:rsidTr="00D33744">
        <w:tc>
          <w:tcPr>
            <w:tcW w:w="3209" w:type="dxa"/>
          </w:tcPr>
          <w:p w14:paraId="38591ECC" w14:textId="77777777" w:rsidR="000F54F0" w:rsidRDefault="000F54F0" w:rsidP="000F54F0">
            <w:pPr>
              <w:pStyle w:val="TableText"/>
            </w:pPr>
            <w:r>
              <w:t>ACT</w:t>
            </w:r>
          </w:p>
        </w:tc>
        <w:tc>
          <w:tcPr>
            <w:tcW w:w="3209" w:type="dxa"/>
          </w:tcPr>
          <w:p w14:paraId="4DFF4895" w14:textId="0FBA86E5" w:rsidR="000F54F0" w:rsidRDefault="000F54F0" w:rsidP="000F54F0">
            <w:pPr>
              <w:pStyle w:val="TableText"/>
            </w:pPr>
            <w:r>
              <w:rPr>
                <w:w w:val="115"/>
              </w:rPr>
              <w:t>0.1%</w:t>
            </w:r>
          </w:p>
        </w:tc>
      </w:tr>
      <w:tr w:rsidR="000F54F0" w14:paraId="4B15D1F6" w14:textId="77777777" w:rsidTr="00D33744">
        <w:tc>
          <w:tcPr>
            <w:tcW w:w="3209" w:type="dxa"/>
          </w:tcPr>
          <w:p w14:paraId="1DB79756" w14:textId="77777777" w:rsidR="000F54F0" w:rsidRDefault="000F54F0" w:rsidP="000F54F0">
            <w:pPr>
              <w:pStyle w:val="TableText"/>
            </w:pPr>
            <w:r>
              <w:t>NSW</w:t>
            </w:r>
          </w:p>
        </w:tc>
        <w:tc>
          <w:tcPr>
            <w:tcW w:w="3209" w:type="dxa"/>
          </w:tcPr>
          <w:p w14:paraId="27358401" w14:textId="0141F89F" w:rsidR="000F54F0" w:rsidRDefault="000F54F0" w:rsidP="000F54F0">
            <w:pPr>
              <w:pStyle w:val="TableText"/>
            </w:pPr>
            <w:r>
              <w:rPr>
                <w:w w:val="115"/>
              </w:rPr>
              <w:t>56.8%</w:t>
            </w:r>
          </w:p>
        </w:tc>
      </w:tr>
      <w:tr w:rsidR="000F54F0" w14:paraId="480473F4" w14:textId="77777777" w:rsidTr="00D33744">
        <w:tc>
          <w:tcPr>
            <w:tcW w:w="3209" w:type="dxa"/>
          </w:tcPr>
          <w:p w14:paraId="1F249BAB" w14:textId="77777777" w:rsidR="000F54F0" w:rsidRDefault="000F54F0" w:rsidP="000F54F0">
            <w:pPr>
              <w:pStyle w:val="TableText"/>
            </w:pPr>
            <w:r>
              <w:t>Queensland</w:t>
            </w:r>
          </w:p>
        </w:tc>
        <w:tc>
          <w:tcPr>
            <w:tcW w:w="3209" w:type="dxa"/>
          </w:tcPr>
          <w:p w14:paraId="5A74A5AB" w14:textId="1AF59F18" w:rsidR="000F54F0" w:rsidRDefault="000F54F0" w:rsidP="000F54F0">
            <w:pPr>
              <w:pStyle w:val="TableText"/>
            </w:pPr>
            <w:r>
              <w:rPr>
                <w:w w:val="115"/>
              </w:rPr>
              <w:t>15.6%</w:t>
            </w:r>
          </w:p>
        </w:tc>
      </w:tr>
      <w:tr w:rsidR="000F54F0" w14:paraId="6E5B1ACF" w14:textId="77777777" w:rsidTr="00D33744">
        <w:tc>
          <w:tcPr>
            <w:tcW w:w="3209" w:type="dxa"/>
          </w:tcPr>
          <w:p w14:paraId="6DE12184" w14:textId="77777777" w:rsidR="000F54F0" w:rsidRDefault="000F54F0" w:rsidP="000F54F0">
            <w:pPr>
              <w:pStyle w:val="TableText"/>
            </w:pPr>
            <w:r>
              <w:t>SA</w:t>
            </w:r>
          </w:p>
        </w:tc>
        <w:tc>
          <w:tcPr>
            <w:tcW w:w="3209" w:type="dxa"/>
          </w:tcPr>
          <w:p w14:paraId="70CFC8E6" w14:textId="7D1D477D" w:rsidR="000F54F0" w:rsidRDefault="000F54F0" w:rsidP="000F54F0">
            <w:pPr>
              <w:pStyle w:val="TableText"/>
            </w:pPr>
            <w:r>
              <w:rPr>
                <w:w w:val="115"/>
              </w:rPr>
              <w:t>6%</w:t>
            </w:r>
          </w:p>
        </w:tc>
      </w:tr>
      <w:tr w:rsidR="000F54F0" w14:paraId="084706C6" w14:textId="77777777" w:rsidTr="00D33744">
        <w:tc>
          <w:tcPr>
            <w:tcW w:w="3209" w:type="dxa"/>
          </w:tcPr>
          <w:p w14:paraId="38206FC2" w14:textId="77777777" w:rsidR="000F54F0" w:rsidRDefault="000F54F0" w:rsidP="000F54F0">
            <w:pPr>
              <w:pStyle w:val="TableText"/>
            </w:pPr>
            <w:r>
              <w:t>Victoria</w:t>
            </w:r>
          </w:p>
        </w:tc>
        <w:tc>
          <w:tcPr>
            <w:tcW w:w="3209" w:type="dxa"/>
          </w:tcPr>
          <w:p w14:paraId="4F6C495B" w14:textId="7D005059" w:rsidR="000F54F0" w:rsidRDefault="000F54F0" w:rsidP="000F54F0">
            <w:pPr>
              <w:pStyle w:val="TableText"/>
            </w:pPr>
            <w:r>
              <w:rPr>
                <w:w w:val="115"/>
              </w:rPr>
              <w:t>21.5%</w:t>
            </w:r>
          </w:p>
        </w:tc>
      </w:tr>
    </w:tbl>
    <w:p w14:paraId="588AEEDA" w14:textId="77777777" w:rsidR="005B4FCC" w:rsidRDefault="005B4FCC">
      <w:pPr>
        <w:spacing w:after="0"/>
      </w:pPr>
    </w:p>
    <w:p w14:paraId="2840415C" w14:textId="77777777" w:rsidR="005B4FCC" w:rsidRDefault="005B4FCC" w:rsidP="005B4FCC">
      <w:pPr>
        <w:spacing w:after="0"/>
      </w:pPr>
      <w:r>
        <w:t>This measure represents the percent of annual actual take of Basin States for the 2021-22 water year as reported by Basin States under section 71 of the Water Act (2007). The objective of this measure is to give context to the scale of metering reform in each Basin State.</w:t>
      </w:r>
    </w:p>
    <w:p w14:paraId="4E20C37E" w14:textId="77777777" w:rsidR="002A03EA" w:rsidRDefault="005B4FCC" w:rsidP="005B4FCC">
      <w:pPr>
        <w:spacing w:after="0"/>
      </w:pPr>
      <w:r>
        <w:t>Data owner/sources: State regulators</w:t>
      </w:r>
    </w:p>
    <w:p w14:paraId="0351F143" w14:textId="77777777" w:rsidR="002A03EA" w:rsidRDefault="002A03EA" w:rsidP="005B4FCC">
      <w:pPr>
        <w:spacing w:after="0"/>
      </w:pPr>
    </w:p>
    <w:p w14:paraId="79A13BD4" w14:textId="21E872BD" w:rsidR="002A03EA" w:rsidRPr="00592481" w:rsidRDefault="002A03EA" w:rsidP="002A03EA">
      <w:pPr>
        <w:pStyle w:val="Heading2"/>
        <w:rPr>
          <w:w w:val="110"/>
          <w:sz w:val="24"/>
          <w:szCs w:val="16"/>
        </w:rPr>
      </w:pPr>
      <w:r w:rsidRPr="00A27456">
        <w:rPr>
          <w:sz w:val="24"/>
          <w:szCs w:val="16"/>
        </w:rPr>
        <w:t xml:space="preserve">Table </w:t>
      </w:r>
      <w:r>
        <w:rPr>
          <w:sz w:val="24"/>
          <w:szCs w:val="16"/>
        </w:rPr>
        <w:t>4</w:t>
      </w:r>
      <w:r w:rsidRPr="00A27456">
        <w:rPr>
          <w:sz w:val="24"/>
          <w:szCs w:val="16"/>
        </w:rPr>
        <w:t xml:space="preserve">. </w:t>
      </w:r>
      <w:r w:rsidR="006B5891" w:rsidRPr="006B5891">
        <w:rPr>
          <w:w w:val="110"/>
          <w:sz w:val="24"/>
          <w:szCs w:val="16"/>
        </w:rPr>
        <w:t xml:space="preserve">Floodplain water </w:t>
      </w:r>
      <w:proofErr w:type="gramStart"/>
      <w:r w:rsidR="006B5891" w:rsidRPr="006B5891">
        <w:rPr>
          <w:w w:val="110"/>
          <w:sz w:val="24"/>
          <w:szCs w:val="16"/>
        </w:rPr>
        <w:t>take</w:t>
      </w:r>
      <w:proofErr w:type="gramEnd"/>
    </w:p>
    <w:tbl>
      <w:tblPr>
        <w:tblStyle w:val="TableGridLight"/>
        <w:tblW w:w="0" w:type="auto"/>
        <w:tblLook w:val="04A0" w:firstRow="1" w:lastRow="0" w:firstColumn="1" w:lastColumn="0" w:noHBand="0" w:noVBand="1"/>
      </w:tblPr>
      <w:tblGrid>
        <w:gridCol w:w="2977"/>
        <w:gridCol w:w="3441"/>
        <w:gridCol w:w="3209"/>
      </w:tblGrid>
      <w:tr w:rsidR="005B1EB6" w14:paraId="1EE0A94D" w14:textId="48D988E3" w:rsidTr="00EF1BC6">
        <w:trPr>
          <w:cnfStyle w:val="100000000000" w:firstRow="1" w:lastRow="0" w:firstColumn="0" w:lastColumn="0" w:oddVBand="0" w:evenVBand="0" w:oddHBand="0" w:evenHBand="0" w:firstRowFirstColumn="0" w:firstRowLastColumn="0" w:lastRowFirstColumn="0" w:lastRowLastColumn="0"/>
        </w:trPr>
        <w:tc>
          <w:tcPr>
            <w:tcW w:w="2977" w:type="dxa"/>
          </w:tcPr>
          <w:p w14:paraId="39811F77" w14:textId="77777777" w:rsidR="005B1EB6" w:rsidRDefault="005B1EB6" w:rsidP="00D33744">
            <w:pPr>
              <w:pStyle w:val="TableHeader"/>
            </w:pPr>
            <w:r>
              <w:t>Basin State</w:t>
            </w:r>
          </w:p>
        </w:tc>
        <w:tc>
          <w:tcPr>
            <w:tcW w:w="3441" w:type="dxa"/>
          </w:tcPr>
          <w:p w14:paraId="29A0F4EB" w14:textId="4A8D9C29" w:rsidR="005B1EB6" w:rsidRDefault="00A824A5" w:rsidP="00D33744">
            <w:pPr>
              <w:pStyle w:val="TableHeader"/>
            </w:pPr>
            <w:r w:rsidRPr="00A824A5">
              <w:rPr>
                <w:bCs/>
              </w:rPr>
              <w:t>Floodplain water take that is licensed by the regulator</w:t>
            </w:r>
          </w:p>
        </w:tc>
        <w:tc>
          <w:tcPr>
            <w:tcW w:w="3209" w:type="dxa"/>
          </w:tcPr>
          <w:p w14:paraId="5C6547E0" w14:textId="5EF3F919" w:rsidR="005B1EB6" w:rsidRPr="006E1581" w:rsidRDefault="00503969" w:rsidP="00D33744">
            <w:pPr>
              <w:pStyle w:val="TableHeader"/>
              <w:rPr>
                <w:bCs/>
              </w:rPr>
            </w:pPr>
            <w:r w:rsidRPr="00503969">
              <w:rPr>
                <w:bCs/>
              </w:rPr>
              <w:t>Total gigalitres of floodplain water take</w:t>
            </w:r>
          </w:p>
        </w:tc>
      </w:tr>
      <w:tr w:rsidR="00031B42" w14:paraId="553F256A" w14:textId="22A11F62" w:rsidTr="00EF1BC6">
        <w:tc>
          <w:tcPr>
            <w:tcW w:w="2977" w:type="dxa"/>
          </w:tcPr>
          <w:p w14:paraId="2BCB9EDA" w14:textId="1F31D991" w:rsidR="00031B42" w:rsidRDefault="00031B42" w:rsidP="00031B42">
            <w:pPr>
              <w:pStyle w:val="TableText"/>
            </w:pPr>
            <w:r>
              <w:t>NSW</w:t>
            </w:r>
          </w:p>
        </w:tc>
        <w:tc>
          <w:tcPr>
            <w:tcW w:w="3441" w:type="dxa"/>
          </w:tcPr>
          <w:p w14:paraId="3D99EDA8" w14:textId="68C661FD" w:rsidR="00031B42" w:rsidRDefault="00031B42" w:rsidP="00031B42">
            <w:pPr>
              <w:pStyle w:val="TableText"/>
            </w:pPr>
            <w:r>
              <w:t>No data available</w:t>
            </w:r>
          </w:p>
        </w:tc>
        <w:tc>
          <w:tcPr>
            <w:tcW w:w="3209" w:type="dxa"/>
          </w:tcPr>
          <w:p w14:paraId="1A3DC121" w14:textId="1DAA1FFF" w:rsidR="00031B42" w:rsidRDefault="00031B42" w:rsidP="00031B42">
            <w:pPr>
              <w:pStyle w:val="TableText"/>
            </w:pPr>
            <w:r>
              <w:t>No data available</w:t>
            </w:r>
          </w:p>
        </w:tc>
      </w:tr>
      <w:tr w:rsidR="00031B42" w14:paraId="7E2B4208" w14:textId="7C3A3330" w:rsidTr="00EF1BC6">
        <w:tc>
          <w:tcPr>
            <w:tcW w:w="2977" w:type="dxa"/>
          </w:tcPr>
          <w:p w14:paraId="728B361C" w14:textId="492AC3C5" w:rsidR="00031B42" w:rsidRDefault="00031B42" w:rsidP="00031B42">
            <w:pPr>
              <w:pStyle w:val="TableText"/>
            </w:pPr>
            <w:r>
              <w:t>Queensland</w:t>
            </w:r>
          </w:p>
        </w:tc>
        <w:tc>
          <w:tcPr>
            <w:tcW w:w="3441" w:type="dxa"/>
          </w:tcPr>
          <w:p w14:paraId="61A7D1DF" w14:textId="12CF6009" w:rsidR="00031B42" w:rsidRDefault="00031B42" w:rsidP="00031B42">
            <w:pPr>
              <w:pStyle w:val="TableText"/>
            </w:pPr>
            <w:r>
              <w:t>41%</w:t>
            </w:r>
          </w:p>
        </w:tc>
        <w:tc>
          <w:tcPr>
            <w:tcW w:w="3209" w:type="dxa"/>
          </w:tcPr>
          <w:p w14:paraId="5FCAA53B" w14:textId="38A3E3E8" w:rsidR="00031B42" w:rsidRDefault="00031B42" w:rsidP="00031B42">
            <w:pPr>
              <w:pStyle w:val="TableText"/>
            </w:pPr>
            <w:r>
              <w:t>608 GL</w:t>
            </w:r>
          </w:p>
        </w:tc>
      </w:tr>
    </w:tbl>
    <w:p w14:paraId="160D9AD8" w14:textId="77777777" w:rsidR="00D06256" w:rsidRDefault="00D06256" w:rsidP="00753944"/>
    <w:p w14:paraId="7984B4EE" w14:textId="45923BD1" w:rsidR="00753944" w:rsidRPr="00753944" w:rsidRDefault="00753944" w:rsidP="00753944">
      <w:r w:rsidRPr="00753944">
        <w:t>This measure is reported to understand the volume of floodplain harvesting (called overland flow in Qld) take and how progressed states are in licensing that volume.</w:t>
      </w:r>
    </w:p>
    <w:p w14:paraId="731E018C" w14:textId="77777777" w:rsidR="00753944" w:rsidRPr="00753944" w:rsidRDefault="00753944" w:rsidP="00753944">
      <w:r w:rsidRPr="00753944">
        <w:lastRenderedPageBreak/>
        <w:t>In the Qld portion of the Murray-Darling Basin, high risk overland flow take is subject to water licensing. The total volume of overland flow water taken in Qld is 608 GL, 41% of which is licensed by the regulator (Lower Balonne high priority overland flow take). Due to a licensing process underway in the Border Rivers and Moonie WRP area, the total licensable volume for overland flow is changing and will not be available until the process has been completed. Old is also developing an approach for measuring and accounting for the take of overland flow water.</w:t>
      </w:r>
    </w:p>
    <w:p w14:paraId="612E580F" w14:textId="77777777" w:rsidR="00753944" w:rsidRPr="00753944" w:rsidRDefault="00753944" w:rsidP="00753944">
      <w:r w:rsidRPr="00753944">
        <w:t>Full implementation of the NSW Floodplain Harvesting Policy including licensing and commencement of measurement was due in June 2021, however delays in implementing the legislative reform have meant that licensing and measurement of floodplain harvesting had not taken place in NSW as of 30 June 2022.</w:t>
      </w:r>
    </w:p>
    <w:p w14:paraId="49F52F8F" w14:textId="77777777" w:rsidR="00753944" w:rsidRPr="00753944" w:rsidRDefault="00753944" w:rsidP="00753944">
      <w:r w:rsidRPr="00753944">
        <w:t>Data owner/sources: State regulators</w:t>
      </w:r>
    </w:p>
    <w:p w14:paraId="1E382127" w14:textId="093A4B45" w:rsidR="0018557E" w:rsidRPr="00592481" w:rsidRDefault="0018557E" w:rsidP="0018557E">
      <w:pPr>
        <w:pStyle w:val="Heading2"/>
        <w:rPr>
          <w:w w:val="110"/>
          <w:sz w:val="24"/>
          <w:szCs w:val="16"/>
        </w:rPr>
      </w:pPr>
      <w:r w:rsidRPr="00A27456">
        <w:rPr>
          <w:sz w:val="24"/>
          <w:szCs w:val="16"/>
        </w:rPr>
        <w:t xml:space="preserve">Table </w:t>
      </w:r>
      <w:r w:rsidR="00B97AD1">
        <w:rPr>
          <w:sz w:val="24"/>
          <w:szCs w:val="16"/>
        </w:rPr>
        <w:t>5</w:t>
      </w:r>
      <w:r w:rsidRPr="00A27456">
        <w:rPr>
          <w:sz w:val="24"/>
          <w:szCs w:val="16"/>
        </w:rPr>
        <w:t xml:space="preserve">. </w:t>
      </w:r>
      <w:r w:rsidR="00B97AD1" w:rsidRPr="00B97AD1">
        <w:rPr>
          <w:w w:val="110"/>
          <w:sz w:val="24"/>
          <w:szCs w:val="16"/>
        </w:rPr>
        <w:t xml:space="preserve">Percentage of water take metered by </w:t>
      </w:r>
      <w:proofErr w:type="gramStart"/>
      <w:r w:rsidR="00B97AD1" w:rsidRPr="00B97AD1">
        <w:rPr>
          <w:w w:val="110"/>
          <w:sz w:val="24"/>
          <w:szCs w:val="16"/>
        </w:rPr>
        <w:t>state</w:t>
      </w:r>
      <w:proofErr w:type="gramEnd"/>
    </w:p>
    <w:tbl>
      <w:tblPr>
        <w:tblStyle w:val="TableGridLight"/>
        <w:tblW w:w="0" w:type="auto"/>
        <w:tblLook w:val="04A0" w:firstRow="1" w:lastRow="0" w:firstColumn="1" w:lastColumn="0" w:noHBand="0" w:noVBand="1"/>
      </w:tblPr>
      <w:tblGrid>
        <w:gridCol w:w="2198"/>
        <w:gridCol w:w="2190"/>
        <w:gridCol w:w="2164"/>
        <w:gridCol w:w="1543"/>
        <w:gridCol w:w="1543"/>
      </w:tblGrid>
      <w:tr w:rsidR="00A729B5" w14:paraId="1CF6668D" w14:textId="761F4083" w:rsidTr="00B97AD1">
        <w:trPr>
          <w:cnfStyle w:val="100000000000" w:firstRow="1" w:lastRow="0" w:firstColumn="0" w:lastColumn="0" w:oddVBand="0" w:evenVBand="0" w:oddHBand="0" w:evenHBand="0" w:firstRowFirstColumn="0" w:firstRowLastColumn="0" w:lastRowFirstColumn="0" w:lastRowLastColumn="0"/>
        </w:trPr>
        <w:tc>
          <w:tcPr>
            <w:tcW w:w="2198" w:type="dxa"/>
          </w:tcPr>
          <w:p w14:paraId="6A5CA317" w14:textId="77777777" w:rsidR="00A729B5" w:rsidRDefault="00A729B5" w:rsidP="00A729B5">
            <w:pPr>
              <w:pStyle w:val="TableHeader"/>
            </w:pPr>
            <w:r>
              <w:t>Basin State</w:t>
            </w:r>
          </w:p>
        </w:tc>
        <w:tc>
          <w:tcPr>
            <w:tcW w:w="2190" w:type="dxa"/>
          </w:tcPr>
          <w:p w14:paraId="7EE9A5F5" w14:textId="21FE8F86" w:rsidR="00A729B5" w:rsidRDefault="00A729B5" w:rsidP="00A729B5">
            <w:pPr>
              <w:pStyle w:val="TableHeader"/>
            </w:pPr>
            <w:r w:rsidRPr="006E1581">
              <w:rPr>
                <w:bCs/>
              </w:rPr>
              <w:t xml:space="preserve">Metered water </w:t>
            </w:r>
            <w:proofErr w:type="gramStart"/>
            <w:r w:rsidRPr="006E1581">
              <w:rPr>
                <w:bCs/>
              </w:rPr>
              <w:t>take</w:t>
            </w:r>
            <w:proofErr w:type="gramEnd"/>
          </w:p>
        </w:tc>
        <w:tc>
          <w:tcPr>
            <w:tcW w:w="2164" w:type="dxa"/>
          </w:tcPr>
          <w:p w14:paraId="6490AAD4" w14:textId="29EB07DA" w:rsidR="00A729B5" w:rsidRPr="006E1581" w:rsidRDefault="00A729B5" w:rsidP="00A729B5">
            <w:pPr>
              <w:pStyle w:val="TableHeader"/>
              <w:rPr>
                <w:bCs/>
              </w:rPr>
            </w:pPr>
            <w:r w:rsidRPr="006E1581">
              <w:rPr>
                <w:bCs/>
              </w:rPr>
              <w:t xml:space="preserve">Exempt water </w:t>
            </w:r>
            <w:proofErr w:type="gramStart"/>
            <w:r w:rsidRPr="006E1581">
              <w:rPr>
                <w:bCs/>
              </w:rPr>
              <w:t>take</w:t>
            </w:r>
            <w:proofErr w:type="gramEnd"/>
          </w:p>
        </w:tc>
        <w:tc>
          <w:tcPr>
            <w:tcW w:w="1543" w:type="dxa"/>
          </w:tcPr>
          <w:p w14:paraId="3ECC4572" w14:textId="3899107C" w:rsidR="00A729B5" w:rsidRPr="00503969" w:rsidRDefault="00A729B5" w:rsidP="00A729B5">
            <w:pPr>
              <w:pStyle w:val="TableHeader"/>
              <w:rPr>
                <w:bCs/>
              </w:rPr>
            </w:pPr>
            <w:r w:rsidRPr="006E1581">
              <w:rPr>
                <w:bCs/>
              </w:rPr>
              <w:t xml:space="preserve">Not yet metered water </w:t>
            </w:r>
            <w:proofErr w:type="gramStart"/>
            <w:r w:rsidRPr="006E1581">
              <w:rPr>
                <w:bCs/>
              </w:rPr>
              <w:t>take</w:t>
            </w:r>
            <w:proofErr w:type="gramEnd"/>
          </w:p>
        </w:tc>
        <w:tc>
          <w:tcPr>
            <w:tcW w:w="1543" w:type="dxa"/>
          </w:tcPr>
          <w:p w14:paraId="27FAC9F7" w14:textId="631A3A2A" w:rsidR="00A729B5" w:rsidRPr="00503969" w:rsidRDefault="00A729B5" w:rsidP="00A729B5">
            <w:pPr>
              <w:pStyle w:val="TableHeader"/>
              <w:rPr>
                <w:bCs/>
              </w:rPr>
            </w:pPr>
            <w:r w:rsidRPr="006E1581">
              <w:rPr>
                <w:bCs/>
              </w:rPr>
              <w:t>No data available</w:t>
            </w:r>
          </w:p>
        </w:tc>
      </w:tr>
      <w:tr w:rsidR="002A26E7" w14:paraId="6F116E88" w14:textId="124605FB" w:rsidTr="00B97AD1">
        <w:tc>
          <w:tcPr>
            <w:tcW w:w="2198" w:type="dxa"/>
          </w:tcPr>
          <w:p w14:paraId="33C8F967" w14:textId="14A12CDD" w:rsidR="002A26E7" w:rsidRDefault="002A26E7" w:rsidP="002A26E7">
            <w:pPr>
              <w:pStyle w:val="TableText"/>
            </w:pPr>
            <w:r>
              <w:t>ACT</w:t>
            </w:r>
          </w:p>
        </w:tc>
        <w:tc>
          <w:tcPr>
            <w:tcW w:w="2190" w:type="dxa"/>
          </w:tcPr>
          <w:p w14:paraId="4014B784" w14:textId="4D077610" w:rsidR="002A26E7" w:rsidRDefault="002A26E7" w:rsidP="002A26E7">
            <w:pPr>
              <w:pStyle w:val="TableText"/>
            </w:pPr>
            <w:r>
              <w:t>100%</w:t>
            </w:r>
          </w:p>
        </w:tc>
        <w:tc>
          <w:tcPr>
            <w:tcW w:w="2164" w:type="dxa"/>
          </w:tcPr>
          <w:p w14:paraId="75D10749" w14:textId="38F52D7F" w:rsidR="002A26E7" w:rsidRDefault="002A26E7" w:rsidP="002A26E7">
            <w:pPr>
              <w:pStyle w:val="TableText"/>
            </w:pPr>
            <w:r>
              <w:t>0%</w:t>
            </w:r>
          </w:p>
        </w:tc>
        <w:tc>
          <w:tcPr>
            <w:tcW w:w="1543" w:type="dxa"/>
          </w:tcPr>
          <w:p w14:paraId="77F9DAD7" w14:textId="30DF3E46" w:rsidR="002A26E7" w:rsidRDefault="002A26E7" w:rsidP="002A26E7">
            <w:pPr>
              <w:pStyle w:val="TableText"/>
            </w:pPr>
            <w:r>
              <w:t>0%</w:t>
            </w:r>
          </w:p>
        </w:tc>
        <w:tc>
          <w:tcPr>
            <w:tcW w:w="1543" w:type="dxa"/>
          </w:tcPr>
          <w:p w14:paraId="23601B4B" w14:textId="7F64D4CC" w:rsidR="002A26E7" w:rsidRDefault="002A26E7" w:rsidP="002A26E7">
            <w:pPr>
              <w:pStyle w:val="TableText"/>
            </w:pPr>
            <w:r>
              <w:t>0%</w:t>
            </w:r>
          </w:p>
        </w:tc>
      </w:tr>
      <w:tr w:rsidR="002A26E7" w14:paraId="5838970D" w14:textId="77777777" w:rsidTr="00B97AD1">
        <w:tc>
          <w:tcPr>
            <w:tcW w:w="2198" w:type="dxa"/>
          </w:tcPr>
          <w:p w14:paraId="43063FE4" w14:textId="5A44A05A" w:rsidR="002A26E7" w:rsidRDefault="002A26E7" w:rsidP="002A26E7">
            <w:pPr>
              <w:pStyle w:val="TableText"/>
            </w:pPr>
            <w:r>
              <w:t>NSW</w:t>
            </w:r>
          </w:p>
        </w:tc>
        <w:tc>
          <w:tcPr>
            <w:tcW w:w="2190" w:type="dxa"/>
          </w:tcPr>
          <w:p w14:paraId="61CDDB3A" w14:textId="15C87B7C" w:rsidR="002A26E7" w:rsidRDefault="002A26E7" w:rsidP="002A26E7">
            <w:pPr>
              <w:pStyle w:val="TableText"/>
            </w:pPr>
            <w:r>
              <w:t>81.8% (+3.4%)</w:t>
            </w:r>
          </w:p>
        </w:tc>
        <w:tc>
          <w:tcPr>
            <w:tcW w:w="2164" w:type="dxa"/>
          </w:tcPr>
          <w:p w14:paraId="31603243" w14:textId="4735EEE8" w:rsidR="002A26E7" w:rsidRDefault="002A26E7" w:rsidP="002A26E7">
            <w:pPr>
              <w:pStyle w:val="TableText"/>
            </w:pPr>
            <w:r>
              <w:t>4.3%</w:t>
            </w:r>
          </w:p>
        </w:tc>
        <w:tc>
          <w:tcPr>
            <w:tcW w:w="1543" w:type="dxa"/>
          </w:tcPr>
          <w:p w14:paraId="52750749" w14:textId="7B1B1039" w:rsidR="002A26E7" w:rsidRDefault="002A26E7" w:rsidP="002A26E7">
            <w:pPr>
              <w:pStyle w:val="TableText"/>
            </w:pPr>
            <w:r>
              <w:t>13.9%</w:t>
            </w:r>
          </w:p>
        </w:tc>
        <w:tc>
          <w:tcPr>
            <w:tcW w:w="1543" w:type="dxa"/>
          </w:tcPr>
          <w:p w14:paraId="6EA55847" w14:textId="584A41A8" w:rsidR="002A26E7" w:rsidRDefault="002A26E7" w:rsidP="002A26E7">
            <w:pPr>
              <w:pStyle w:val="TableText"/>
            </w:pPr>
            <w:r>
              <w:t>0%</w:t>
            </w:r>
          </w:p>
        </w:tc>
      </w:tr>
      <w:tr w:rsidR="002A26E7" w14:paraId="4645932E" w14:textId="77777777" w:rsidTr="00B97AD1">
        <w:tc>
          <w:tcPr>
            <w:tcW w:w="2198" w:type="dxa"/>
          </w:tcPr>
          <w:p w14:paraId="31C1B280" w14:textId="33C5BA0D" w:rsidR="002A26E7" w:rsidRDefault="002A26E7" w:rsidP="002A26E7">
            <w:pPr>
              <w:pStyle w:val="TableText"/>
            </w:pPr>
            <w:r>
              <w:t>Queensland</w:t>
            </w:r>
          </w:p>
        </w:tc>
        <w:tc>
          <w:tcPr>
            <w:tcW w:w="2190" w:type="dxa"/>
          </w:tcPr>
          <w:p w14:paraId="6EE9A9B8" w14:textId="437F4D67" w:rsidR="002A26E7" w:rsidRDefault="002A26E7" w:rsidP="002A26E7">
            <w:pPr>
              <w:pStyle w:val="TableText"/>
            </w:pPr>
            <w:r>
              <w:t>0%</w:t>
            </w:r>
          </w:p>
        </w:tc>
        <w:tc>
          <w:tcPr>
            <w:tcW w:w="2164" w:type="dxa"/>
          </w:tcPr>
          <w:p w14:paraId="1520F427" w14:textId="05C9499B" w:rsidR="002A26E7" w:rsidRDefault="002A26E7" w:rsidP="002A26E7">
            <w:pPr>
              <w:pStyle w:val="TableText"/>
            </w:pPr>
            <w:r>
              <w:t>0%</w:t>
            </w:r>
          </w:p>
        </w:tc>
        <w:tc>
          <w:tcPr>
            <w:tcW w:w="1543" w:type="dxa"/>
          </w:tcPr>
          <w:p w14:paraId="2C433CD5" w14:textId="161962FA" w:rsidR="002A26E7" w:rsidRDefault="002A26E7" w:rsidP="002A26E7">
            <w:pPr>
              <w:pStyle w:val="TableText"/>
            </w:pPr>
            <w:r>
              <w:t>0%</w:t>
            </w:r>
          </w:p>
        </w:tc>
        <w:tc>
          <w:tcPr>
            <w:tcW w:w="1543" w:type="dxa"/>
          </w:tcPr>
          <w:p w14:paraId="2A8187DB" w14:textId="66F6D5FA" w:rsidR="002A26E7" w:rsidRDefault="002A26E7" w:rsidP="002A26E7">
            <w:pPr>
              <w:pStyle w:val="TableText"/>
            </w:pPr>
            <w:r>
              <w:t>100%</w:t>
            </w:r>
          </w:p>
        </w:tc>
      </w:tr>
      <w:tr w:rsidR="002A26E7" w14:paraId="54D0F08E" w14:textId="77777777" w:rsidTr="00B97AD1">
        <w:tc>
          <w:tcPr>
            <w:tcW w:w="2198" w:type="dxa"/>
          </w:tcPr>
          <w:p w14:paraId="6B81AD61" w14:textId="267BCAC3" w:rsidR="002A26E7" w:rsidRDefault="002A26E7" w:rsidP="002A26E7">
            <w:pPr>
              <w:pStyle w:val="TableText"/>
            </w:pPr>
            <w:r>
              <w:t>SA</w:t>
            </w:r>
          </w:p>
        </w:tc>
        <w:tc>
          <w:tcPr>
            <w:tcW w:w="2190" w:type="dxa"/>
          </w:tcPr>
          <w:p w14:paraId="68E54478" w14:textId="761E66BD" w:rsidR="002A26E7" w:rsidRDefault="002A26E7" w:rsidP="002A26E7">
            <w:pPr>
              <w:pStyle w:val="TableText"/>
            </w:pPr>
            <w:r>
              <w:t>98%</w:t>
            </w:r>
          </w:p>
        </w:tc>
        <w:tc>
          <w:tcPr>
            <w:tcW w:w="2164" w:type="dxa"/>
          </w:tcPr>
          <w:p w14:paraId="3E808E87" w14:textId="075860F1" w:rsidR="002A26E7" w:rsidRDefault="002A26E7" w:rsidP="002A26E7">
            <w:pPr>
              <w:pStyle w:val="TableText"/>
            </w:pPr>
            <w:r>
              <w:t>2%</w:t>
            </w:r>
          </w:p>
        </w:tc>
        <w:tc>
          <w:tcPr>
            <w:tcW w:w="1543" w:type="dxa"/>
          </w:tcPr>
          <w:p w14:paraId="64E8B033" w14:textId="648BAFD3" w:rsidR="002A26E7" w:rsidRDefault="002A26E7" w:rsidP="002A26E7">
            <w:pPr>
              <w:pStyle w:val="TableText"/>
            </w:pPr>
            <w:r>
              <w:t>0%</w:t>
            </w:r>
          </w:p>
        </w:tc>
        <w:tc>
          <w:tcPr>
            <w:tcW w:w="1543" w:type="dxa"/>
          </w:tcPr>
          <w:p w14:paraId="4DBC8897" w14:textId="5DE52D48" w:rsidR="002A26E7" w:rsidRDefault="002A26E7" w:rsidP="002A26E7">
            <w:pPr>
              <w:pStyle w:val="TableText"/>
            </w:pPr>
            <w:r>
              <w:t>0%</w:t>
            </w:r>
          </w:p>
        </w:tc>
      </w:tr>
      <w:tr w:rsidR="002A26E7" w14:paraId="650068E2" w14:textId="334E4AAB" w:rsidTr="00B97AD1">
        <w:tc>
          <w:tcPr>
            <w:tcW w:w="2198" w:type="dxa"/>
          </w:tcPr>
          <w:p w14:paraId="0ACA50B8" w14:textId="7735257D" w:rsidR="002A26E7" w:rsidRDefault="002A26E7" w:rsidP="002A26E7">
            <w:pPr>
              <w:pStyle w:val="TableText"/>
            </w:pPr>
            <w:r>
              <w:t>Victoria</w:t>
            </w:r>
          </w:p>
        </w:tc>
        <w:tc>
          <w:tcPr>
            <w:tcW w:w="2190" w:type="dxa"/>
          </w:tcPr>
          <w:p w14:paraId="0E875952" w14:textId="1C0DCE0F" w:rsidR="002A26E7" w:rsidRDefault="002A26E7" w:rsidP="002A26E7">
            <w:pPr>
              <w:pStyle w:val="TableText"/>
            </w:pPr>
            <w:r>
              <w:t>98% (+2%)</w:t>
            </w:r>
          </w:p>
        </w:tc>
        <w:tc>
          <w:tcPr>
            <w:tcW w:w="2164" w:type="dxa"/>
          </w:tcPr>
          <w:p w14:paraId="797A5449" w14:textId="14D2771B" w:rsidR="002A26E7" w:rsidRDefault="002A26E7" w:rsidP="002A26E7">
            <w:pPr>
              <w:pStyle w:val="TableText"/>
            </w:pPr>
            <w:r>
              <w:t>0%</w:t>
            </w:r>
          </w:p>
        </w:tc>
        <w:tc>
          <w:tcPr>
            <w:tcW w:w="1543" w:type="dxa"/>
          </w:tcPr>
          <w:p w14:paraId="60A70CF3" w14:textId="692FF543" w:rsidR="002A26E7" w:rsidRDefault="002A26E7" w:rsidP="002A26E7">
            <w:pPr>
              <w:pStyle w:val="TableText"/>
            </w:pPr>
            <w:r>
              <w:t>0%</w:t>
            </w:r>
          </w:p>
        </w:tc>
        <w:tc>
          <w:tcPr>
            <w:tcW w:w="1543" w:type="dxa"/>
          </w:tcPr>
          <w:p w14:paraId="5D93464E" w14:textId="6FE0FCDB" w:rsidR="002A26E7" w:rsidRDefault="002A26E7" w:rsidP="002A26E7">
            <w:pPr>
              <w:pStyle w:val="TableText"/>
            </w:pPr>
            <w:r>
              <w:t>2%</w:t>
            </w:r>
          </w:p>
        </w:tc>
      </w:tr>
    </w:tbl>
    <w:p w14:paraId="64DAD68A" w14:textId="77777777" w:rsidR="002A26E7" w:rsidRDefault="002A26E7" w:rsidP="005B4FCC">
      <w:pPr>
        <w:spacing w:after="0"/>
      </w:pPr>
    </w:p>
    <w:p w14:paraId="73C8FC8A" w14:textId="77777777" w:rsidR="000339B0" w:rsidRDefault="000339B0" w:rsidP="000339B0">
      <w:pPr>
        <w:spacing w:after="0"/>
      </w:pPr>
      <w:r>
        <w:t xml:space="preserve">This measure is reported to highlight percentage of </w:t>
      </w:r>
      <w:proofErr w:type="spellStart"/>
      <w:r>
        <w:t>meterable</w:t>
      </w:r>
      <w:proofErr w:type="spellEnd"/>
      <w:r>
        <w:t xml:space="preserve"> water take across the Murray-Darling Basin by each State that is metered.</w:t>
      </w:r>
    </w:p>
    <w:p w14:paraId="008D3BEA" w14:textId="77777777" w:rsidR="000339B0" w:rsidRDefault="000339B0" w:rsidP="000339B0">
      <w:pPr>
        <w:spacing w:after="0"/>
      </w:pPr>
      <w:r>
        <w:t xml:space="preserve">Refer to individual State Report Cards for detailed explanation. </w:t>
      </w:r>
    </w:p>
    <w:p w14:paraId="5E6A7EDE" w14:textId="45402433" w:rsidR="000339B0" w:rsidRDefault="000339B0" w:rsidP="000339B0">
      <w:pPr>
        <w:spacing w:after="0"/>
      </w:pPr>
      <w:r>
        <w:t>Data owner/sources: State regulators</w:t>
      </w:r>
    </w:p>
    <w:p w14:paraId="10A72F01" w14:textId="77777777" w:rsidR="000339B0" w:rsidRDefault="000339B0" w:rsidP="000339B0">
      <w:pPr>
        <w:spacing w:after="0"/>
      </w:pPr>
    </w:p>
    <w:p w14:paraId="6CC7FDA7" w14:textId="77777777" w:rsidR="00115D90" w:rsidRDefault="00115D90">
      <w:pPr>
        <w:spacing w:after="0"/>
        <w:rPr>
          <w:b/>
          <w:color w:val="48555E" w:themeColor="text2"/>
          <w:sz w:val="24"/>
          <w:szCs w:val="16"/>
        </w:rPr>
      </w:pPr>
      <w:r>
        <w:rPr>
          <w:sz w:val="24"/>
          <w:szCs w:val="16"/>
        </w:rPr>
        <w:br w:type="page"/>
      </w:r>
    </w:p>
    <w:p w14:paraId="5EF30426" w14:textId="1E48E00C" w:rsidR="00857494" w:rsidRPr="001E51D7" w:rsidRDefault="00857494" w:rsidP="00857494">
      <w:pPr>
        <w:pStyle w:val="Heading2"/>
        <w:rPr>
          <w:bCs/>
          <w:w w:val="110"/>
          <w:sz w:val="24"/>
          <w:szCs w:val="16"/>
          <w:lang w:val="en-US"/>
        </w:rPr>
      </w:pPr>
      <w:r w:rsidRPr="00A27456">
        <w:rPr>
          <w:sz w:val="24"/>
          <w:szCs w:val="16"/>
        </w:rPr>
        <w:lastRenderedPageBreak/>
        <w:t xml:space="preserve">Table </w:t>
      </w:r>
      <w:r>
        <w:rPr>
          <w:sz w:val="24"/>
          <w:szCs w:val="16"/>
        </w:rPr>
        <w:t>6</w:t>
      </w:r>
      <w:r w:rsidRPr="00A27456">
        <w:rPr>
          <w:sz w:val="24"/>
          <w:szCs w:val="16"/>
        </w:rPr>
        <w:t xml:space="preserve">. </w:t>
      </w:r>
      <w:r w:rsidR="001E51D7" w:rsidRPr="001E51D7">
        <w:rPr>
          <w:bCs/>
          <w:w w:val="110"/>
          <w:sz w:val="24"/>
          <w:szCs w:val="16"/>
          <w:lang w:val="en-US"/>
        </w:rPr>
        <w:t>Telemetry Coverage</w:t>
      </w:r>
    </w:p>
    <w:tbl>
      <w:tblPr>
        <w:tblStyle w:val="TableGridLight"/>
        <w:tblW w:w="9639" w:type="dxa"/>
        <w:tblLook w:val="04A0" w:firstRow="1" w:lastRow="0" w:firstColumn="1" w:lastColumn="0" w:noHBand="0" w:noVBand="1"/>
      </w:tblPr>
      <w:tblGrid>
        <w:gridCol w:w="1701"/>
        <w:gridCol w:w="2687"/>
        <w:gridCol w:w="2842"/>
        <w:gridCol w:w="141"/>
        <w:gridCol w:w="2127"/>
        <w:gridCol w:w="141"/>
      </w:tblGrid>
      <w:tr w:rsidR="00D209F3" w14:paraId="7ADAE8FA" w14:textId="77777777" w:rsidTr="00552A30">
        <w:trPr>
          <w:cnfStyle w:val="100000000000" w:firstRow="1" w:lastRow="0" w:firstColumn="0" w:lastColumn="0" w:oddVBand="0" w:evenVBand="0" w:oddHBand="0" w:evenHBand="0" w:firstRowFirstColumn="0" w:firstRowLastColumn="0" w:lastRowFirstColumn="0" w:lastRowLastColumn="0"/>
        </w:trPr>
        <w:tc>
          <w:tcPr>
            <w:tcW w:w="1701" w:type="dxa"/>
          </w:tcPr>
          <w:p w14:paraId="2BF316A6" w14:textId="77777777" w:rsidR="00D209F3" w:rsidRDefault="00D209F3" w:rsidP="00D209F3">
            <w:pPr>
              <w:pStyle w:val="TableHeader"/>
            </w:pPr>
            <w:r>
              <w:t>Basin State</w:t>
            </w:r>
          </w:p>
        </w:tc>
        <w:tc>
          <w:tcPr>
            <w:tcW w:w="2687" w:type="dxa"/>
          </w:tcPr>
          <w:p w14:paraId="27B8A6E9" w14:textId="3F9567A4" w:rsidR="00D209F3" w:rsidRPr="00D209F3" w:rsidRDefault="00D209F3" w:rsidP="00D209F3">
            <w:pPr>
              <w:pStyle w:val="TableHeader"/>
            </w:pPr>
            <w:r w:rsidRPr="00D209F3">
              <w:rPr>
                <w:rFonts w:cstheme="minorHAnsi"/>
                <w:bCs/>
              </w:rPr>
              <w:t>Meter % with telemetry</w:t>
            </w:r>
            <w:r w:rsidRPr="00D209F3">
              <w:rPr>
                <w:rFonts w:cstheme="minorHAnsi"/>
                <w:bCs/>
                <w:spacing w:val="40"/>
              </w:rPr>
              <w:t xml:space="preserve"> </w:t>
            </w:r>
            <w:r w:rsidRPr="00D209F3">
              <w:rPr>
                <w:rFonts w:cstheme="minorHAnsi"/>
                <w:bCs/>
              </w:rPr>
              <w:t>connected to the regulator's</w:t>
            </w:r>
            <w:r w:rsidRPr="00D209F3">
              <w:rPr>
                <w:rFonts w:cstheme="minorHAnsi"/>
                <w:bCs/>
                <w:spacing w:val="40"/>
              </w:rPr>
              <w:t xml:space="preserve"> </w:t>
            </w:r>
            <w:r w:rsidRPr="00D209F3">
              <w:rPr>
                <w:rFonts w:cstheme="minorHAnsi"/>
                <w:bCs/>
              </w:rPr>
              <w:t>data</w:t>
            </w:r>
            <w:r w:rsidRPr="00D209F3">
              <w:rPr>
                <w:rFonts w:cstheme="minorHAnsi"/>
                <w:bCs/>
                <w:spacing w:val="-3"/>
              </w:rPr>
              <w:t xml:space="preserve"> </w:t>
            </w:r>
            <w:r w:rsidRPr="00D209F3">
              <w:rPr>
                <w:rFonts w:cstheme="minorHAnsi"/>
                <w:bCs/>
              </w:rPr>
              <w:t>collection system</w:t>
            </w:r>
          </w:p>
        </w:tc>
        <w:tc>
          <w:tcPr>
            <w:tcW w:w="2983" w:type="dxa"/>
            <w:gridSpan w:val="2"/>
          </w:tcPr>
          <w:p w14:paraId="71E812DB" w14:textId="151496E3" w:rsidR="00D209F3" w:rsidRPr="00D209F3" w:rsidRDefault="00D209F3" w:rsidP="00D209F3">
            <w:pPr>
              <w:pStyle w:val="TableHeader"/>
              <w:rPr>
                <w:bCs/>
              </w:rPr>
            </w:pPr>
            <w:r w:rsidRPr="00D209F3">
              <w:rPr>
                <w:rFonts w:cstheme="minorHAnsi"/>
                <w:bCs/>
                <w:w w:val="105"/>
              </w:rPr>
              <w:t>Meter %</w:t>
            </w:r>
            <w:r w:rsidRPr="00D209F3">
              <w:rPr>
                <w:rFonts w:cstheme="minorHAnsi"/>
                <w:bCs/>
                <w:spacing w:val="-1"/>
                <w:w w:val="105"/>
              </w:rPr>
              <w:t xml:space="preserve"> </w:t>
            </w:r>
            <w:r w:rsidRPr="00D209F3">
              <w:rPr>
                <w:rFonts w:cstheme="minorHAnsi"/>
                <w:bCs/>
                <w:w w:val="105"/>
              </w:rPr>
              <w:t>required to have telemetry</w:t>
            </w:r>
            <w:r w:rsidRPr="00D209F3">
              <w:rPr>
                <w:rFonts w:cstheme="minorHAnsi"/>
                <w:bCs/>
                <w:spacing w:val="40"/>
                <w:w w:val="105"/>
              </w:rPr>
              <w:t xml:space="preserve"> </w:t>
            </w:r>
            <w:r w:rsidRPr="00D209F3">
              <w:rPr>
                <w:rFonts w:cstheme="minorHAnsi"/>
                <w:bCs/>
                <w:w w:val="105"/>
              </w:rPr>
              <w:t>connected to the regulator's data collection</w:t>
            </w:r>
            <w:r w:rsidRPr="00D209F3">
              <w:rPr>
                <w:rFonts w:cstheme="minorHAnsi"/>
                <w:bCs/>
                <w:spacing w:val="40"/>
                <w:w w:val="105"/>
              </w:rPr>
              <w:t xml:space="preserve"> </w:t>
            </w:r>
            <w:r w:rsidRPr="00D209F3">
              <w:rPr>
                <w:rFonts w:cstheme="minorHAnsi"/>
                <w:bCs/>
                <w:w w:val="105"/>
              </w:rPr>
              <w:t>system,</w:t>
            </w:r>
            <w:r w:rsidRPr="00D209F3">
              <w:rPr>
                <w:rFonts w:cstheme="minorHAnsi"/>
                <w:bCs/>
                <w:spacing w:val="-6"/>
                <w:w w:val="105"/>
              </w:rPr>
              <w:t xml:space="preserve"> </w:t>
            </w:r>
            <w:r w:rsidRPr="00D209F3">
              <w:rPr>
                <w:rFonts w:cstheme="minorHAnsi"/>
                <w:bCs/>
                <w:w w:val="105"/>
              </w:rPr>
              <w:t>but</w:t>
            </w:r>
            <w:r w:rsidRPr="00D209F3">
              <w:rPr>
                <w:rFonts w:cstheme="minorHAnsi"/>
                <w:bCs/>
                <w:spacing w:val="40"/>
                <w:w w:val="105"/>
              </w:rPr>
              <w:t xml:space="preserve"> </w:t>
            </w:r>
            <w:r w:rsidRPr="00D209F3">
              <w:rPr>
                <w:rFonts w:cstheme="minorHAnsi"/>
                <w:bCs/>
                <w:w w:val="105"/>
              </w:rPr>
              <w:t>which are not connected</w:t>
            </w:r>
          </w:p>
        </w:tc>
        <w:tc>
          <w:tcPr>
            <w:tcW w:w="2268" w:type="dxa"/>
            <w:gridSpan w:val="2"/>
          </w:tcPr>
          <w:p w14:paraId="33E4914E" w14:textId="77777777" w:rsidR="00675253" w:rsidRPr="00D209F3" w:rsidRDefault="00675253" w:rsidP="00675253">
            <w:pPr>
              <w:rPr>
                <w:rFonts w:cstheme="minorHAnsi"/>
                <w:b/>
                <w:bCs/>
                <w:color w:val="FFFFFF"/>
              </w:rPr>
            </w:pPr>
            <w:r w:rsidRPr="00D209F3">
              <w:rPr>
                <w:rFonts w:cstheme="minorHAnsi"/>
                <w:b/>
                <w:bCs/>
                <w:color w:val="FFFFFF"/>
                <w:spacing w:val="-2"/>
                <w:w w:val="110"/>
              </w:rPr>
              <w:t>Meter % with</w:t>
            </w:r>
            <w:r w:rsidRPr="00D209F3">
              <w:rPr>
                <w:rFonts w:cstheme="minorHAnsi"/>
                <w:b/>
                <w:bCs/>
                <w:color w:val="FFFFFF"/>
                <w:spacing w:val="40"/>
                <w:w w:val="110"/>
              </w:rPr>
              <w:t xml:space="preserve"> </w:t>
            </w:r>
            <w:r w:rsidRPr="00D209F3">
              <w:rPr>
                <w:rFonts w:cstheme="minorHAnsi"/>
                <w:b/>
                <w:bCs/>
                <w:color w:val="FFFFFF"/>
                <w:w w:val="110"/>
              </w:rPr>
              <w:t>telemetry</w:t>
            </w:r>
            <w:r w:rsidRPr="00D209F3">
              <w:rPr>
                <w:rFonts w:cstheme="minorHAnsi"/>
                <w:b/>
                <w:bCs/>
                <w:color w:val="FFFFFF"/>
                <w:spacing w:val="-10"/>
                <w:w w:val="110"/>
              </w:rPr>
              <w:t xml:space="preserve"> </w:t>
            </w:r>
            <w:r w:rsidRPr="00D209F3">
              <w:rPr>
                <w:rFonts w:cstheme="minorHAnsi"/>
                <w:b/>
                <w:bCs/>
                <w:color w:val="FFFFFF"/>
                <w:w w:val="110"/>
              </w:rPr>
              <w:t>not</w:t>
            </w:r>
            <w:r w:rsidRPr="00D209F3">
              <w:rPr>
                <w:rFonts w:cstheme="minorHAnsi"/>
                <w:b/>
                <w:bCs/>
                <w:color w:val="FFFFFF"/>
                <w:spacing w:val="40"/>
                <w:w w:val="110"/>
              </w:rPr>
              <w:t xml:space="preserve"> </w:t>
            </w:r>
            <w:proofErr w:type="gramStart"/>
            <w:r w:rsidRPr="00D209F3">
              <w:rPr>
                <w:rFonts w:cstheme="minorHAnsi"/>
                <w:b/>
                <w:bCs/>
                <w:color w:val="FFFFFF"/>
                <w:spacing w:val="-2"/>
                <w:w w:val="110"/>
              </w:rPr>
              <w:t>required</w:t>
            </w:r>
            <w:proofErr w:type="gramEnd"/>
          </w:p>
          <w:p w14:paraId="6F285012" w14:textId="51ED3C9C" w:rsidR="00D209F3" w:rsidRPr="00D209F3" w:rsidRDefault="00D209F3" w:rsidP="00675253">
            <w:pPr>
              <w:rPr>
                <w:bCs/>
                <w:color w:val="FFFFFF"/>
              </w:rPr>
            </w:pPr>
          </w:p>
        </w:tc>
      </w:tr>
      <w:tr w:rsidR="00E5690A" w14:paraId="243380F4" w14:textId="77777777" w:rsidTr="00552A30">
        <w:trPr>
          <w:gridAfter w:val="1"/>
          <w:wAfter w:w="141" w:type="dxa"/>
        </w:trPr>
        <w:tc>
          <w:tcPr>
            <w:tcW w:w="1701" w:type="dxa"/>
          </w:tcPr>
          <w:p w14:paraId="3B28C89D" w14:textId="77777777" w:rsidR="00E5690A" w:rsidRDefault="00E5690A" w:rsidP="00E5690A">
            <w:pPr>
              <w:pStyle w:val="TableText"/>
            </w:pPr>
            <w:r>
              <w:t>ACT</w:t>
            </w:r>
          </w:p>
        </w:tc>
        <w:tc>
          <w:tcPr>
            <w:tcW w:w="2687" w:type="dxa"/>
          </w:tcPr>
          <w:p w14:paraId="26A50A60" w14:textId="7EE073C6" w:rsidR="00E5690A" w:rsidRDefault="00E5690A" w:rsidP="00E5690A">
            <w:pPr>
              <w:pStyle w:val="TableText"/>
            </w:pPr>
            <w:r>
              <w:rPr>
                <w:rFonts w:cstheme="minorHAnsi"/>
              </w:rPr>
              <w:t>0%</w:t>
            </w:r>
          </w:p>
        </w:tc>
        <w:tc>
          <w:tcPr>
            <w:tcW w:w="2842" w:type="dxa"/>
          </w:tcPr>
          <w:p w14:paraId="248BC876" w14:textId="717A973B" w:rsidR="00E5690A" w:rsidRDefault="00E5690A" w:rsidP="00E5690A">
            <w:pPr>
              <w:pStyle w:val="TableText"/>
            </w:pPr>
            <w:r>
              <w:rPr>
                <w:rFonts w:cstheme="minorHAnsi"/>
              </w:rPr>
              <w:t>0%</w:t>
            </w:r>
          </w:p>
        </w:tc>
        <w:tc>
          <w:tcPr>
            <w:tcW w:w="2268" w:type="dxa"/>
            <w:gridSpan w:val="2"/>
          </w:tcPr>
          <w:p w14:paraId="21962A90" w14:textId="71EB1DDB" w:rsidR="00E5690A" w:rsidRDefault="00E5690A" w:rsidP="00E5690A">
            <w:pPr>
              <w:pStyle w:val="TableText"/>
            </w:pPr>
            <w:r>
              <w:rPr>
                <w:rFonts w:cstheme="minorHAnsi"/>
              </w:rPr>
              <w:t>100%</w:t>
            </w:r>
          </w:p>
        </w:tc>
      </w:tr>
      <w:tr w:rsidR="00E5690A" w14:paraId="52C382D5" w14:textId="77777777" w:rsidTr="00552A30">
        <w:trPr>
          <w:gridAfter w:val="1"/>
          <w:wAfter w:w="141" w:type="dxa"/>
        </w:trPr>
        <w:tc>
          <w:tcPr>
            <w:tcW w:w="1701" w:type="dxa"/>
          </w:tcPr>
          <w:p w14:paraId="66E6E682" w14:textId="77777777" w:rsidR="00E5690A" w:rsidRDefault="00E5690A" w:rsidP="00E5690A">
            <w:pPr>
              <w:pStyle w:val="TableText"/>
            </w:pPr>
            <w:r>
              <w:t>NSW</w:t>
            </w:r>
          </w:p>
        </w:tc>
        <w:tc>
          <w:tcPr>
            <w:tcW w:w="2687" w:type="dxa"/>
          </w:tcPr>
          <w:p w14:paraId="4325E936" w14:textId="6ECF7411" w:rsidR="00E5690A" w:rsidRDefault="00E5690A" w:rsidP="00E5690A">
            <w:pPr>
              <w:pStyle w:val="TableText"/>
            </w:pPr>
            <w:r>
              <w:rPr>
                <w:rFonts w:cstheme="minorHAnsi"/>
              </w:rPr>
              <w:t>6.8% (+6%)</w:t>
            </w:r>
          </w:p>
        </w:tc>
        <w:tc>
          <w:tcPr>
            <w:tcW w:w="2842" w:type="dxa"/>
          </w:tcPr>
          <w:p w14:paraId="20708A3F" w14:textId="72E178A3" w:rsidR="00E5690A" w:rsidRDefault="00E5690A" w:rsidP="00E5690A">
            <w:pPr>
              <w:pStyle w:val="TableText"/>
            </w:pPr>
            <w:r>
              <w:rPr>
                <w:rFonts w:cstheme="minorHAnsi"/>
              </w:rPr>
              <w:t>18.2%</w:t>
            </w:r>
          </w:p>
        </w:tc>
        <w:tc>
          <w:tcPr>
            <w:tcW w:w="2268" w:type="dxa"/>
            <w:gridSpan w:val="2"/>
          </w:tcPr>
          <w:p w14:paraId="18744D42" w14:textId="34636423" w:rsidR="00E5690A" w:rsidRDefault="00E5690A" w:rsidP="00E5690A">
            <w:pPr>
              <w:pStyle w:val="TableText"/>
            </w:pPr>
            <w:r>
              <w:rPr>
                <w:rFonts w:cstheme="minorHAnsi"/>
              </w:rPr>
              <w:t>75%</w:t>
            </w:r>
          </w:p>
        </w:tc>
      </w:tr>
      <w:tr w:rsidR="00E5690A" w14:paraId="41CDE63F" w14:textId="77777777" w:rsidTr="00552A30">
        <w:trPr>
          <w:gridAfter w:val="1"/>
          <w:wAfter w:w="141" w:type="dxa"/>
        </w:trPr>
        <w:tc>
          <w:tcPr>
            <w:tcW w:w="1701" w:type="dxa"/>
          </w:tcPr>
          <w:p w14:paraId="317F1613" w14:textId="77777777" w:rsidR="00E5690A" w:rsidRDefault="00E5690A" w:rsidP="00E5690A">
            <w:pPr>
              <w:pStyle w:val="TableText"/>
            </w:pPr>
            <w:r>
              <w:t>Queensland</w:t>
            </w:r>
          </w:p>
        </w:tc>
        <w:tc>
          <w:tcPr>
            <w:tcW w:w="2687" w:type="dxa"/>
          </w:tcPr>
          <w:p w14:paraId="737E9192" w14:textId="3D258C26" w:rsidR="00E5690A" w:rsidRDefault="00E5690A" w:rsidP="00E5690A">
            <w:pPr>
              <w:pStyle w:val="TableText"/>
            </w:pPr>
            <w:r>
              <w:rPr>
                <w:rFonts w:cstheme="minorHAnsi"/>
              </w:rPr>
              <w:t>0%</w:t>
            </w:r>
          </w:p>
        </w:tc>
        <w:tc>
          <w:tcPr>
            <w:tcW w:w="2842" w:type="dxa"/>
          </w:tcPr>
          <w:p w14:paraId="59A3707E" w14:textId="605DD67B" w:rsidR="00E5690A" w:rsidRDefault="00E5690A" w:rsidP="00E5690A">
            <w:pPr>
              <w:pStyle w:val="TableText"/>
            </w:pPr>
            <w:r>
              <w:rPr>
                <w:rFonts w:cstheme="minorHAnsi"/>
              </w:rPr>
              <w:t>0%</w:t>
            </w:r>
          </w:p>
        </w:tc>
        <w:tc>
          <w:tcPr>
            <w:tcW w:w="2268" w:type="dxa"/>
            <w:gridSpan w:val="2"/>
          </w:tcPr>
          <w:p w14:paraId="6E1F85AF" w14:textId="39E97A07" w:rsidR="00E5690A" w:rsidRDefault="00E5690A" w:rsidP="00E5690A">
            <w:pPr>
              <w:pStyle w:val="TableText"/>
            </w:pPr>
            <w:r>
              <w:rPr>
                <w:rFonts w:cstheme="minorHAnsi"/>
              </w:rPr>
              <w:t>100%</w:t>
            </w:r>
          </w:p>
        </w:tc>
      </w:tr>
      <w:tr w:rsidR="00E5690A" w14:paraId="33A0CC1E" w14:textId="77777777" w:rsidTr="00552A30">
        <w:trPr>
          <w:gridAfter w:val="1"/>
          <w:wAfter w:w="141" w:type="dxa"/>
        </w:trPr>
        <w:tc>
          <w:tcPr>
            <w:tcW w:w="1701" w:type="dxa"/>
          </w:tcPr>
          <w:p w14:paraId="1306C3F9" w14:textId="77777777" w:rsidR="00E5690A" w:rsidRDefault="00E5690A" w:rsidP="00E5690A">
            <w:pPr>
              <w:pStyle w:val="TableText"/>
            </w:pPr>
            <w:r>
              <w:t>SA</w:t>
            </w:r>
          </w:p>
        </w:tc>
        <w:tc>
          <w:tcPr>
            <w:tcW w:w="2687" w:type="dxa"/>
          </w:tcPr>
          <w:p w14:paraId="0598ED12" w14:textId="5A0B57AA" w:rsidR="00E5690A" w:rsidRDefault="00E5690A" w:rsidP="00E5690A">
            <w:pPr>
              <w:pStyle w:val="TableText"/>
            </w:pPr>
            <w:r>
              <w:rPr>
                <w:rFonts w:cstheme="minorHAnsi"/>
              </w:rPr>
              <w:t>0%</w:t>
            </w:r>
          </w:p>
        </w:tc>
        <w:tc>
          <w:tcPr>
            <w:tcW w:w="2842" w:type="dxa"/>
          </w:tcPr>
          <w:p w14:paraId="56CB7533" w14:textId="24DA45DE" w:rsidR="00E5690A" w:rsidRDefault="00E5690A" w:rsidP="00E5690A">
            <w:pPr>
              <w:pStyle w:val="TableText"/>
            </w:pPr>
            <w:r>
              <w:rPr>
                <w:rFonts w:cstheme="minorHAnsi"/>
              </w:rPr>
              <w:t>0.3%</w:t>
            </w:r>
          </w:p>
        </w:tc>
        <w:tc>
          <w:tcPr>
            <w:tcW w:w="2268" w:type="dxa"/>
            <w:gridSpan w:val="2"/>
          </w:tcPr>
          <w:p w14:paraId="565BFF11" w14:textId="5E13C31A" w:rsidR="00E5690A" w:rsidRDefault="00E5690A" w:rsidP="00E5690A">
            <w:pPr>
              <w:pStyle w:val="TableText"/>
            </w:pPr>
            <w:r>
              <w:rPr>
                <w:rFonts w:cstheme="minorHAnsi"/>
              </w:rPr>
              <w:t>99.7%</w:t>
            </w:r>
          </w:p>
        </w:tc>
      </w:tr>
      <w:tr w:rsidR="00E5690A" w14:paraId="0224EB23" w14:textId="77777777" w:rsidTr="00552A30">
        <w:trPr>
          <w:gridAfter w:val="1"/>
          <w:wAfter w:w="141" w:type="dxa"/>
        </w:trPr>
        <w:tc>
          <w:tcPr>
            <w:tcW w:w="1701" w:type="dxa"/>
          </w:tcPr>
          <w:p w14:paraId="3AC367A0" w14:textId="77777777" w:rsidR="00E5690A" w:rsidRDefault="00E5690A" w:rsidP="00E5690A">
            <w:pPr>
              <w:pStyle w:val="TableText"/>
            </w:pPr>
            <w:r>
              <w:t>Victoria</w:t>
            </w:r>
          </w:p>
        </w:tc>
        <w:tc>
          <w:tcPr>
            <w:tcW w:w="2687" w:type="dxa"/>
          </w:tcPr>
          <w:p w14:paraId="756B3EF6" w14:textId="615DB985" w:rsidR="00E5690A" w:rsidRDefault="00E5690A" w:rsidP="00E5690A">
            <w:pPr>
              <w:pStyle w:val="TableText"/>
            </w:pPr>
            <w:r>
              <w:rPr>
                <w:rFonts w:cstheme="minorHAnsi"/>
              </w:rPr>
              <w:t>61% (+16%)</w:t>
            </w:r>
          </w:p>
        </w:tc>
        <w:tc>
          <w:tcPr>
            <w:tcW w:w="2842" w:type="dxa"/>
          </w:tcPr>
          <w:p w14:paraId="2E5B5B67" w14:textId="03D5DFA8" w:rsidR="00E5690A" w:rsidRDefault="00E5690A" w:rsidP="00E5690A">
            <w:pPr>
              <w:pStyle w:val="TableText"/>
            </w:pPr>
            <w:r>
              <w:rPr>
                <w:rFonts w:cstheme="minorHAnsi"/>
              </w:rPr>
              <w:t>0%</w:t>
            </w:r>
          </w:p>
        </w:tc>
        <w:tc>
          <w:tcPr>
            <w:tcW w:w="2268" w:type="dxa"/>
            <w:gridSpan w:val="2"/>
          </w:tcPr>
          <w:p w14:paraId="01CE57F6" w14:textId="61C2D79C" w:rsidR="00E5690A" w:rsidRDefault="00E5690A" w:rsidP="00E5690A">
            <w:pPr>
              <w:pStyle w:val="TableText"/>
            </w:pPr>
            <w:r>
              <w:rPr>
                <w:rFonts w:cstheme="minorHAnsi"/>
              </w:rPr>
              <w:t>39%</w:t>
            </w:r>
          </w:p>
        </w:tc>
      </w:tr>
    </w:tbl>
    <w:p w14:paraId="78659934" w14:textId="77777777" w:rsidR="00D96F35" w:rsidRPr="00D96F35" w:rsidRDefault="00D96F35" w:rsidP="00D96F35">
      <w:r w:rsidRPr="00D96F35">
        <w:t>This measure is reported to identify the percentage of meters with telemetry connected to the regulator's data system across the Murray-Darling Basin.</w:t>
      </w:r>
    </w:p>
    <w:p w14:paraId="1D3F5AF4" w14:textId="6CB35AB2" w:rsidR="00D96F35" w:rsidRDefault="00D96F35" w:rsidP="00D96F35">
      <w:r w:rsidRPr="00D96F35">
        <w:t>Refer to individual State Report Cards for detailed explanation. Data owner/sources: State regulators</w:t>
      </w:r>
    </w:p>
    <w:p w14:paraId="5A9C60BD" w14:textId="77777777" w:rsidR="00D96F35" w:rsidRDefault="00D96F35" w:rsidP="00D96F35"/>
    <w:p w14:paraId="04ED1EB5" w14:textId="08A0D606" w:rsidR="00D96F35" w:rsidRPr="00106D8E" w:rsidRDefault="004A13B1" w:rsidP="00106D8E">
      <w:pPr>
        <w:keepNext/>
        <w:spacing w:before="360" w:after="240"/>
        <w:outlineLvl w:val="1"/>
        <w:rPr>
          <w:b/>
          <w:color w:val="48555E" w:themeColor="text2"/>
          <w:w w:val="110"/>
          <w:sz w:val="24"/>
          <w:szCs w:val="16"/>
        </w:rPr>
      </w:pPr>
      <w:r>
        <w:rPr>
          <w:b/>
          <w:color w:val="48555E" w:themeColor="text2"/>
          <w:sz w:val="24"/>
          <w:szCs w:val="16"/>
        </w:rPr>
        <w:t>T</w:t>
      </w:r>
      <w:r w:rsidR="00106D8E" w:rsidRPr="00106D8E">
        <w:rPr>
          <w:b/>
          <w:color w:val="48555E" w:themeColor="text2"/>
          <w:sz w:val="24"/>
          <w:szCs w:val="16"/>
        </w:rPr>
        <w:t xml:space="preserve">able </w:t>
      </w:r>
      <w:r w:rsidR="00106D8E">
        <w:rPr>
          <w:b/>
          <w:color w:val="48555E" w:themeColor="text2"/>
          <w:sz w:val="24"/>
          <w:szCs w:val="16"/>
        </w:rPr>
        <w:t>7</w:t>
      </w:r>
      <w:r w:rsidR="00106D8E" w:rsidRPr="00106D8E">
        <w:rPr>
          <w:b/>
          <w:color w:val="48555E" w:themeColor="text2"/>
          <w:sz w:val="24"/>
          <w:szCs w:val="16"/>
        </w:rPr>
        <w:t xml:space="preserve">. </w:t>
      </w:r>
      <w:r w:rsidR="0049020C" w:rsidRPr="0049020C">
        <w:rPr>
          <w:b/>
          <w:color w:val="48555E" w:themeColor="text2"/>
          <w:w w:val="110"/>
          <w:sz w:val="24"/>
          <w:szCs w:val="16"/>
        </w:rPr>
        <w:t>Metering accuracy by state</w:t>
      </w:r>
    </w:p>
    <w:tbl>
      <w:tblPr>
        <w:tblStyle w:val="TableGridLight"/>
        <w:tblW w:w="0" w:type="auto"/>
        <w:tblLook w:val="04A0" w:firstRow="1" w:lastRow="0" w:firstColumn="1" w:lastColumn="0" w:noHBand="0" w:noVBand="1"/>
      </w:tblPr>
      <w:tblGrid>
        <w:gridCol w:w="2198"/>
        <w:gridCol w:w="2190"/>
        <w:gridCol w:w="2164"/>
        <w:gridCol w:w="1543"/>
        <w:gridCol w:w="1543"/>
      </w:tblGrid>
      <w:tr w:rsidR="0079319A" w:rsidRPr="00106D8E" w14:paraId="294699BB" w14:textId="77777777" w:rsidTr="00D33744">
        <w:trPr>
          <w:cnfStyle w:val="100000000000" w:firstRow="1" w:lastRow="0" w:firstColumn="0" w:lastColumn="0" w:oddVBand="0" w:evenVBand="0" w:oddHBand="0" w:evenHBand="0" w:firstRowFirstColumn="0" w:firstRowLastColumn="0" w:lastRowFirstColumn="0" w:lastRowLastColumn="0"/>
        </w:trPr>
        <w:tc>
          <w:tcPr>
            <w:tcW w:w="2198" w:type="dxa"/>
          </w:tcPr>
          <w:p w14:paraId="7A7609A7" w14:textId="26F2C177" w:rsidR="0079319A" w:rsidRPr="00106D8E" w:rsidRDefault="0079319A" w:rsidP="0079319A">
            <w:pPr>
              <w:spacing w:before="120" w:after="120"/>
              <w:rPr>
                <w:b/>
                <w:color w:val="FFFFFF"/>
              </w:rPr>
            </w:pPr>
            <w:r w:rsidRPr="0079319A">
              <w:rPr>
                <w:rFonts w:cstheme="minorHAnsi"/>
                <w:b/>
                <w:bCs/>
                <w:color w:val="FFFFFF"/>
              </w:rPr>
              <w:t>Basin State</w:t>
            </w:r>
          </w:p>
        </w:tc>
        <w:tc>
          <w:tcPr>
            <w:tcW w:w="2190" w:type="dxa"/>
          </w:tcPr>
          <w:p w14:paraId="1D5D4248" w14:textId="4D5FD611" w:rsidR="0079319A" w:rsidRPr="00106D8E" w:rsidRDefault="0079319A" w:rsidP="0079319A">
            <w:pPr>
              <w:spacing w:before="120" w:after="120"/>
              <w:rPr>
                <w:b/>
                <w:color w:val="FFFFFF"/>
              </w:rPr>
            </w:pPr>
            <w:r w:rsidRPr="0079319A">
              <w:rPr>
                <w:rFonts w:cstheme="minorHAnsi"/>
                <w:b/>
                <w:bCs/>
                <w:color w:val="FFFFFF"/>
              </w:rPr>
              <w:t>AS4747 meters</w:t>
            </w:r>
          </w:p>
        </w:tc>
        <w:tc>
          <w:tcPr>
            <w:tcW w:w="2164" w:type="dxa"/>
          </w:tcPr>
          <w:p w14:paraId="1DC48C51" w14:textId="64D855AF" w:rsidR="0079319A" w:rsidRPr="00106D8E" w:rsidRDefault="0079319A" w:rsidP="0079319A">
            <w:pPr>
              <w:spacing w:before="120" w:after="120"/>
              <w:rPr>
                <w:b/>
                <w:bCs/>
                <w:color w:val="FFFFFF"/>
              </w:rPr>
            </w:pPr>
            <w:r w:rsidRPr="0079319A">
              <w:rPr>
                <w:rFonts w:cstheme="minorHAnsi"/>
                <w:b/>
                <w:bCs/>
                <w:color w:val="FFFFFF"/>
              </w:rPr>
              <w:t>Grandfathered meters</w:t>
            </w:r>
          </w:p>
        </w:tc>
        <w:tc>
          <w:tcPr>
            <w:tcW w:w="1543" w:type="dxa"/>
          </w:tcPr>
          <w:p w14:paraId="1847AFD5" w14:textId="1596CE5B" w:rsidR="0079319A" w:rsidRPr="00106D8E" w:rsidRDefault="0079319A" w:rsidP="0079319A">
            <w:pPr>
              <w:spacing w:before="120" w:after="120"/>
              <w:rPr>
                <w:b/>
                <w:bCs/>
                <w:color w:val="FFFFFF"/>
              </w:rPr>
            </w:pPr>
            <w:r w:rsidRPr="0079319A">
              <w:rPr>
                <w:rFonts w:cstheme="minorHAnsi"/>
                <w:b/>
                <w:bCs/>
                <w:color w:val="FFFFFF"/>
              </w:rPr>
              <w:t>All other meters</w:t>
            </w:r>
          </w:p>
        </w:tc>
        <w:tc>
          <w:tcPr>
            <w:tcW w:w="1543" w:type="dxa"/>
          </w:tcPr>
          <w:p w14:paraId="11313EE5" w14:textId="56F1A114" w:rsidR="0079319A" w:rsidRPr="00106D8E" w:rsidRDefault="0079319A" w:rsidP="0079319A">
            <w:pPr>
              <w:spacing w:before="120" w:after="120"/>
              <w:rPr>
                <w:b/>
                <w:bCs/>
                <w:color w:val="FFFFFF"/>
              </w:rPr>
            </w:pPr>
            <w:r w:rsidRPr="0079319A">
              <w:rPr>
                <w:rFonts w:cstheme="minorHAnsi"/>
                <w:b/>
                <w:bCs/>
                <w:color w:val="FFFFFF"/>
              </w:rPr>
              <w:t>Number of meters</w:t>
            </w:r>
          </w:p>
        </w:tc>
      </w:tr>
      <w:tr w:rsidR="00FE3228" w:rsidRPr="00106D8E" w14:paraId="768361FD" w14:textId="77777777" w:rsidTr="00D33744">
        <w:tc>
          <w:tcPr>
            <w:tcW w:w="2198" w:type="dxa"/>
          </w:tcPr>
          <w:p w14:paraId="148459CD" w14:textId="3EDF6CA4" w:rsidR="00FE3228" w:rsidRPr="00106D8E" w:rsidRDefault="00FE3228" w:rsidP="00FE3228">
            <w:pPr>
              <w:spacing w:before="120" w:after="120"/>
            </w:pPr>
            <w:r w:rsidRPr="00A75B1C">
              <w:rPr>
                <w:rFonts w:cstheme="minorHAnsi"/>
              </w:rPr>
              <w:t>ACT</w:t>
            </w:r>
          </w:p>
        </w:tc>
        <w:tc>
          <w:tcPr>
            <w:tcW w:w="2190" w:type="dxa"/>
          </w:tcPr>
          <w:p w14:paraId="3475D029" w14:textId="6BBA6C24" w:rsidR="00FE3228" w:rsidRPr="00106D8E" w:rsidRDefault="00FE3228" w:rsidP="00FE3228">
            <w:pPr>
              <w:spacing w:before="120" w:after="120"/>
            </w:pPr>
            <w:r>
              <w:rPr>
                <w:rFonts w:cstheme="minorHAnsi"/>
              </w:rPr>
              <w:t>0%</w:t>
            </w:r>
          </w:p>
        </w:tc>
        <w:tc>
          <w:tcPr>
            <w:tcW w:w="2164" w:type="dxa"/>
          </w:tcPr>
          <w:p w14:paraId="26BF81B3" w14:textId="7627212D" w:rsidR="00FE3228" w:rsidRPr="00106D8E" w:rsidRDefault="00FE3228" w:rsidP="00FE3228">
            <w:pPr>
              <w:spacing w:before="120" w:after="120"/>
            </w:pPr>
            <w:r>
              <w:rPr>
                <w:rFonts w:cstheme="minorHAnsi"/>
              </w:rPr>
              <w:t>0%</w:t>
            </w:r>
          </w:p>
        </w:tc>
        <w:tc>
          <w:tcPr>
            <w:tcW w:w="1543" w:type="dxa"/>
          </w:tcPr>
          <w:p w14:paraId="1BDF6A79" w14:textId="26D9FF12" w:rsidR="00FE3228" w:rsidRPr="00106D8E" w:rsidRDefault="00FE3228" w:rsidP="00FE3228">
            <w:pPr>
              <w:spacing w:before="120" w:after="120"/>
            </w:pPr>
            <w:r>
              <w:rPr>
                <w:rFonts w:cstheme="minorHAnsi"/>
              </w:rPr>
              <w:t>100%</w:t>
            </w:r>
          </w:p>
        </w:tc>
        <w:tc>
          <w:tcPr>
            <w:tcW w:w="1543" w:type="dxa"/>
          </w:tcPr>
          <w:p w14:paraId="65047182" w14:textId="714615CC" w:rsidR="00FE3228" w:rsidRPr="00106D8E" w:rsidRDefault="00FE3228" w:rsidP="00FE3228">
            <w:pPr>
              <w:spacing w:before="120" w:after="120"/>
            </w:pPr>
            <w:r>
              <w:rPr>
                <w:rFonts w:cstheme="minorHAnsi"/>
              </w:rPr>
              <w:t>363</w:t>
            </w:r>
          </w:p>
        </w:tc>
      </w:tr>
      <w:tr w:rsidR="00FE3228" w:rsidRPr="00106D8E" w14:paraId="08B68320" w14:textId="77777777" w:rsidTr="00D33744">
        <w:tc>
          <w:tcPr>
            <w:tcW w:w="2198" w:type="dxa"/>
          </w:tcPr>
          <w:p w14:paraId="295317FB" w14:textId="477CD420" w:rsidR="00FE3228" w:rsidRPr="00106D8E" w:rsidRDefault="00FE3228" w:rsidP="00FE3228">
            <w:pPr>
              <w:spacing w:before="120" w:after="120"/>
            </w:pPr>
            <w:r w:rsidRPr="00A75B1C">
              <w:rPr>
                <w:rFonts w:cstheme="minorHAnsi"/>
              </w:rPr>
              <w:t>NSW</w:t>
            </w:r>
          </w:p>
        </w:tc>
        <w:tc>
          <w:tcPr>
            <w:tcW w:w="2190" w:type="dxa"/>
          </w:tcPr>
          <w:p w14:paraId="73CBAF67" w14:textId="05E21C84" w:rsidR="00FE3228" w:rsidRPr="00106D8E" w:rsidRDefault="00FE3228" w:rsidP="00FE3228">
            <w:pPr>
              <w:spacing w:before="120" w:after="120"/>
            </w:pPr>
            <w:r>
              <w:rPr>
                <w:rFonts w:cstheme="minorHAnsi"/>
              </w:rPr>
              <w:t>23.7% (+16.7%)</w:t>
            </w:r>
          </w:p>
        </w:tc>
        <w:tc>
          <w:tcPr>
            <w:tcW w:w="2164" w:type="dxa"/>
          </w:tcPr>
          <w:p w14:paraId="6814FD99" w14:textId="3A8DCB0E" w:rsidR="00FE3228" w:rsidRPr="00106D8E" w:rsidRDefault="00FE3228" w:rsidP="00FE3228">
            <w:pPr>
              <w:spacing w:before="120" w:after="120"/>
            </w:pPr>
            <w:r>
              <w:rPr>
                <w:rFonts w:cstheme="minorHAnsi"/>
              </w:rPr>
              <w:t>5.3% (+2.3%)</w:t>
            </w:r>
          </w:p>
        </w:tc>
        <w:tc>
          <w:tcPr>
            <w:tcW w:w="1543" w:type="dxa"/>
          </w:tcPr>
          <w:p w14:paraId="0851C81A" w14:textId="4311560A" w:rsidR="00FE3228" w:rsidRPr="00106D8E" w:rsidRDefault="00FE3228" w:rsidP="00FE3228">
            <w:pPr>
              <w:spacing w:before="120" w:after="120"/>
            </w:pPr>
            <w:r>
              <w:rPr>
                <w:rFonts w:cstheme="minorHAnsi"/>
              </w:rPr>
              <w:t>71%</w:t>
            </w:r>
          </w:p>
        </w:tc>
        <w:tc>
          <w:tcPr>
            <w:tcW w:w="1543" w:type="dxa"/>
          </w:tcPr>
          <w:p w14:paraId="4476480A" w14:textId="2FA00EE4" w:rsidR="00FE3228" w:rsidRPr="00106D8E" w:rsidRDefault="00FE3228" w:rsidP="00FE3228">
            <w:pPr>
              <w:spacing w:before="120" w:after="120"/>
            </w:pPr>
            <w:r>
              <w:rPr>
                <w:rFonts w:cstheme="minorHAnsi"/>
              </w:rPr>
              <w:t>6174</w:t>
            </w:r>
          </w:p>
        </w:tc>
      </w:tr>
      <w:tr w:rsidR="00FE3228" w:rsidRPr="00106D8E" w14:paraId="127D8077" w14:textId="77777777" w:rsidTr="00D33744">
        <w:tc>
          <w:tcPr>
            <w:tcW w:w="2198" w:type="dxa"/>
          </w:tcPr>
          <w:p w14:paraId="5CD10DC8" w14:textId="723F188E" w:rsidR="00FE3228" w:rsidRPr="00106D8E" w:rsidRDefault="00FE3228" w:rsidP="00FE3228">
            <w:pPr>
              <w:spacing w:before="120" w:after="120"/>
            </w:pPr>
            <w:r w:rsidRPr="00A75B1C">
              <w:rPr>
                <w:rFonts w:cstheme="minorHAnsi"/>
              </w:rPr>
              <w:t>Queensland</w:t>
            </w:r>
          </w:p>
        </w:tc>
        <w:tc>
          <w:tcPr>
            <w:tcW w:w="2190" w:type="dxa"/>
          </w:tcPr>
          <w:p w14:paraId="5B0AA379" w14:textId="3C5C8649" w:rsidR="00FE3228" w:rsidRPr="00106D8E" w:rsidRDefault="00FE3228" w:rsidP="00FE3228">
            <w:pPr>
              <w:spacing w:before="120" w:after="120"/>
            </w:pPr>
            <w:r>
              <w:rPr>
                <w:rFonts w:cstheme="minorHAnsi"/>
              </w:rPr>
              <w:t>17% (+13%)</w:t>
            </w:r>
          </w:p>
        </w:tc>
        <w:tc>
          <w:tcPr>
            <w:tcW w:w="2164" w:type="dxa"/>
          </w:tcPr>
          <w:p w14:paraId="422E2F6D" w14:textId="29DAE140" w:rsidR="00FE3228" w:rsidRPr="00106D8E" w:rsidRDefault="00FE3228" w:rsidP="00FE3228">
            <w:pPr>
              <w:spacing w:before="120" w:after="120"/>
            </w:pPr>
            <w:r>
              <w:rPr>
                <w:rFonts w:cstheme="minorHAnsi"/>
              </w:rPr>
              <w:t>0%</w:t>
            </w:r>
          </w:p>
        </w:tc>
        <w:tc>
          <w:tcPr>
            <w:tcW w:w="1543" w:type="dxa"/>
          </w:tcPr>
          <w:p w14:paraId="00DE339B" w14:textId="1626B162" w:rsidR="00FE3228" w:rsidRPr="00106D8E" w:rsidRDefault="00FE3228" w:rsidP="00FE3228">
            <w:pPr>
              <w:spacing w:before="120" w:after="120"/>
            </w:pPr>
            <w:r>
              <w:rPr>
                <w:rFonts w:cstheme="minorHAnsi"/>
              </w:rPr>
              <w:t>83%</w:t>
            </w:r>
          </w:p>
        </w:tc>
        <w:tc>
          <w:tcPr>
            <w:tcW w:w="1543" w:type="dxa"/>
          </w:tcPr>
          <w:p w14:paraId="676E6DF7" w14:textId="088F0345" w:rsidR="00FE3228" w:rsidRPr="00106D8E" w:rsidRDefault="00FE3228" w:rsidP="00FE3228">
            <w:pPr>
              <w:spacing w:before="120" w:after="120"/>
            </w:pPr>
            <w:r>
              <w:rPr>
                <w:rFonts w:cstheme="minorHAnsi"/>
              </w:rPr>
              <w:t>1693</w:t>
            </w:r>
          </w:p>
        </w:tc>
      </w:tr>
      <w:tr w:rsidR="00FE3228" w:rsidRPr="00106D8E" w14:paraId="1EADEDFC" w14:textId="77777777" w:rsidTr="00D33744">
        <w:tc>
          <w:tcPr>
            <w:tcW w:w="2198" w:type="dxa"/>
          </w:tcPr>
          <w:p w14:paraId="73B60B1A" w14:textId="6809A857" w:rsidR="00FE3228" w:rsidRPr="00106D8E" w:rsidRDefault="00FE3228" w:rsidP="00FE3228">
            <w:pPr>
              <w:spacing w:before="120" w:after="120"/>
            </w:pPr>
            <w:r w:rsidRPr="00A75B1C">
              <w:rPr>
                <w:rFonts w:cstheme="minorHAnsi"/>
              </w:rPr>
              <w:t>SA</w:t>
            </w:r>
          </w:p>
        </w:tc>
        <w:tc>
          <w:tcPr>
            <w:tcW w:w="2190" w:type="dxa"/>
          </w:tcPr>
          <w:p w14:paraId="29D4D54A" w14:textId="757DB2F1" w:rsidR="00FE3228" w:rsidRPr="00106D8E" w:rsidRDefault="00FE3228" w:rsidP="00FE3228">
            <w:pPr>
              <w:spacing w:before="120" w:after="120"/>
            </w:pPr>
            <w:r>
              <w:rPr>
                <w:rFonts w:cstheme="minorHAnsi"/>
              </w:rPr>
              <w:t>7% (+0.1%)</w:t>
            </w:r>
          </w:p>
        </w:tc>
        <w:tc>
          <w:tcPr>
            <w:tcW w:w="2164" w:type="dxa"/>
          </w:tcPr>
          <w:p w14:paraId="650740A3" w14:textId="20EE42EA" w:rsidR="00FE3228" w:rsidRPr="00106D8E" w:rsidRDefault="00FE3228" w:rsidP="00FE3228">
            <w:pPr>
              <w:spacing w:before="120" w:after="120"/>
            </w:pPr>
            <w:r>
              <w:rPr>
                <w:rFonts w:cstheme="minorHAnsi"/>
              </w:rPr>
              <w:t>93%</w:t>
            </w:r>
          </w:p>
        </w:tc>
        <w:tc>
          <w:tcPr>
            <w:tcW w:w="1543" w:type="dxa"/>
          </w:tcPr>
          <w:p w14:paraId="6247955D" w14:textId="13B09D76" w:rsidR="00FE3228" w:rsidRPr="00106D8E" w:rsidRDefault="00FE3228" w:rsidP="00FE3228">
            <w:pPr>
              <w:spacing w:before="120" w:after="120"/>
            </w:pPr>
            <w:r>
              <w:rPr>
                <w:rFonts w:cstheme="minorHAnsi"/>
              </w:rPr>
              <w:t>0%</w:t>
            </w:r>
          </w:p>
        </w:tc>
        <w:tc>
          <w:tcPr>
            <w:tcW w:w="1543" w:type="dxa"/>
          </w:tcPr>
          <w:p w14:paraId="6F39FD0E" w14:textId="760FCBF2" w:rsidR="00FE3228" w:rsidRPr="00106D8E" w:rsidRDefault="00FE3228" w:rsidP="00FE3228">
            <w:pPr>
              <w:spacing w:before="120" w:after="120"/>
            </w:pPr>
            <w:r>
              <w:rPr>
                <w:rFonts w:cstheme="minorHAnsi"/>
              </w:rPr>
              <w:t>3439</w:t>
            </w:r>
          </w:p>
        </w:tc>
      </w:tr>
      <w:tr w:rsidR="00FE3228" w:rsidRPr="00106D8E" w14:paraId="6A27F79D" w14:textId="77777777" w:rsidTr="00D33744">
        <w:tc>
          <w:tcPr>
            <w:tcW w:w="2198" w:type="dxa"/>
          </w:tcPr>
          <w:p w14:paraId="118FA59B" w14:textId="1B34F495" w:rsidR="00FE3228" w:rsidRPr="00106D8E" w:rsidRDefault="00FE3228" w:rsidP="00FE3228">
            <w:pPr>
              <w:spacing w:before="120" w:after="120"/>
            </w:pPr>
            <w:r w:rsidRPr="00A75B1C">
              <w:rPr>
                <w:rFonts w:cstheme="minorHAnsi"/>
              </w:rPr>
              <w:t>Victoria</w:t>
            </w:r>
          </w:p>
        </w:tc>
        <w:tc>
          <w:tcPr>
            <w:tcW w:w="2190" w:type="dxa"/>
          </w:tcPr>
          <w:p w14:paraId="4ED0E29B" w14:textId="2A1DD0CD" w:rsidR="00FE3228" w:rsidRPr="00106D8E" w:rsidRDefault="00FE3228" w:rsidP="00FE3228">
            <w:pPr>
              <w:spacing w:before="120" w:after="120"/>
            </w:pPr>
            <w:r>
              <w:rPr>
                <w:rFonts w:cstheme="minorHAnsi"/>
              </w:rPr>
              <w:t>6%</w:t>
            </w:r>
          </w:p>
        </w:tc>
        <w:tc>
          <w:tcPr>
            <w:tcW w:w="2164" w:type="dxa"/>
          </w:tcPr>
          <w:p w14:paraId="3E923019" w14:textId="348B9481" w:rsidR="00FE3228" w:rsidRPr="00106D8E" w:rsidRDefault="00FE3228" w:rsidP="00FE3228">
            <w:pPr>
              <w:spacing w:before="120" w:after="120"/>
            </w:pPr>
            <w:r>
              <w:rPr>
                <w:rFonts w:cstheme="minorHAnsi"/>
              </w:rPr>
              <w:t>40%</w:t>
            </w:r>
          </w:p>
        </w:tc>
        <w:tc>
          <w:tcPr>
            <w:tcW w:w="1543" w:type="dxa"/>
          </w:tcPr>
          <w:p w14:paraId="094BF61E" w14:textId="752BE4B5" w:rsidR="00FE3228" w:rsidRPr="00106D8E" w:rsidRDefault="00FE3228" w:rsidP="00FE3228">
            <w:pPr>
              <w:spacing w:before="120" w:after="120"/>
            </w:pPr>
            <w:r>
              <w:rPr>
                <w:rFonts w:cstheme="minorHAnsi"/>
              </w:rPr>
              <w:t>54%</w:t>
            </w:r>
          </w:p>
        </w:tc>
        <w:tc>
          <w:tcPr>
            <w:tcW w:w="1543" w:type="dxa"/>
          </w:tcPr>
          <w:p w14:paraId="422D97DE" w14:textId="7014B094" w:rsidR="00FE3228" w:rsidRPr="00106D8E" w:rsidRDefault="00FE3228" w:rsidP="00FE3228">
            <w:pPr>
              <w:spacing w:before="120" w:after="120"/>
            </w:pPr>
            <w:r>
              <w:rPr>
                <w:rFonts w:cstheme="minorHAnsi"/>
              </w:rPr>
              <w:t>46766</w:t>
            </w:r>
          </w:p>
        </w:tc>
      </w:tr>
    </w:tbl>
    <w:p w14:paraId="0200AFAE" w14:textId="04A7656C" w:rsidR="002A5A1E" w:rsidRDefault="002A5A1E" w:rsidP="005B4FCC">
      <w:pPr>
        <w:spacing w:after="0"/>
      </w:pPr>
      <w:r>
        <w:br w:type="page"/>
      </w:r>
    </w:p>
    <w:p w14:paraId="3235E2E2" w14:textId="51AD3584" w:rsidR="00E5690A" w:rsidRDefault="0040689F" w:rsidP="0040689F">
      <w:pPr>
        <w:pStyle w:val="Heading3"/>
      </w:pPr>
      <w:r w:rsidRPr="0040689F">
        <w:lastRenderedPageBreak/>
        <w:t>Non-urban metering in the Murray-Darling Basin</w:t>
      </w:r>
    </w:p>
    <w:p w14:paraId="31F15158" w14:textId="77777777" w:rsidR="009C6757" w:rsidRDefault="009C6757" w:rsidP="009C6757">
      <w:pPr>
        <w:spacing w:after="0"/>
      </w:pPr>
      <w:r>
        <w:t>Accurate and widespread non-urban metering across the Murray-Darling Basin is an essential component for effective water management. Requirements for non-urban metering were set out in the Compliance Compact (2018), with detailed rules and guidance outlined in the Metrological Assurance Framework 2 (2021). The deadline for metering reform is July 2025, at which point every Basin State must have compliant meters based on the Australian Standard (AS4747) or have relevant exemptions or grandfathering in place.</w:t>
      </w:r>
    </w:p>
    <w:p w14:paraId="1B370701" w14:textId="77777777" w:rsidR="004C5C0A" w:rsidRDefault="004C5C0A" w:rsidP="009C6757">
      <w:pPr>
        <w:spacing w:after="0"/>
      </w:pPr>
    </w:p>
    <w:p w14:paraId="11CA72EA" w14:textId="77777777" w:rsidR="009C6757" w:rsidRDefault="009C6757" w:rsidP="009C6757">
      <w:pPr>
        <w:spacing w:after="0"/>
      </w:pPr>
      <w:r>
        <w:t>With each Basin State at different stages of implementing metering reform there is a risk of inconsistent metering causing an unfair playing field across the Murray-Darling Basin. The metering report card aims to transparently report metering reform progress using consistent metrics for coverage, accuracy, and timeliness across Basin States.</w:t>
      </w:r>
    </w:p>
    <w:p w14:paraId="732730B2" w14:textId="77777777" w:rsidR="004C5C0A" w:rsidRDefault="004C5C0A" w:rsidP="009C6757">
      <w:pPr>
        <w:spacing w:after="0"/>
      </w:pPr>
    </w:p>
    <w:p w14:paraId="1EA73B99" w14:textId="77777777" w:rsidR="009C6757" w:rsidRDefault="009C6757" w:rsidP="009C6757">
      <w:pPr>
        <w:spacing w:after="0"/>
      </w:pPr>
      <w:r>
        <w:t>As 2021-22 is the second iteration of the metering report card, progress towards these requirements through the years can start to be tracked. For the 2021-22 report card Basin States were also given the option to provide data for supplementary metrics on metered entitlements and volume of telemetered take, giving a more comprehensive picture of metering reform progress.</w:t>
      </w:r>
    </w:p>
    <w:p w14:paraId="0DA146F6" w14:textId="77777777" w:rsidR="004C5C0A" w:rsidRDefault="004C5C0A" w:rsidP="009C6757">
      <w:pPr>
        <w:spacing w:after="0"/>
      </w:pPr>
    </w:p>
    <w:p w14:paraId="10A62617" w14:textId="2B322D6F" w:rsidR="009C6757" w:rsidRDefault="009C6757" w:rsidP="009C6757">
      <w:pPr>
        <w:spacing w:after="0"/>
      </w:pPr>
      <w:r>
        <w:t xml:space="preserve">Widespread adoption of telemetry can significantly improve water compliance monitoring and will be important in ensuring metering data is timely. Both NSW and Victoria are making progress towards meeting goals for telemetry coverage. Victoria's percentage of meters with telemetry increased by 16% and NSWs increased by 6% since the 2020-21 metering report card, with 18.2% of meters in NSW still to have telemetry connected to the regulators data collection system. Victoria has the most widespread telemetry coverage of any Basin State, with 61% of meters being telemetry-enabled and 70% of </w:t>
      </w:r>
      <w:proofErr w:type="spellStart"/>
      <w:r>
        <w:t>meterable</w:t>
      </w:r>
      <w:proofErr w:type="spellEnd"/>
      <w:r>
        <w:t xml:space="preserve"> water take monitored through telemetry-enabled meters in 2021-22. As of June 30, 2022, South Australia and Queensland did not have widespread policy requirements for telemetry in place, while the small geographic size of the ACT means benefits of implementing telemetry there are minimal. South Australia is trialling the suitability of retrofitted telemetry technologies and on-farm water usage analytics during 2022-23. It is noted that Queensland have made significant policy changes after 30 June 2022 which will be reflected in the 2022-23 report card.</w:t>
      </w:r>
    </w:p>
    <w:p w14:paraId="5A5A25C3" w14:textId="77777777" w:rsidR="007B53A4" w:rsidRDefault="007B53A4" w:rsidP="009C6757">
      <w:pPr>
        <w:spacing w:after="0"/>
      </w:pPr>
    </w:p>
    <w:p w14:paraId="510FFB19" w14:textId="77777777" w:rsidR="009C6757" w:rsidRDefault="009C6757" w:rsidP="009C6757">
      <w:pPr>
        <w:spacing w:after="0"/>
      </w:pPr>
      <w:r>
        <w:t>A key consideration for metering reform is the number of active certified meter installers (</w:t>
      </w:r>
      <w:proofErr w:type="spellStart"/>
      <w:r>
        <w:t>CMls</w:t>
      </w:r>
      <w:proofErr w:type="spellEnd"/>
      <w:r>
        <w:t xml:space="preserve">) available to install, validate, upgrade, and maintain non-urban meters. Since the 2020-21 metering report card there has been a change in CMI numbers across the Basin States. The only notable increase in </w:t>
      </w:r>
      <w:proofErr w:type="spellStart"/>
      <w:r>
        <w:t>CMls</w:t>
      </w:r>
      <w:proofErr w:type="spellEnd"/>
      <w:r>
        <w:t xml:space="preserve"> occurred in NSW, which rose from 161 to 175. The Inspector-General understands that the actual number of active and available </w:t>
      </w:r>
      <w:proofErr w:type="spellStart"/>
      <w:r>
        <w:t>CMls</w:t>
      </w:r>
      <w:proofErr w:type="spellEnd"/>
      <w:r>
        <w:t xml:space="preserve"> in NSW (known as DQPs in NSW) is significantly lower than this number and is a significant risk to metering policy implementation in NSW. As NSW have a significant number of meters as part of their reform program, the number of </w:t>
      </w:r>
      <w:proofErr w:type="spellStart"/>
      <w:r>
        <w:t>CMls</w:t>
      </w:r>
      <w:proofErr w:type="spellEnd"/>
      <w:r>
        <w:t xml:space="preserve"> available will be vital for ensuring their metering reform goals are met. There were also notable decreases in </w:t>
      </w:r>
      <w:proofErr w:type="spellStart"/>
      <w:r>
        <w:t>CMls</w:t>
      </w:r>
      <w:proofErr w:type="spellEnd"/>
      <w:r>
        <w:t xml:space="preserve"> in Queensland and Victoria. Fulfilling metering reform obligations is reliant upon CMI availability in every Basin State. CMI numbers will continue to be monitored by the IGWC through future versions of the metering report card.</w:t>
      </w:r>
    </w:p>
    <w:p w14:paraId="019047D6" w14:textId="77777777" w:rsidR="00614D3C" w:rsidRDefault="00614D3C" w:rsidP="009C6757">
      <w:pPr>
        <w:spacing w:after="0"/>
      </w:pPr>
    </w:p>
    <w:p w14:paraId="6D20D781" w14:textId="77777777" w:rsidR="009C6757" w:rsidRDefault="009C6757" w:rsidP="009C6757">
      <w:pPr>
        <w:spacing w:after="0"/>
      </w:pPr>
      <w:r>
        <w:t>Data on meter accuracy was reported on by all Basin States for the first time in the 2021-22 metering report card. The biggest increases were seen in NSW, with a 16.7% increase in AS4747 compliant meters and a 2.3% increase in grandfathered meters. NSW metering reform efforts have established it as the Basin State with the highest proportion and highest number of AS4747 meters. Queensland also made progress with a 13% increase in AS4747 meters. As South Australia already has 100% of meters classified as grandfathered or AS4747 and compliant with the State's metering policy, the accuracy metric was relatively static with a 0.1% increase in AS4747 meters. Both ACT and Victoria reported on meter accuracy for the first time in the 2021-22 metering report card, so progress between years for these Basin States cannot yet be tracked.</w:t>
      </w:r>
    </w:p>
    <w:p w14:paraId="19F299BC" w14:textId="77777777" w:rsidR="006D3183" w:rsidRDefault="006D3183" w:rsidP="009C6757">
      <w:pPr>
        <w:spacing w:after="0"/>
      </w:pPr>
    </w:p>
    <w:p w14:paraId="1FF85F82" w14:textId="77777777" w:rsidR="009C6757" w:rsidRDefault="009C6757" w:rsidP="009C6757">
      <w:pPr>
        <w:spacing w:after="0"/>
      </w:pPr>
      <w:r>
        <w:lastRenderedPageBreak/>
        <w:t xml:space="preserve">Meter coverage was reported by all Basin States except Queensland. Queensland did however report on metered entitlements, with 74% of entitlement volume metered. It is expected that Queensland will report on the metered water take metric in future metering report cards after a strengthened metering policy is implemented. Since 2020-21 there was little change in South Australia's meter coverage, as all </w:t>
      </w:r>
      <w:proofErr w:type="spellStart"/>
      <w:r>
        <w:t>meterable</w:t>
      </w:r>
      <w:proofErr w:type="spellEnd"/>
      <w:r>
        <w:t xml:space="preserve"> water take was already metered or exempt in the Basin State. NSW and Victoria had increases in metered water take, with NSW also reporting 88.6% of entitlement volume metered. Queensland also reported 41% of floodplain water take licenced, while NSW commenced individual floodplain harvesting licencing in July 2022 which is outside the timeframe of this report card. It is expected that NSW will provide data on licenced floodplain take in future metering report cards as implementation of the State's licencing framework continues.</w:t>
      </w:r>
    </w:p>
    <w:p w14:paraId="1D1748B2" w14:textId="77777777" w:rsidR="007B4B84" w:rsidRDefault="007B4B84" w:rsidP="009C6757">
      <w:pPr>
        <w:spacing w:after="0"/>
      </w:pPr>
    </w:p>
    <w:p w14:paraId="10549BA6" w14:textId="0F927758" w:rsidR="007B4B84" w:rsidRDefault="009C6757" w:rsidP="007B4B84">
      <w:r>
        <w:t>Through future iterations of the metering report card, the Inspector-General will continue to track the Compliance Compact commitments of the six governments on metering reform across the Murray-Darling Basin to improve transparency and accountability in non-urban metering and water take in the Murray-Darling Basin.</w:t>
      </w:r>
    </w:p>
    <w:p w14:paraId="3B434AE7" w14:textId="56DE65E2" w:rsidR="009C6757" w:rsidRDefault="00117E61" w:rsidP="00117E61">
      <w:pPr>
        <w:pStyle w:val="Heading3"/>
      </w:pPr>
      <w:r w:rsidRPr="00117E61">
        <w:t>Metering and measurement in the Murray-Darling Basin and Metering reform timeline</w:t>
      </w:r>
    </w:p>
    <w:p w14:paraId="1E879D1B" w14:textId="78AE0739" w:rsidR="00D657DE" w:rsidRPr="00117E61" w:rsidRDefault="00D657DE" w:rsidP="00117E61">
      <w:r w:rsidRPr="00D657DE">
        <w:t>Metering is fundamental to trust in water accounting and compliance. Metering standards need to be consistent to make sure water take is fair for everyone across the Basin. The timeline below demonstrates the commitments to better metering. Each Basin State must have compliant meters based on the AS4747 standard by July 2025, or have relevant exemptions or grandfathering in place.</w:t>
      </w:r>
    </w:p>
    <w:p w14:paraId="167E8F4A" w14:textId="19571036" w:rsidR="00F8546D" w:rsidRPr="00592481" w:rsidRDefault="00F8546D" w:rsidP="00F8546D">
      <w:pPr>
        <w:pStyle w:val="Heading2"/>
        <w:rPr>
          <w:w w:val="110"/>
          <w:sz w:val="24"/>
          <w:szCs w:val="16"/>
        </w:rPr>
      </w:pPr>
      <w:r w:rsidRPr="00A27456">
        <w:rPr>
          <w:sz w:val="24"/>
          <w:szCs w:val="16"/>
        </w:rPr>
        <w:t xml:space="preserve">Table </w:t>
      </w:r>
      <w:r>
        <w:rPr>
          <w:sz w:val="24"/>
          <w:szCs w:val="16"/>
        </w:rPr>
        <w:t>8</w:t>
      </w:r>
      <w:r w:rsidRPr="00A27456">
        <w:rPr>
          <w:sz w:val="24"/>
          <w:szCs w:val="16"/>
        </w:rPr>
        <w:t xml:space="preserve">. </w:t>
      </w:r>
      <w:r w:rsidR="00313E25" w:rsidRPr="00313E25">
        <w:rPr>
          <w:w w:val="110"/>
          <w:sz w:val="24"/>
          <w:szCs w:val="16"/>
        </w:rPr>
        <w:t>Metering reform timeline</w:t>
      </w:r>
    </w:p>
    <w:tbl>
      <w:tblPr>
        <w:tblStyle w:val="TableGridLight"/>
        <w:tblW w:w="9781" w:type="dxa"/>
        <w:tblLook w:val="04A0" w:firstRow="1" w:lastRow="0" w:firstColumn="1" w:lastColumn="0" w:noHBand="0" w:noVBand="1"/>
      </w:tblPr>
      <w:tblGrid>
        <w:gridCol w:w="2268"/>
        <w:gridCol w:w="7513"/>
      </w:tblGrid>
      <w:tr w:rsidR="00F8546D" w14:paraId="19CA3FB5" w14:textId="77777777" w:rsidTr="005C0698">
        <w:trPr>
          <w:cnfStyle w:val="100000000000" w:firstRow="1" w:lastRow="0" w:firstColumn="0" w:lastColumn="0" w:oddVBand="0" w:evenVBand="0" w:oddHBand="0" w:evenHBand="0" w:firstRowFirstColumn="0" w:firstRowLastColumn="0" w:lastRowFirstColumn="0" w:lastRowLastColumn="0"/>
        </w:trPr>
        <w:tc>
          <w:tcPr>
            <w:tcW w:w="2268" w:type="dxa"/>
          </w:tcPr>
          <w:p w14:paraId="104BBF03" w14:textId="0BBA45D2" w:rsidR="00F8546D" w:rsidRDefault="00E3617A" w:rsidP="00D33744">
            <w:pPr>
              <w:pStyle w:val="TableHeader"/>
            </w:pPr>
            <w:r>
              <w:t>Year</w:t>
            </w:r>
          </w:p>
        </w:tc>
        <w:tc>
          <w:tcPr>
            <w:tcW w:w="7513" w:type="dxa"/>
          </w:tcPr>
          <w:p w14:paraId="44EB8140" w14:textId="030AD9E0" w:rsidR="00F8546D" w:rsidRDefault="005C0698" w:rsidP="00D33744">
            <w:pPr>
              <w:pStyle w:val="TableHeader"/>
            </w:pPr>
            <w:r>
              <w:rPr>
                <w:bCs/>
              </w:rPr>
              <w:t>Event</w:t>
            </w:r>
          </w:p>
        </w:tc>
      </w:tr>
      <w:tr w:rsidR="005C0698" w14:paraId="5BDB9331" w14:textId="77777777" w:rsidTr="005C0698">
        <w:tc>
          <w:tcPr>
            <w:tcW w:w="2268" w:type="dxa"/>
          </w:tcPr>
          <w:p w14:paraId="7EFAB2DB" w14:textId="578F4C4D" w:rsidR="005C0698" w:rsidRDefault="005C0698" w:rsidP="005C0698">
            <w:pPr>
              <w:pStyle w:val="TableText"/>
            </w:pPr>
            <w:r w:rsidRPr="00D97DF9">
              <w:t>2004</w:t>
            </w:r>
          </w:p>
        </w:tc>
        <w:tc>
          <w:tcPr>
            <w:tcW w:w="7513" w:type="dxa"/>
          </w:tcPr>
          <w:p w14:paraId="72AC6CEC" w14:textId="78312FC4" w:rsidR="005C0698" w:rsidRDefault="005C0698" w:rsidP="005C0698">
            <w:pPr>
              <w:pStyle w:val="TableText"/>
            </w:pPr>
            <w:r w:rsidRPr="00D97DF9">
              <w:t>National Water Initiative (NWI)</w:t>
            </w:r>
          </w:p>
        </w:tc>
      </w:tr>
      <w:tr w:rsidR="005C0698" w14:paraId="6F381542" w14:textId="77777777" w:rsidTr="005C0698">
        <w:tc>
          <w:tcPr>
            <w:tcW w:w="2268" w:type="dxa"/>
          </w:tcPr>
          <w:p w14:paraId="48A9B29A" w14:textId="2F6F0150" w:rsidR="005C0698" w:rsidRDefault="005C0698" w:rsidP="005C0698">
            <w:pPr>
              <w:pStyle w:val="TableText"/>
            </w:pPr>
            <w:r w:rsidRPr="00D97DF9">
              <w:t>2009</w:t>
            </w:r>
          </w:p>
        </w:tc>
        <w:tc>
          <w:tcPr>
            <w:tcW w:w="7513" w:type="dxa"/>
          </w:tcPr>
          <w:p w14:paraId="3135923E" w14:textId="12027BED" w:rsidR="005C0698" w:rsidRDefault="005C0698" w:rsidP="005C0698">
            <w:pPr>
              <w:pStyle w:val="TableText"/>
              <w:rPr>
                <w:w w:val="115"/>
              </w:rPr>
            </w:pPr>
            <w:r w:rsidRPr="00D97DF9">
              <w:t>National framework for non-urban water metering</w:t>
            </w:r>
          </w:p>
        </w:tc>
      </w:tr>
      <w:tr w:rsidR="005C0698" w14:paraId="43D1EFD1" w14:textId="77777777" w:rsidTr="005C0698">
        <w:tc>
          <w:tcPr>
            <w:tcW w:w="2268" w:type="dxa"/>
          </w:tcPr>
          <w:p w14:paraId="49ABB592" w14:textId="50921DA6" w:rsidR="005C0698" w:rsidRDefault="005C0698" w:rsidP="005C0698">
            <w:pPr>
              <w:pStyle w:val="TableText"/>
            </w:pPr>
            <w:r w:rsidRPr="00D97DF9">
              <w:t>2012</w:t>
            </w:r>
          </w:p>
        </w:tc>
        <w:tc>
          <w:tcPr>
            <w:tcW w:w="7513" w:type="dxa"/>
          </w:tcPr>
          <w:p w14:paraId="5B616E51" w14:textId="0458E12F" w:rsidR="005C0698" w:rsidRDefault="005C0698" w:rsidP="005C0698">
            <w:pPr>
              <w:pStyle w:val="TableText"/>
              <w:rPr>
                <w:w w:val="115"/>
              </w:rPr>
            </w:pPr>
            <w:r w:rsidRPr="00D97DF9">
              <w:t>The Basin Plan</w:t>
            </w:r>
          </w:p>
        </w:tc>
      </w:tr>
      <w:tr w:rsidR="005C0698" w14:paraId="7C6D0274" w14:textId="77777777" w:rsidTr="005C0698">
        <w:tc>
          <w:tcPr>
            <w:tcW w:w="2268" w:type="dxa"/>
          </w:tcPr>
          <w:p w14:paraId="62B3D64C" w14:textId="10883D01" w:rsidR="005C0698" w:rsidRDefault="005C0698" w:rsidP="005C0698">
            <w:pPr>
              <w:pStyle w:val="TableText"/>
            </w:pPr>
            <w:r w:rsidRPr="00D97DF9">
              <w:t>2013</w:t>
            </w:r>
          </w:p>
        </w:tc>
        <w:tc>
          <w:tcPr>
            <w:tcW w:w="7513" w:type="dxa"/>
          </w:tcPr>
          <w:p w14:paraId="28310A83" w14:textId="60C37062" w:rsidR="005C0698" w:rsidRDefault="005C0698" w:rsidP="005C0698">
            <w:pPr>
              <w:pStyle w:val="TableText"/>
              <w:rPr>
                <w:w w:val="115"/>
              </w:rPr>
            </w:pPr>
            <w:r w:rsidRPr="00D97DF9">
              <w:t>Australian Standard 4747 (AS4747) meters for non-urban water supply</w:t>
            </w:r>
          </w:p>
        </w:tc>
      </w:tr>
      <w:tr w:rsidR="005C0698" w14:paraId="30442090" w14:textId="77777777" w:rsidTr="005C0698">
        <w:tc>
          <w:tcPr>
            <w:tcW w:w="2268" w:type="dxa"/>
          </w:tcPr>
          <w:p w14:paraId="33434BC7" w14:textId="5598FEB8" w:rsidR="005C0698" w:rsidRDefault="005C0698" w:rsidP="005C0698">
            <w:pPr>
              <w:pStyle w:val="TableText"/>
            </w:pPr>
            <w:r w:rsidRPr="00D97DF9">
              <w:t>2017</w:t>
            </w:r>
          </w:p>
        </w:tc>
        <w:tc>
          <w:tcPr>
            <w:tcW w:w="7513" w:type="dxa"/>
          </w:tcPr>
          <w:p w14:paraId="37BEDD7F" w14:textId="44BB552A" w:rsidR="005C0698" w:rsidRDefault="005C0698" w:rsidP="005C0698">
            <w:pPr>
              <w:pStyle w:val="TableText"/>
              <w:rPr>
                <w:w w:val="115"/>
              </w:rPr>
            </w:pPr>
            <w:r w:rsidRPr="00D97DF9">
              <w:t>Murray-Darling Basin Water Compliance Review</w:t>
            </w:r>
          </w:p>
        </w:tc>
      </w:tr>
      <w:tr w:rsidR="005C0698" w14:paraId="2C210C75" w14:textId="77777777" w:rsidTr="005C0698">
        <w:tc>
          <w:tcPr>
            <w:tcW w:w="2268" w:type="dxa"/>
          </w:tcPr>
          <w:p w14:paraId="122EA223" w14:textId="6970AAE3" w:rsidR="005C0698" w:rsidRDefault="005C0698" w:rsidP="005C0698">
            <w:pPr>
              <w:pStyle w:val="TableText"/>
            </w:pPr>
            <w:r w:rsidRPr="00D97DF9">
              <w:t>2018</w:t>
            </w:r>
          </w:p>
        </w:tc>
        <w:tc>
          <w:tcPr>
            <w:tcW w:w="7513" w:type="dxa"/>
          </w:tcPr>
          <w:p w14:paraId="220EC826" w14:textId="61BF05DF" w:rsidR="005C0698" w:rsidRDefault="005C0698" w:rsidP="005C0698">
            <w:pPr>
              <w:pStyle w:val="TableText"/>
              <w:rPr>
                <w:w w:val="115"/>
              </w:rPr>
            </w:pPr>
            <w:r w:rsidRPr="00D97DF9">
              <w:t>The Basin Compact</w:t>
            </w:r>
          </w:p>
        </w:tc>
      </w:tr>
      <w:tr w:rsidR="005C0698" w14:paraId="72CC7169" w14:textId="77777777" w:rsidTr="005C0698">
        <w:tc>
          <w:tcPr>
            <w:tcW w:w="2268" w:type="dxa"/>
          </w:tcPr>
          <w:p w14:paraId="20894C43" w14:textId="2258C2B3" w:rsidR="005C0698" w:rsidRDefault="005C0698" w:rsidP="005C0698">
            <w:pPr>
              <w:pStyle w:val="TableText"/>
            </w:pPr>
            <w:r w:rsidRPr="00D97DF9">
              <w:t>2020-2025</w:t>
            </w:r>
          </w:p>
        </w:tc>
        <w:tc>
          <w:tcPr>
            <w:tcW w:w="7513" w:type="dxa"/>
          </w:tcPr>
          <w:p w14:paraId="4E3F7085" w14:textId="78511F24" w:rsidR="005C0698" w:rsidRDefault="005C0698" w:rsidP="005C0698">
            <w:pPr>
              <w:pStyle w:val="TableText"/>
              <w:rPr>
                <w:w w:val="115"/>
              </w:rPr>
            </w:pPr>
            <w:r w:rsidRPr="00D97DF9">
              <w:t>Floodplain harvesting measurement (NSW and Queensland)</w:t>
            </w:r>
          </w:p>
        </w:tc>
      </w:tr>
      <w:tr w:rsidR="005C0698" w14:paraId="2ADB08C3" w14:textId="77777777" w:rsidTr="005C0698">
        <w:tc>
          <w:tcPr>
            <w:tcW w:w="2268" w:type="dxa"/>
          </w:tcPr>
          <w:p w14:paraId="2CF0C003" w14:textId="423206A6" w:rsidR="005C0698" w:rsidRDefault="005C0698" w:rsidP="005C0698">
            <w:pPr>
              <w:pStyle w:val="TableText"/>
            </w:pPr>
            <w:r w:rsidRPr="00D97DF9">
              <w:t>2020-2025</w:t>
            </w:r>
          </w:p>
        </w:tc>
        <w:tc>
          <w:tcPr>
            <w:tcW w:w="7513" w:type="dxa"/>
          </w:tcPr>
          <w:p w14:paraId="2B02F0C2" w14:textId="5B248DD4" w:rsidR="005C0698" w:rsidRDefault="005C0698" w:rsidP="005C0698">
            <w:pPr>
              <w:pStyle w:val="TableText"/>
              <w:rPr>
                <w:w w:val="115"/>
              </w:rPr>
            </w:pPr>
            <w:r w:rsidRPr="00D97DF9">
              <w:t>AS4747 implementation period</w:t>
            </w:r>
          </w:p>
        </w:tc>
      </w:tr>
      <w:tr w:rsidR="005C0698" w14:paraId="17FCF4EF" w14:textId="77777777" w:rsidTr="005C0698">
        <w:tc>
          <w:tcPr>
            <w:tcW w:w="2268" w:type="dxa"/>
          </w:tcPr>
          <w:p w14:paraId="11AAA994" w14:textId="71431A31" w:rsidR="005C0698" w:rsidRDefault="005C0698" w:rsidP="005C0698">
            <w:pPr>
              <w:pStyle w:val="TableText"/>
            </w:pPr>
            <w:r w:rsidRPr="00D97DF9">
              <w:t>2021</w:t>
            </w:r>
          </w:p>
        </w:tc>
        <w:tc>
          <w:tcPr>
            <w:tcW w:w="7513" w:type="dxa"/>
          </w:tcPr>
          <w:p w14:paraId="5B384005" w14:textId="5C7F91BE" w:rsidR="005C0698" w:rsidRDefault="005C0698" w:rsidP="005C0698">
            <w:pPr>
              <w:pStyle w:val="TableText"/>
            </w:pPr>
            <w:r w:rsidRPr="00D97DF9">
              <w:t>MAF2</w:t>
            </w:r>
          </w:p>
        </w:tc>
      </w:tr>
      <w:tr w:rsidR="005C0698" w14:paraId="4E22C5B0" w14:textId="77777777" w:rsidTr="005C0698">
        <w:tc>
          <w:tcPr>
            <w:tcW w:w="2268" w:type="dxa"/>
          </w:tcPr>
          <w:p w14:paraId="5E4D24A0" w14:textId="517F9B6C" w:rsidR="005C0698" w:rsidRDefault="005C0698" w:rsidP="005C0698">
            <w:pPr>
              <w:pStyle w:val="TableText"/>
            </w:pPr>
            <w:r w:rsidRPr="00D97DF9">
              <w:t>2025</w:t>
            </w:r>
          </w:p>
        </w:tc>
        <w:tc>
          <w:tcPr>
            <w:tcW w:w="7513" w:type="dxa"/>
          </w:tcPr>
          <w:p w14:paraId="508309FB" w14:textId="18C650A2" w:rsidR="005C0698" w:rsidRDefault="005C0698" w:rsidP="005C0698">
            <w:pPr>
              <w:pStyle w:val="TableText"/>
            </w:pPr>
            <w:r w:rsidRPr="00D97DF9">
              <w:t>Reform implementation date</w:t>
            </w:r>
          </w:p>
        </w:tc>
      </w:tr>
    </w:tbl>
    <w:p w14:paraId="26AE21C1" w14:textId="77777777" w:rsidR="002A26E7" w:rsidRDefault="002A26E7" w:rsidP="005B4FCC">
      <w:pPr>
        <w:spacing w:after="0"/>
      </w:pPr>
    </w:p>
    <w:p w14:paraId="0079ADD1" w14:textId="77777777" w:rsidR="002F1F11" w:rsidRDefault="002F1F11">
      <w:pPr>
        <w:spacing w:after="0"/>
      </w:pPr>
      <w:r>
        <w:br w:type="page"/>
      </w:r>
    </w:p>
    <w:p w14:paraId="3CB76AAD" w14:textId="77777777" w:rsidR="001058FB" w:rsidRPr="00297248" w:rsidRDefault="001058FB" w:rsidP="0076208D">
      <w:pPr>
        <w:pStyle w:val="Heading2"/>
      </w:pPr>
      <w:r w:rsidRPr="00297248">
        <w:lastRenderedPageBreak/>
        <w:t>Murray-Darling Basin – Australian Capital Territory Metering Report Card</w:t>
      </w:r>
    </w:p>
    <w:p w14:paraId="2C5C1307" w14:textId="77777777" w:rsidR="007D2BBA" w:rsidRPr="00297248" w:rsidRDefault="007D2BBA" w:rsidP="007D2BBA">
      <w:pPr>
        <w:pStyle w:val="Heading3"/>
      </w:pPr>
      <w:r w:rsidRPr="00297248">
        <w:t xml:space="preserve">1 Jul 2021 – 30 Jun 2022. Progress from 2020 – 21 metering report </w:t>
      </w:r>
      <w:proofErr w:type="gramStart"/>
      <w:r w:rsidRPr="00297248">
        <w:t>card</w:t>
      </w:r>
      <w:proofErr w:type="gramEnd"/>
      <w:r w:rsidRPr="00297248">
        <w:t xml:space="preserve"> indicated in brackets</w:t>
      </w:r>
    </w:p>
    <w:p w14:paraId="58B2C5C6" w14:textId="238B2E68" w:rsidR="00316767" w:rsidRPr="00592481" w:rsidRDefault="00316767" w:rsidP="00316767">
      <w:pPr>
        <w:pStyle w:val="Heading2"/>
        <w:rPr>
          <w:w w:val="110"/>
          <w:sz w:val="24"/>
          <w:szCs w:val="16"/>
        </w:rPr>
      </w:pPr>
      <w:r w:rsidRPr="00A27456">
        <w:rPr>
          <w:sz w:val="24"/>
          <w:szCs w:val="16"/>
        </w:rPr>
        <w:t xml:space="preserve">Table </w:t>
      </w:r>
      <w:r>
        <w:rPr>
          <w:sz w:val="24"/>
          <w:szCs w:val="16"/>
        </w:rPr>
        <w:t>9</w:t>
      </w:r>
      <w:r w:rsidRPr="00A27456">
        <w:rPr>
          <w:sz w:val="24"/>
          <w:szCs w:val="16"/>
        </w:rPr>
        <w:t xml:space="preserve">. </w:t>
      </w:r>
      <w:r w:rsidR="00C72EA6" w:rsidRPr="00C72EA6">
        <w:rPr>
          <w:w w:val="110"/>
          <w:sz w:val="24"/>
          <w:szCs w:val="16"/>
        </w:rPr>
        <w:t xml:space="preserve">Percentage of water take metered in the </w:t>
      </w:r>
      <w:proofErr w:type="gramStart"/>
      <w:r w:rsidR="00C72EA6" w:rsidRPr="00C72EA6">
        <w:rPr>
          <w:w w:val="110"/>
          <w:sz w:val="24"/>
          <w:szCs w:val="16"/>
        </w:rPr>
        <w:t>ACT</w:t>
      </w:r>
      <w:proofErr w:type="gramEnd"/>
    </w:p>
    <w:tbl>
      <w:tblPr>
        <w:tblStyle w:val="TableGridLight"/>
        <w:tblW w:w="5387" w:type="dxa"/>
        <w:tblLook w:val="04A0" w:firstRow="1" w:lastRow="0" w:firstColumn="1" w:lastColumn="0" w:noHBand="0" w:noVBand="1"/>
      </w:tblPr>
      <w:tblGrid>
        <w:gridCol w:w="3544"/>
        <w:gridCol w:w="1843"/>
      </w:tblGrid>
      <w:tr w:rsidR="0040173E" w14:paraId="75AB8D0B" w14:textId="77777777" w:rsidTr="0040173E">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4314B7FA" w14:textId="0424D6A3" w:rsidR="0040173E" w:rsidRDefault="0040173E" w:rsidP="0040173E">
            <w:pPr>
              <w:pStyle w:val="TableText"/>
            </w:pPr>
            <w:r>
              <w:t xml:space="preserve">Metered water </w:t>
            </w:r>
            <w:proofErr w:type="gramStart"/>
            <w:r>
              <w:t>take</w:t>
            </w:r>
            <w:proofErr w:type="gramEnd"/>
          </w:p>
        </w:tc>
        <w:tc>
          <w:tcPr>
            <w:tcW w:w="1843" w:type="dxa"/>
            <w:shd w:val="clear" w:color="auto" w:fill="auto"/>
          </w:tcPr>
          <w:p w14:paraId="0CE2D900" w14:textId="18988F1A" w:rsidR="0040173E" w:rsidRDefault="0040173E" w:rsidP="0040173E">
            <w:pPr>
              <w:pStyle w:val="TableText"/>
              <w:rPr>
                <w:w w:val="115"/>
              </w:rPr>
            </w:pPr>
            <w:r>
              <w:t>100%</w:t>
            </w:r>
          </w:p>
        </w:tc>
      </w:tr>
      <w:tr w:rsidR="0040173E" w14:paraId="22E63239" w14:textId="77777777" w:rsidTr="0040173E">
        <w:tc>
          <w:tcPr>
            <w:tcW w:w="3544" w:type="dxa"/>
          </w:tcPr>
          <w:p w14:paraId="514EDA1A" w14:textId="0CC8E461" w:rsidR="0040173E" w:rsidRDefault="0040173E" w:rsidP="0040173E">
            <w:pPr>
              <w:pStyle w:val="TableText"/>
            </w:pPr>
            <w:r>
              <w:t xml:space="preserve">Exempt water </w:t>
            </w:r>
            <w:proofErr w:type="gramStart"/>
            <w:r>
              <w:t>take</w:t>
            </w:r>
            <w:proofErr w:type="gramEnd"/>
          </w:p>
        </w:tc>
        <w:tc>
          <w:tcPr>
            <w:tcW w:w="1843" w:type="dxa"/>
          </w:tcPr>
          <w:p w14:paraId="59120211" w14:textId="7574291B" w:rsidR="0040173E" w:rsidRDefault="0040173E" w:rsidP="0040173E">
            <w:pPr>
              <w:pStyle w:val="TableText"/>
              <w:rPr>
                <w:w w:val="115"/>
              </w:rPr>
            </w:pPr>
            <w:r>
              <w:t>0%</w:t>
            </w:r>
          </w:p>
        </w:tc>
      </w:tr>
      <w:tr w:rsidR="0040173E" w14:paraId="026B1CF4" w14:textId="77777777" w:rsidTr="0040173E">
        <w:tc>
          <w:tcPr>
            <w:tcW w:w="3544" w:type="dxa"/>
          </w:tcPr>
          <w:p w14:paraId="74218BB2" w14:textId="0857BF16" w:rsidR="0040173E" w:rsidRDefault="0040173E" w:rsidP="0040173E">
            <w:pPr>
              <w:pStyle w:val="TableText"/>
            </w:pPr>
            <w:r>
              <w:t xml:space="preserve">Not yet metered water </w:t>
            </w:r>
            <w:proofErr w:type="gramStart"/>
            <w:r>
              <w:t>take</w:t>
            </w:r>
            <w:proofErr w:type="gramEnd"/>
          </w:p>
        </w:tc>
        <w:tc>
          <w:tcPr>
            <w:tcW w:w="1843" w:type="dxa"/>
          </w:tcPr>
          <w:p w14:paraId="45F92772" w14:textId="25FE03C7" w:rsidR="0040173E" w:rsidRDefault="0040173E" w:rsidP="0040173E">
            <w:pPr>
              <w:pStyle w:val="TableText"/>
              <w:rPr>
                <w:w w:val="115"/>
              </w:rPr>
            </w:pPr>
            <w:r>
              <w:t>0%</w:t>
            </w:r>
          </w:p>
        </w:tc>
      </w:tr>
    </w:tbl>
    <w:p w14:paraId="64C5BE1C" w14:textId="77777777" w:rsidR="004174D9" w:rsidRDefault="004174D9">
      <w:pPr>
        <w:spacing w:after="0"/>
      </w:pPr>
    </w:p>
    <w:p w14:paraId="58BC75AC" w14:textId="77777777" w:rsidR="004174D9" w:rsidRDefault="004174D9">
      <w:pPr>
        <w:spacing w:after="0"/>
      </w:pPr>
      <w:r w:rsidRPr="004174D9">
        <w:t xml:space="preserve">This measure is reported to highlight percentage of </w:t>
      </w:r>
      <w:proofErr w:type="spellStart"/>
      <w:r w:rsidRPr="004174D9">
        <w:t>meterable</w:t>
      </w:r>
      <w:proofErr w:type="spellEnd"/>
      <w:r w:rsidRPr="004174D9">
        <w:t xml:space="preserve"> water take across the Murray-Darling Basin by each State that is metered. </w:t>
      </w:r>
    </w:p>
    <w:p w14:paraId="4E14B4FF" w14:textId="77777777" w:rsidR="004174D9" w:rsidRDefault="004174D9">
      <w:pPr>
        <w:spacing w:after="0"/>
      </w:pPr>
      <w:r w:rsidRPr="004174D9">
        <w:t>Data owner/sources: State regulators.</w:t>
      </w:r>
    </w:p>
    <w:p w14:paraId="732E89A1" w14:textId="77777777" w:rsidR="004174D9" w:rsidRDefault="004174D9">
      <w:pPr>
        <w:spacing w:after="0"/>
      </w:pPr>
    </w:p>
    <w:p w14:paraId="379C89F5" w14:textId="72999580" w:rsidR="00555DBE" w:rsidRPr="00592481" w:rsidRDefault="00555DBE" w:rsidP="00555DBE">
      <w:pPr>
        <w:pStyle w:val="Heading2"/>
        <w:rPr>
          <w:w w:val="110"/>
          <w:sz w:val="24"/>
          <w:szCs w:val="16"/>
        </w:rPr>
      </w:pPr>
      <w:r w:rsidRPr="00A27456">
        <w:rPr>
          <w:sz w:val="24"/>
          <w:szCs w:val="16"/>
        </w:rPr>
        <w:t xml:space="preserve">Table </w:t>
      </w:r>
      <w:r>
        <w:rPr>
          <w:sz w:val="24"/>
          <w:szCs w:val="16"/>
        </w:rPr>
        <w:t>10</w:t>
      </w:r>
      <w:r w:rsidRPr="00A27456">
        <w:rPr>
          <w:sz w:val="24"/>
          <w:szCs w:val="16"/>
        </w:rPr>
        <w:t xml:space="preserve">. </w:t>
      </w:r>
      <w:r w:rsidR="00AA6D67" w:rsidRPr="00AA6D67">
        <w:rPr>
          <w:w w:val="110"/>
          <w:sz w:val="24"/>
          <w:szCs w:val="16"/>
        </w:rPr>
        <w:t>Metering accuracy in the ACT</w:t>
      </w:r>
    </w:p>
    <w:tbl>
      <w:tblPr>
        <w:tblStyle w:val="TableGridLight"/>
        <w:tblW w:w="5387" w:type="dxa"/>
        <w:tblLook w:val="04A0" w:firstRow="1" w:lastRow="0" w:firstColumn="1" w:lastColumn="0" w:noHBand="0" w:noVBand="1"/>
      </w:tblPr>
      <w:tblGrid>
        <w:gridCol w:w="3544"/>
        <w:gridCol w:w="1843"/>
      </w:tblGrid>
      <w:tr w:rsidR="004728AF" w14:paraId="14202EF8" w14:textId="77777777" w:rsidTr="00CF13B8">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0B655373" w14:textId="070D8C70" w:rsidR="004728AF" w:rsidRDefault="004728AF" w:rsidP="004728AF">
            <w:pPr>
              <w:pStyle w:val="TableText"/>
            </w:pPr>
            <w:r>
              <w:t>AS4747 meters</w:t>
            </w:r>
          </w:p>
        </w:tc>
        <w:tc>
          <w:tcPr>
            <w:tcW w:w="1843" w:type="dxa"/>
            <w:shd w:val="clear" w:color="auto" w:fill="auto"/>
          </w:tcPr>
          <w:p w14:paraId="493F1547" w14:textId="55B11817" w:rsidR="004728AF" w:rsidRDefault="004728AF" w:rsidP="004728AF">
            <w:pPr>
              <w:pStyle w:val="TableText"/>
              <w:rPr>
                <w:w w:val="115"/>
              </w:rPr>
            </w:pPr>
            <w:r>
              <w:t>0%</w:t>
            </w:r>
          </w:p>
        </w:tc>
      </w:tr>
      <w:tr w:rsidR="004728AF" w14:paraId="793EB0F7" w14:textId="77777777" w:rsidTr="00D33744">
        <w:tc>
          <w:tcPr>
            <w:tcW w:w="3544" w:type="dxa"/>
          </w:tcPr>
          <w:p w14:paraId="31B6A255" w14:textId="4A3CA1A3" w:rsidR="004728AF" w:rsidRDefault="004728AF" w:rsidP="004728AF">
            <w:pPr>
              <w:pStyle w:val="TableText"/>
            </w:pPr>
            <w:r>
              <w:t>Grandfathered meters</w:t>
            </w:r>
          </w:p>
        </w:tc>
        <w:tc>
          <w:tcPr>
            <w:tcW w:w="1843" w:type="dxa"/>
          </w:tcPr>
          <w:p w14:paraId="467E603C" w14:textId="2C89B406" w:rsidR="004728AF" w:rsidRDefault="004728AF" w:rsidP="004728AF">
            <w:pPr>
              <w:pStyle w:val="TableText"/>
              <w:rPr>
                <w:w w:val="115"/>
              </w:rPr>
            </w:pPr>
            <w:r>
              <w:t>0%</w:t>
            </w:r>
          </w:p>
        </w:tc>
      </w:tr>
      <w:tr w:rsidR="004728AF" w14:paraId="0DB227B0" w14:textId="77777777" w:rsidTr="00D33744">
        <w:tc>
          <w:tcPr>
            <w:tcW w:w="3544" w:type="dxa"/>
          </w:tcPr>
          <w:p w14:paraId="7517E565" w14:textId="67F900B3" w:rsidR="004728AF" w:rsidRDefault="004728AF" w:rsidP="004728AF">
            <w:pPr>
              <w:pStyle w:val="TableText"/>
            </w:pPr>
            <w:r>
              <w:t>All other meters</w:t>
            </w:r>
          </w:p>
        </w:tc>
        <w:tc>
          <w:tcPr>
            <w:tcW w:w="1843" w:type="dxa"/>
          </w:tcPr>
          <w:p w14:paraId="30C842A9" w14:textId="59746F33" w:rsidR="004728AF" w:rsidRDefault="004728AF" w:rsidP="004728AF">
            <w:pPr>
              <w:pStyle w:val="TableText"/>
              <w:rPr>
                <w:w w:val="115"/>
              </w:rPr>
            </w:pPr>
            <w:r>
              <w:t>100%</w:t>
            </w:r>
          </w:p>
        </w:tc>
      </w:tr>
    </w:tbl>
    <w:p w14:paraId="4D0C2079" w14:textId="77777777" w:rsidR="008632EE" w:rsidRDefault="008632EE">
      <w:pPr>
        <w:spacing w:after="0"/>
      </w:pPr>
    </w:p>
    <w:p w14:paraId="62468219" w14:textId="77777777" w:rsidR="008632EE" w:rsidRDefault="008632EE">
      <w:pPr>
        <w:spacing w:after="0"/>
      </w:pPr>
      <w:r w:rsidRPr="008632EE">
        <w:t xml:space="preserve">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 </w:t>
      </w:r>
    </w:p>
    <w:p w14:paraId="1CDE10BE" w14:textId="77777777" w:rsidR="008632EE" w:rsidRDefault="008632EE">
      <w:pPr>
        <w:spacing w:after="0"/>
      </w:pPr>
      <w:r w:rsidRPr="008632EE">
        <w:t>Data owner/sources: State regulators</w:t>
      </w:r>
    </w:p>
    <w:p w14:paraId="1B58886B" w14:textId="1C1CB5D3" w:rsidR="00000499" w:rsidRPr="00592481" w:rsidRDefault="00000499" w:rsidP="00000499">
      <w:pPr>
        <w:pStyle w:val="Heading2"/>
        <w:rPr>
          <w:w w:val="110"/>
          <w:sz w:val="24"/>
          <w:szCs w:val="16"/>
        </w:rPr>
      </w:pPr>
      <w:r w:rsidRPr="00A27456">
        <w:rPr>
          <w:sz w:val="24"/>
          <w:szCs w:val="16"/>
        </w:rPr>
        <w:t xml:space="preserve">Table </w:t>
      </w:r>
      <w:r>
        <w:rPr>
          <w:sz w:val="24"/>
          <w:szCs w:val="16"/>
        </w:rPr>
        <w:t>11</w:t>
      </w:r>
      <w:r w:rsidRPr="00A27456">
        <w:rPr>
          <w:sz w:val="24"/>
          <w:szCs w:val="16"/>
        </w:rPr>
        <w:t xml:space="preserve">. </w:t>
      </w:r>
      <w:r w:rsidR="003A269E" w:rsidRPr="003A269E">
        <w:rPr>
          <w:w w:val="110"/>
          <w:sz w:val="24"/>
          <w:szCs w:val="16"/>
        </w:rPr>
        <w:t>Telemetry coverage</w:t>
      </w:r>
    </w:p>
    <w:tbl>
      <w:tblPr>
        <w:tblStyle w:val="TableGridLight"/>
        <w:tblW w:w="9639" w:type="dxa"/>
        <w:tblLook w:val="04A0" w:firstRow="1" w:lastRow="0" w:firstColumn="1" w:lastColumn="0" w:noHBand="0" w:noVBand="1"/>
      </w:tblPr>
      <w:tblGrid>
        <w:gridCol w:w="7938"/>
        <w:gridCol w:w="1701"/>
      </w:tblGrid>
      <w:tr w:rsidR="00E27A8E" w14:paraId="7816EE9A" w14:textId="77777777" w:rsidTr="00E27A8E">
        <w:trPr>
          <w:cnfStyle w:val="100000000000" w:firstRow="1" w:lastRow="0" w:firstColumn="0" w:lastColumn="0" w:oddVBand="0" w:evenVBand="0" w:oddHBand="0" w:evenHBand="0" w:firstRowFirstColumn="0" w:firstRowLastColumn="0" w:lastRowFirstColumn="0" w:lastRowLastColumn="0"/>
        </w:trPr>
        <w:tc>
          <w:tcPr>
            <w:tcW w:w="7938" w:type="dxa"/>
            <w:shd w:val="clear" w:color="auto" w:fill="auto"/>
          </w:tcPr>
          <w:p w14:paraId="2E763595" w14:textId="25213778" w:rsidR="00A661B8" w:rsidRDefault="00A661B8" w:rsidP="00A661B8">
            <w:r>
              <w:t>Meter % with telemetry connected to the regulator’s data collection system</w:t>
            </w:r>
          </w:p>
        </w:tc>
        <w:tc>
          <w:tcPr>
            <w:tcW w:w="1701" w:type="dxa"/>
            <w:shd w:val="clear" w:color="auto" w:fill="auto"/>
          </w:tcPr>
          <w:p w14:paraId="07F25E43" w14:textId="5D96F7A5" w:rsidR="00A661B8" w:rsidRDefault="00A661B8" w:rsidP="00A661B8">
            <w:pPr>
              <w:pStyle w:val="TableText"/>
              <w:rPr>
                <w:w w:val="115"/>
              </w:rPr>
            </w:pPr>
            <w:r>
              <w:t>0%</w:t>
            </w:r>
          </w:p>
        </w:tc>
      </w:tr>
      <w:tr w:rsidR="00A661B8" w14:paraId="7CD0D39E" w14:textId="77777777" w:rsidTr="00E27A8E">
        <w:tc>
          <w:tcPr>
            <w:tcW w:w="7938" w:type="dxa"/>
          </w:tcPr>
          <w:p w14:paraId="22CC87FA" w14:textId="19DC0B1E" w:rsidR="00A661B8" w:rsidRDefault="00A661B8" w:rsidP="00A661B8">
            <w:r>
              <w:t>Meter % required to have telemetry connected to the regulator’s data collection system, but which are not connected</w:t>
            </w:r>
          </w:p>
        </w:tc>
        <w:tc>
          <w:tcPr>
            <w:tcW w:w="1701" w:type="dxa"/>
          </w:tcPr>
          <w:p w14:paraId="1B894961" w14:textId="644FF91A" w:rsidR="00A661B8" w:rsidRDefault="00A661B8" w:rsidP="00A661B8">
            <w:pPr>
              <w:pStyle w:val="TableText"/>
              <w:rPr>
                <w:w w:val="115"/>
              </w:rPr>
            </w:pPr>
            <w:r>
              <w:t>0%</w:t>
            </w:r>
          </w:p>
        </w:tc>
      </w:tr>
      <w:tr w:rsidR="00A661B8" w14:paraId="2FAEBC95" w14:textId="77777777" w:rsidTr="00E27A8E">
        <w:tc>
          <w:tcPr>
            <w:tcW w:w="7938" w:type="dxa"/>
          </w:tcPr>
          <w:p w14:paraId="72535C3E" w14:textId="050C1952" w:rsidR="00A661B8" w:rsidRDefault="00A661B8" w:rsidP="00A661B8">
            <w:pPr>
              <w:pStyle w:val="TableText"/>
            </w:pPr>
            <w:r>
              <w:t>Meter % with telemetry not required</w:t>
            </w:r>
          </w:p>
        </w:tc>
        <w:tc>
          <w:tcPr>
            <w:tcW w:w="1701" w:type="dxa"/>
          </w:tcPr>
          <w:p w14:paraId="03069C81" w14:textId="3309DF42" w:rsidR="00A661B8" w:rsidRDefault="00A661B8" w:rsidP="00A661B8">
            <w:pPr>
              <w:pStyle w:val="TableText"/>
              <w:rPr>
                <w:w w:val="115"/>
              </w:rPr>
            </w:pPr>
            <w:r>
              <w:t>100%</w:t>
            </w:r>
          </w:p>
        </w:tc>
      </w:tr>
    </w:tbl>
    <w:p w14:paraId="355DE33D" w14:textId="77777777" w:rsidR="00E27A8E" w:rsidRDefault="00E27A8E">
      <w:pPr>
        <w:spacing w:after="0"/>
      </w:pPr>
    </w:p>
    <w:p w14:paraId="4807AF46" w14:textId="69DBEE9D" w:rsidR="00E27A8E" w:rsidRDefault="00E27A8E">
      <w:pPr>
        <w:spacing w:after="0"/>
      </w:pPr>
      <w:r w:rsidRPr="00E27A8E">
        <w:t xml:space="preserve">This measure is reported to identify the percentage of meters with telemetry connected to the regulator’s data system. </w:t>
      </w:r>
    </w:p>
    <w:p w14:paraId="1DCB2B7B" w14:textId="77777777" w:rsidR="003E583C" w:rsidRDefault="00E27A8E">
      <w:pPr>
        <w:spacing w:after="0"/>
      </w:pPr>
      <w:r w:rsidRPr="00E27A8E">
        <w:t>Data owner/sources: State regulators</w:t>
      </w:r>
    </w:p>
    <w:p w14:paraId="0F35F69A" w14:textId="77777777" w:rsidR="003E583C" w:rsidRDefault="003E583C">
      <w:pPr>
        <w:spacing w:after="0"/>
      </w:pPr>
    </w:p>
    <w:p w14:paraId="6F2D5204" w14:textId="77777777" w:rsidR="00E47066" w:rsidRDefault="00E47066">
      <w:pPr>
        <w:spacing w:after="0"/>
        <w:rPr>
          <w:rFonts w:cs="Arial"/>
          <w:b/>
          <w:color w:val="48555E" w:themeColor="text2"/>
          <w:sz w:val="26"/>
        </w:rPr>
      </w:pPr>
      <w:r>
        <w:br w:type="page"/>
      </w:r>
    </w:p>
    <w:p w14:paraId="4A354A0F" w14:textId="55F9E75A" w:rsidR="003E583C" w:rsidRDefault="003E583C" w:rsidP="0076208D">
      <w:pPr>
        <w:pStyle w:val="Heading3"/>
      </w:pPr>
      <w:r w:rsidRPr="00184D6A">
        <w:lastRenderedPageBreak/>
        <w:t xml:space="preserve">How is meter data collected where telemetry is not </w:t>
      </w:r>
      <w:proofErr w:type="gramStart"/>
      <w:r w:rsidRPr="00184D6A">
        <w:t>used</w:t>
      </w:r>
      <w:proofErr w:type="gramEnd"/>
    </w:p>
    <w:p w14:paraId="36F7838D" w14:textId="77777777" w:rsidR="00C25A63" w:rsidRPr="008073C2" w:rsidRDefault="00C25A63" w:rsidP="00C25A63">
      <w:r w:rsidRPr="008073C2">
        <w:t>In-field visual inspections, photographs, and electronic submission of readings. A risk-based approach is used in determining the frequency and requirements of reporting.</w:t>
      </w:r>
    </w:p>
    <w:p w14:paraId="5EB22CA1" w14:textId="77777777" w:rsidR="00C25A63" w:rsidRDefault="00C25A63" w:rsidP="00C25A63">
      <w:r w:rsidRPr="008073C2">
        <w:t>This measure is reported to identify how meter data is collected and how often when telemetry is</w:t>
      </w:r>
      <w:r>
        <w:t xml:space="preserve"> </w:t>
      </w:r>
      <w:r w:rsidRPr="008073C2">
        <w:t xml:space="preserve">not being used. </w:t>
      </w:r>
    </w:p>
    <w:p w14:paraId="507E840D" w14:textId="35B0E79C" w:rsidR="00C25A63" w:rsidRDefault="00C25A63" w:rsidP="00C25A63">
      <w:r w:rsidRPr="008073C2">
        <w:t>Data owner/sources: State regulators</w:t>
      </w:r>
    </w:p>
    <w:p w14:paraId="062A7805" w14:textId="77777777" w:rsidR="00881E56" w:rsidRPr="008073C2" w:rsidRDefault="00881E56" w:rsidP="00C25A63"/>
    <w:p w14:paraId="2040159E" w14:textId="04D7EF03" w:rsidR="00881E56" w:rsidRDefault="00881E56" w:rsidP="00881E56">
      <w:pPr>
        <w:pStyle w:val="Heading3"/>
      </w:pPr>
      <w:r>
        <w:t>State overview</w:t>
      </w:r>
    </w:p>
    <w:p w14:paraId="558A1282" w14:textId="77777777" w:rsidR="00881E56" w:rsidRDefault="00881E56" w:rsidP="00881E56">
      <w:r>
        <w:t>The ACT comes from a position of strength in terms of water resource compliance in the Murray-Darling Basin. The overall contribution of ACT non-urban water use within the Murray-Darling Basin context is extremely small and considered low risk to the Basin Plan outcomes. ACT water extraction is also well within sustainable diversion limits and of proportionally low consumptive use compared with other Basin jurisdictions. All licensed water extraction points in the ACT are metered. The volume of water used by each licence holder is analysed annually via an accounting process and compliance with licence conditions (supply of data, amount of water used) is also assessed routinely by the ACT authority. Information provided by licence holders is validated by an inspection program that aims to check water meters at least once every three years and more frequently for higher risk water users. The ACT is committed to ensuring all water meters comply with the National Framework for Non-urban Water Metering and is currently developing its own metering policy to further strengthen its compliance work. Public consultation on the draft policy is complete and the policy is being finalised for government approval. The policy is expected to commence on 1 December 2023.</w:t>
      </w:r>
    </w:p>
    <w:p w14:paraId="2CF4E357" w14:textId="77777777" w:rsidR="00881E56" w:rsidRDefault="00881E56" w:rsidP="00881E56"/>
    <w:p w14:paraId="49C2397A" w14:textId="77777777" w:rsidR="00881E56" w:rsidRDefault="00881E56" w:rsidP="00881E56"/>
    <w:p w14:paraId="6DE41759" w14:textId="77777777" w:rsidR="00B74B55" w:rsidRDefault="00881E56" w:rsidP="00881E56">
      <w:r>
        <w:t>The IGWC makes no claim as to the accuracy of the data shown on this page. Data is collated and supplied directly from the states.</w:t>
      </w:r>
    </w:p>
    <w:p w14:paraId="3276674B" w14:textId="77777777" w:rsidR="00B74B55" w:rsidRDefault="00B74B55">
      <w:pPr>
        <w:spacing w:after="0"/>
      </w:pPr>
      <w:r>
        <w:br w:type="page"/>
      </w:r>
    </w:p>
    <w:p w14:paraId="2D2003E1" w14:textId="77777777" w:rsidR="00854767" w:rsidRPr="00452C5C" w:rsidRDefault="00854767" w:rsidP="0076208D">
      <w:pPr>
        <w:pStyle w:val="Heading2"/>
      </w:pPr>
      <w:r w:rsidRPr="00452C5C">
        <w:lastRenderedPageBreak/>
        <w:t>Murray-Darling Basin – New South Wales Metering Report Card</w:t>
      </w:r>
    </w:p>
    <w:p w14:paraId="568E1166" w14:textId="77777777" w:rsidR="00510C5D" w:rsidRPr="00297248" w:rsidRDefault="00510C5D" w:rsidP="00510C5D">
      <w:pPr>
        <w:pStyle w:val="Heading3"/>
      </w:pPr>
      <w:r w:rsidRPr="00297248">
        <w:t xml:space="preserve">1 Jul 2021 – 30 Jun 2022. Progress from 2020 – 21 metering report </w:t>
      </w:r>
      <w:proofErr w:type="gramStart"/>
      <w:r w:rsidRPr="00297248">
        <w:t>card</w:t>
      </w:r>
      <w:proofErr w:type="gramEnd"/>
      <w:r w:rsidRPr="00297248">
        <w:t xml:space="preserve"> indicated in brackets</w:t>
      </w:r>
    </w:p>
    <w:p w14:paraId="233E610E" w14:textId="059A769E" w:rsidR="00510C5D" w:rsidRPr="00592481" w:rsidRDefault="00510C5D" w:rsidP="00510C5D">
      <w:pPr>
        <w:pStyle w:val="Heading2"/>
        <w:rPr>
          <w:w w:val="110"/>
          <w:sz w:val="24"/>
          <w:szCs w:val="16"/>
        </w:rPr>
      </w:pPr>
      <w:r w:rsidRPr="00A27456">
        <w:rPr>
          <w:sz w:val="24"/>
          <w:szCs w:val="16"/>
        </w:rPr>
        <w:t xml:space="preserve">Table </w:t>
      </w:r>
      <w:r w:rsidR="00F666A0">
        <w:rPr>
          <w:sz w:val="24"/>
          <w:szCs w:val="16"/>
        </w:rPr>
        <w:t>12</w:t>
      </w:r>
      <w:r w:rsidRPr="00A27456">
        <w:rPr>
          <w:sz w:val="24"/>
          <w:szCs w:val="16"/>
        </w:rPr>
        <w:t xml:space="preserve">. </w:t>
      </w:r>
      <w:r w:rsidRPr="00C72EA6">
        <w:rPr>
          <w:w w:val="110"/>
          <w:sz w:val="24"/>
          <w:szCs w:val="16"/>
        </w:rPr>
        <w:t xml:space="preserve">Percentage of water take metered in </w:t>
      </w:r>
      <w:proofErr w:type="gramStart"/>
      <w:r w:rsidR="00F666A0">
        <w:rPr>
          <w:w w:val="110"/>
          <w:sz w:val="24"/>
          <w:szCs w:val="16"/>
        </w:rPr>
        <w:t>NSW</w:t>
      </w:r>
      <w:proofErr w:type="gramEnd"/>
    </w:p>
    <w:tbl>
      <w:tblPr>
        <w:tblStyle w:val="TableGridLight"/>
        <w:tblW w:w="6237" w:type="dxa"/>
        <w:tblLook w:val="04A0" w:firstRow="1" w:lastRow="0" w:firstColumn="1" w:lastColumn="0" w:noHBand="0" w:noVBand="1"/>
      </w:tblPr>
      <w:tblGrid>
        <w:gridCol w:w="3544"/>
        <w:gridCol w:w="2693"/>
      </w:tblGrid>
      <w:tr w:rsidR="00F666A0" w14:paraId="3DD27182" w14:textId="77777777" w:rsidTr="00F666A0">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2B1E1840" w14:textId="003FC876" w:rsidR="00F666A0" w:rsidRDefault="00F666A0" w:rsidP="00F666A0">
            <w:pPr>
              <w:pStyle w:val="TableText"/>
            </w:pPr>
            <w:r>
              <w:t xml:space="preserve">Metered water </w:t>
            </w:r>
            <w:proofErr w:type="gramStart"/>
            <w:r>
              <w:t>take</w:t>
            </w:r>
            <w:proofErr w:type="gramEnd"/>
          </w:p>
        </w:tc>
        <w:tc>
          <w:tcPr>
            <w:tcW w:w="2693" w:type="dxa"/>
            <w:shd w:val="clear" w:color="auto" w:fill="auto"/>
          </w:tcPr>
          <w:p w14:paraId="3C9511A3" w14:textId="76EA74F8" w:rsidR="00F666A0" w:rsidRDefault="00F666A0" w:rsidP="00F666A0">
            <w:pPr>
              <w:pStyle w:val="TableText"/>
              <w:rPr>
                <w:w w:val="115"/>
              </w:rPr>
            </w:pPr>
            <w:r>
              <w:t>81.8% (+3.4%)</w:t>
            </w:r>
          </w:p>
        </w:tc>
      </w:tr>
      <w:tr w:rsidR="00F666A0" w14:paraId="555BC8FB" w14:textId="77777777" w:rsidTr="00F666A0">
        <w:tc>
          <w:tcPr>
            <w:tcW w:w="3544" w:type="dxa"/>
          </w:tcPr>
          <w:p w14:paraId="4D595328" w14:textId="6EE21B64" w:rsidR="00F666A0" w:rsidRDefault="00F666A0" w:rsidP="00F666A0">
            <w:pPr>
              <w:pStyle w:val="TableText"/>
            </w:pPr>
            <w:r>
              <w:t xml:space="preserve">Exempt water </w:t>
            </w:r>
            <w:proofErr w:type="gramStart"/>
            <w:r>
              <w:t>take</w:t>
            </w:r>
            <w:proofErr w:type="gramEnd"/>
          </w:p>
        </w:tc>
        <w:tc>
          <w:tcPr>
            <w:tcW w:w="2693" w:type="dxa"/>
          </w:tcPr>
          <w:p w14:paraId="76D7F195" w14:textId="3B3BB3FC" w:rsidR="00F666A0" w:rsidRDefault="00F666A0" w:rsidP="00F666A0">
            <w:pPr>
              <w:pStyle w:val="TableText"/>
              <w:rPr>
                <w:w w:val="115"/>
              </w:rPr>
            </w:pPr>
            <w:r>
              <w:t>4.3%</w:t>
            </w:r>
          </w:p>
        </w:tc>
      </w:tr>
      <w:tr w:rsidR="00F666A0" w14:paraId="2ABD0C25" w14:textId="77777777" w:rsidTr="00F666A0">
        <w:tc>
          <w:tcPr>
            <w:tcW w:w="3544" w:type="dxa"/>
          </w:tcPr>
          <w:p w14:paraId="3D3A15BB" w14:textId="1E5263FD" w:rsidR="00F666A0" w:rsidRDefault="00F666A0" w:rsidP="00F666A0">
            <w:pPr>
              <w:pStyle w:val="TableText"/>
            </w:pPr>
            <w:r>
              <w:t xml:space="preserve">Not yet metered water </w:t>
            </w:r>
            <w:proofErr w:type="gramStart"/>
            <w:r>
              <w:t>take</w:t>
            </w:r>
            <w:proofErr w:type="gramEnd"/>
          </w:p>
        </w:tc>
        <w:tc>
          <w:tcPr>
            <w:tcW w:w="2693" w:type="dxa"/>
          </w:tcPr>
          <w:p w14:paraId="78608AE3" w14:textId="017ECA04" w:rsidR="00F666A0" w:rsidRDefault="00F666A0" w:rsidP="00F666A0">
            <w:pPr>
              <w:pStyle w:val="TableText"/>
              <w:rPr>
                <w:w w:val="115"/>
              </w:rPr>
            </w:pPr>
            <w:r>
              <w:t>13.9%</w:t>
            </w:r>
          </w:p>
        </w:tc>
      </w:tr>
    </w:tbl>
    <w:p w14:paraId="3187ADA7" w14:textId="77777777" w:rsidR="00510C5D" w:rsidRDefault="00510C5D" w:rsidP="00510C5D">
      <w:pPr>
        <w:spacing w:after="0"/>
      </w:pPr>
    </w:p>
    <w:p w14:paraId="3D1D9AB6" w14:textId="77777777" w:rsidR="00510C5D" w:rsidRDefault="00510C5D" w:rsidP="00510C5D">
      <w:pPr>
        <w:spacing w:after="0"/>
      </w:pPr>
      <w:r w:rsidRPr="004174D9">
        <w:t xml:space="preserve">This measure is reported to highlight percentage of </w:t>
      </w:r>
      <w:proofErr w:type="spellStart"/>
      <w:r w:rsidRPr="004174D9">
        <w:t>meterable</w:t>
      </w:r>
      <w:proofErr w:type="spellEnd"/>
      <w:r w:rsidRPr="004174D9">
        <w:t xml:space="preserve"> water take across the Murray-Darling Basin by each State that is metered. </w:t>
      </w:r>
    </w:p>
    <w:p w14:paraId="33C5170D" w14:textId="77777777" w:rsidR="00510C5D" w:rsidRDefault="00510C5D" w:rsidP="00510C5D">
      <w:pPr>
        <w:spacing w:after="0"/>
      </w:pPr>
      <w:r w:rsidRPr="004174D9">
        <w:t>Data owner/sources: State regulators.</w:t>
      </w:r>
    </w:p>
    <w:p w14:paraId="2B122CE2" w14:textId="77777777" w:rsidR="00510C5D" w:rsidRDefault="00510C5D" w:rsidP="00510C5D">
      <w:pPr>
        <w:spacing w:after="0"/>
      </w:pPr>
    </w:p>
    <w:p w14:paraId="7350A7CD" w14:textId="5B380827" w:rsidR="00510C5D" w:rsidRPr="00592481" w:rsidRDefault="00510C5D" w:rsidP="00510C5D">
      <w:pPr>
        <w:pStyle w:val="Heading2"/>
        <w:rPr>
          <w:w w:val="110"/>
          <w:sz w:val="24"/>
          <w:szCs w:val="16"/>
        </w:rPr>
      </w:pPr>
      <w:r w:rsidRPr="00A27456">
        <w:rPr>
          <w:sz w:val="24"/>
          <w:szCs w:val="16"/>
        </w:rPr>
        <w:t xml:space="preserve">Table </w:t>
      </w:r>
      <w:r>
        <w:rPr>
          <w:sz w:val="24"/>
          <w:szCs w:val="16"/>
        </w:rPr>
        <w:t>1</w:t>
      </w:r>
      <w:r w:rsidR="003932DD">
        <w:rPr>
          <w:sz w:val="24"/>
          <w:szCs w:val="16"/>
        </w:rPr>
        <w:t>3</w:t>
      </w:r>
      <w:r w:rsidRPr="00A27456">
        <w:rPr>
          <w:sz w:val="24"/>
          <w:szCs w:val="16"/>
        </w:rPr>
        <w:t xml:space="preserve">. </w:t>
      </w:r>
      <w:r w:rsidRPr="00AA6D67">
        <w:rPr>
          <w:w w:val="110"/>
          <w:sz w:val="24"/>
          <w:szCs w:val="16"/>
        </w:rPr>
        <w:t xml:space="preserve">Metering accuracy in </w:t>
      </w:r>
      <w:r w:rsidR="003932DD">
        <w:rPr>
          <w:w w:val="110"/>
          <w:sz w:val="24"/>
          <w:szCs w:val="16"/>
        </w:rPr>
        <w:t>NSW</w:t>
      </w:r>
    </w:p>
    <w:tbl>
      <w:tblPr>
        <w:tblStyle w:val="TableGridLight"/>
        <w:tblW w:w="6237" w:type="dxa"/>
        <w:tblLook w:val="04A0" w:firstRow="1" w:lastRow="0" w:firstColumn="1" w:lastColumn="0" w:noHBand="0" w:noVBand="1"/>
      </w:tblPr>
      <w:tblGrid>
        <w:gridCol w:w="3544"/>
        <w:gridCol w:w="2693"/>
      </w:tblGrid>
      <w:tr w:rsidR="003932DD" w14:paraId="28AD4689" w14:textId="77777777" w:rsidTr="00CF13B8">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78424B2C" w14:textId="3854E0B9" w:rsidR="003932DD" w:rsidRDefault="003932DD" w:rsidP="003932DD">
            <w:pPr>
              <w:pStyle w:val="TableText"/>
            </w:pPr>
            <w:r>
              <w:t>AS4747 meters</w:t>
            </w:r>
          </w:p>
        </w:tc>
        <w:tc>
          <w:tcPr>
            <w:tcW w:w="2693" w:type="dxa"/>
            <w:shd w:val="clear" w:color="auto" w:fill="auto"/>
          </w:tcPr>
          <w:p w14:paraId="224ABFD0" w14:textId="7FA8274D" w:rsidR="003932DD" w:rsidRDefault="003932DD" w:rsidP="003932DD">
            <w:pPr>
              <w:pStyle w:val="TableText"/>
              <w:rPr>
                <w:w w:val="115"/>
              </w:rPr>
            </w:pPr>
            <w:r>
              <w:t>23.7% (+16.7%)</w:t>
            </w:r>
          </w:p>
        </w:tc>
      </w:tr>
      <w:tr w:rsidR="003932DD" w14:paraId="294821F7" w14:textId="77777777" w:rsidTr="003932DD">
        <w:tc>
          <w:tcPr>
            <w:tcW w:w="3544" w:type="dxa"/>
          </w:tcPr>
          <w:p w14:paraId="1A77C38C" w14:textId="0D29551B" w:rsidR="003932DD" w:rsidRDefault="003932DD" w:rsidP="003932DD">
            <w:pPr>
              <w:pStyle w:val="TableText"/>
            </w:pPr>
            <w:r>
              <w:t>Grandfathered meters</w:t>
            </w:r>
          </w:p>
        </w:tc>
        <w:tc>
          <w:tcPr>
            <w:tcW w:w="2693" w:type="dxa"/>
          </w:tcPr>
          <w:p w14:paraId="7F959A29" w14:textId="308264C7" w:rsidR="003932DD" w:rsidRDefault="003932DD" w:rsidP="003932DD">
            <w:pPr>
              <w:pStyle w:val="TableText"/>
              <w:rPr>
                <w:w w:val="115"/>
              </w:rPr>
            </w:pPr>
            <w:r>
              <w:t>5.3% (+2.3%)</w:t>
            </w:r>
          </w:p>
        </w:tc>
      </w:tr>
      <w:tr w:rsidR="003932DD" w14:paraId="0A75A47E" w14:textId="77777777" w:rsidTr="003932DD">
        <w:tc>
          <w:tcPr>
            <w:tcW w:w="3544" w:type="dxa"/>
          </w:tcPr>
          <w:p w14:paraId="4F4BB900" w14:textId="461820F8" w:rsidR="003932DD" w:rsidRDefault="003932DD" w:rsidP="003932DD">
            <w:pPr>
              <w:pStyle w:val="TableText"/>
            </w:pPr>
            <w:r>
              <w:t>All other meters</w:t>
            </w:r>
          </w:p>
        </w:tc>
        <w:tc>
          <w:tcPr>
            <w:tcW w:w="2693" w:type="dxa"/>
          </w:tcPr>
          <w:p w14:paraId="27051EA7" w14:textId="2410BA76" w:rsidR="003932DD" w:rsidRDefault="003932DD" w:rsidP="003932DD">
            <w:pPr>
              <w:pStyle w:val="TableText"/>
              <w:rPr>
                <w:w w:val="115"/>
              </w:rPr>
            </w:pPr>
            <w:r>
              <w:t>71%</w:t>
            </w:r>
          </w:p>
        </w:tc>
      </w:tr>
    </w:tbl>
    <w:p w14:paraId="5E34359C" w14:textId="77777777" w:rsidR="00510C5D" w:rsidRDefault="00510C5D" w:rsidP="00510C5D">
      <w:pPr>
        <w:spacing w:after="0"/>
      </w:pPr>
    </w:p>
    <w:p w14:paraId="42A2F4A4" w14:textId="77777777" w:rsidR="00B755A7" w:rsidRDefault="00B755A7" w:rsidP="00B755A7">
      <w:r>
        <w:t xml:space="preserve">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 </w:t>
      </w:r>
    </w:p>
    <w:p w14:paraId="7B647AD6" w14:textId="3F23272E" w:rsidR="00B755A7" w:rsidRDefault="00B755A7" w:rsidP="00B755A7">
      <w:r>
        <w:t>Data owner/sources: State regulators.</w:t>
      </w:r>
    </w:p>
    <w:p w14:paraId="0D5BBB4F" w14:textId="4D642F1B" w:rsidR="00510C5D" w:rsidRPr="00592481" w:rsidRDefault="00510C5D" w:rsidP="00510C5D">
      <w:pPr>
        <w:pStyle w:val="Heading2"/>
        <w:rPr>
          <w:w w:val="110"/>
          <w:sz w:val="24"/>
          <w:szCs w:val="16"/>
        </w:rPr>
      </w:pPr>
      <w:r w:rsidRPr="00A27456">
        <w:rPr>
          <w:sz w:val="24"/>
          <w:szCs w:val="16"/>
        </w:rPr>
        <w:t xml:space="preserve">Table </w:t>
      </w:r>
      <w:r>
        <w:rPr>
          <w:sz w:val="24"/>
          <w:szCs w:val="16"/>
        </w:rPr>
        <w:t>1</w:t>
      </w:r>
      <w:r w:rsidR="00B755A7">
        <w:rPr>
          <w:sz w:val="24"/>
          <w:szCs w:val="16"/>
        </w:rPr>
        <w:t>4</w:t>
      </w:r>
      <w:r w:rsidRPr="00A27456">
        <w:rPr>
          <w:sz w:val="24"/>
          <w:szCs w:val="16"/>
        </w:rPr>
        <w:t xml:space="preserve">. </w:t>
      </w:r>
      <w:r w:rsidR="005B3714" w:rsidRPr="005B3714">
        <w:rPr>
          <w:w w:val="110"/>
          <w:sz w:val="24"/>
          <w:szCs w:val="16"/>
        </w:rPr>
        <w:t xml:space="preserve">Percentage of entitlement volume </w:t>
      </w:r>
      <w:proofErr w:type="gramStart"/>
      <w:r w:rsidR="005B3714" w:rsidRPr="005B3714">
        <w:rPr>
          <w:w w:val="110"/>
          <w:sz w:val="24"/>
          <w:szCs w:val="16"/>
        </w:rPr>
        <w:t>metered</w:t>
      </w:r>
      <w:proofErr w:type="gramEnd"/>
    </w:p>
    <w:tbl>
      <w:tblPr>
        <w:tblStyle w:val="TableGridLight"/>
        <w:tblW w:w="6237" w:type="dxa"/>
        <w:tblLook w:val="04A0" w:firstRow="1" w:lastRow="0" w:firstColumn="1" w:lastColumn="0" w:noHBand="0" w:noVBand="1"/>
      </w:tblPr>
      <w:tblGrid>
        <w:gridCol w:w="4395"/>
        <w:gridCol w:w="1842"/>
      </w:tblGrid>
      <w:tr w:rsidR="00A033C8" w14:paraId="030EE8FC" w14:textId="77777777" w:rsidTr="00A033C8">
        <w:trPr>
          <w:cnfStyle w:val="100000000000" w:firstRow="1" w:lastRow="0" w:firstColumn="0" w:lastColumn="0" w:oddVBand="0" w:evenVBand="0" w:oddHBand="0" w:evenHBand="0" w:firstRowFirstColumn="0" w:firstRowLastColumn="0" w:lastRowFirstColumn="0" w:lastRowLastColumn="0"/>
        </w:trPr>
        <w:tc>
          <w:tcPr>
            <w:tcW w:w="4395" w:type="dxa"/>
            <w:shd w:val="clear" w:color="auto" w:fill="auto"/>
          </w:tcPr>
          <w:p w14:paraId="132D8BD6" w14:textId="24CD6DF1" w:rsidR="00A033C8" w:rsidRDefault="00A033C8" w:rsidP="00A033C8">
            <w:r>
              <w:t>Metered entitlement volume</w:t>
            </w:r>
          </w:p>
        </w:tc>
        <w:tc>
          <w:tcPr>
            <w:tcW w:w="1842" w:type="dxa"/>
            <w:shd w:val="clear" w:color="auto" w:fill="auto"/>
          </w:tcPr>
          <w:p w14:paraId="555A44D1" w14:textId="21C92436" w:rsidR="00A033C8" w:rsidRDefault="00A033C8" w:rsidP="00A033C8">
            <w:pPr>
              <w:pStyle w:val="TableText"/>
              <w:rPr>
                <w:w w:val="115"/>
              </w:rPr>
            </w:pPr>
            <w:r>
              <w:t>88.6%</w:t>
            </w:r>
          </w:p>
        </w:tc>
      </w:tr>
      <w:tr w:rsidR="00A033C8" w14:paraId="387F5A72" w14:textId="77777777" w:rsidTr="00A033C8">
        <w:tc>
          <w:tcPr>
            <w:tcW w:w="4395" w:type="dxa"/>
          </w:tcPr>
          <w:p w14:paraId="6E0CC3F7" w14:textId="6B1BE38F" w:rsidR="00A033C8" w:rsidRDefault="00A033C8" w:rsidP="00A033C8">
            <w:r>
              <w:t>Exempt entitlement volume</w:t>
            </w:r>
          </w:p>
        </w:tc>
        <w:tc>
          <w:tcPr>
            <w:tcW w:w="1842" w:type="dxa"/>
          </w:tcPr>
          <w:p w14:paraId="7AC6D251" w14:textId="1E62268E" w:rsidR="00A033C8" w:rsidRDefault="00A033C8" w:rsidP="00A033C8">
            <w:pPr>
              <w:pStyle w:val="TableText"/>
              <w:rPr>
                <w:w w:val="115"/>
              </w:rPr>
            </w:pPr>
            <w:r>
              <w:t>2.8%</w:t>
            </w:r>
          </w:p>
        </w:tc>
      </w:tr>
      <w:tr w:rsidR="00A033C8" w14:paraId="07F95DBB" w14:textId="77777777" w:rsidTr="00A033C8">
        <w:tc>
          <w:tcPr>
            <w:tcW w:w="4395" w:type="dxa"/>
          </w:tcPr>
          <w:p w14:paraId="08BDAC59" w14:textId="31986501" w:rsidR="00A033C8" w:rsidRDefault="00A033C8" w:rsidP="00A033C8">
            <w:pPr>
              <w:pStyle w:val="TableText"/>
            </w:pPr>
            <w:r>
              <w:t>Not yet metered entitlement volume</w:t>
            </w:r>
          </w:p>
        </w:tc>
        <w:tc>
          <w:tcPr>
            <w:tcW w:w="1842" w:type="dxa"/>
          </w:tcPr>
          <w:p w14:paraId="6F897924" w14:textId="2A790FE7" w:rsidR="00A033C8" w:rsidRDefault="00A033C8" w:rsidP="00A033C8">
            <w:pPr>
              <w:pStyle w:val="TableText"/>
              <w:rPr>
                <w:w w:val="115"/>
              </w:rPr>
            </w:pPr>
            <w:r>
              <w:t>8.6%</w:t>
            </w:r>
          </w:p>
        </w:tc>
      </w:tr>
    </w:tbl>
    <w:p w14:paraId="048D87F5" w14:textId="77777777" w:rsidR="00510C5D" w:rsidRDefault="00510C5D" w:rsidP="00510C5D">
      <w:pPr>
        <w:spacing w:after="0"/>
      </w:pPr>
    </w:p>
    <w:p w14:paraId="47AF2F26" w14:textId="77777777" w:rsidR="005E06AA" w:rsidRDefault="005E06AA" w:rsidP="005E06AA">
      <w:r w:rsidRPr="0082648B">
        <w:t>This measure is reported to highlight percentage of entitlement volume across the Murray-Darling Basin by each State that is metered, assuming a 100% utilisation of entitlement. Data provision for this metric was optional by States.</w:t>
      </w:r>
      <w:r>
        <w:t xml:space="preserve"> </w:t>
      </w:r>
    </w:p>
    <w:p w14:paraId="7DA27C77" w14:textId="24B17A57" w:rsidR="005E06AA" w:rsidRDefault="005E06AA" w:rsidP="005E06AA">
      <w:r w:rsidRPr="0082648B">
        <w:t>Data owner/sources: State regulators.</w:t>
      </w:r>
    </w:p>
    <w:p w14:paraId="621E3D36" w14:textId="6D3C877B" w:rsidR="00C815AA" w:rsidRPr="00592481" w:rsidRDefault="00C815AA" w:rsidP="00C815AA">
      <w:pPr>
        <w:pStyle w:val="Heading2"/>
        <w:rPr>
          <w:w w:val="110"/>
          <w:sz w:val="24"/>
          <w:szCs w:val="16"/>
        </w:rPr>
      </w:pPr>
      <w:r w:rsidRPr="00A27456">
        <w:rPr>
          <w:sz w:val="24"/>
          <w:szCs w:val="16"/>
        </w:rPr>
        <w:lastRenderedPageBreak/>
        <w:t xml:space="preserve">Table </w:t>
      </w:r>
      <w:r>
        <w:rPr>
          <w:sz w:val="24"/>
          <w:szCs w:val="16"/>
        </w:rPr>
        <w:t>15</w:t>
      </w:r>
      <w:r w:rsidRPr="00A27456">
        <w:rPr>
          <w:sz w:val="24"/>
          <w:szCs w:val="16"/>
        </w:rPr>
        <w:t xml:space="preserve">. </w:t>
      </w:r>
      <w:r w:rsidRPr="003A269E">
        <w:rPr>
          <w:w w:val="110"/>
          <w:sz w:val="24"/>
          <w:szCs w:val="16"/>
        </w:rPr>
        <w:t>Telemetry coverage</w:t>
      </w:r>
    </w:p>
    <w:tbl>
      <w:tblPr>
        <w:tblStyle w:val="TableGridLight"/>
        <w:tblW w:w="9639" w:type="dxa"/>
        <w:tblLook w:val="04A0" w:firstRow="1" w:lastRow="0" w:firstColumn="1" w:lastColumn="0" w:noHBand="0" w:noVBand="1"/>
      </w:tblPr>
      <w:tblGrid>
        <w:gridCol w:w="7938"/>
        <w:gridCol w:w="1701"/>
      </w:tblGrid>
      <w:tr w:rsidR="00240062" w14:paraId="1620406E" w14:textId="77777777" w:rsidTr="00D33744">
        <w:trPr>
          <w:cnfStyle w:val="100000000000" w:firstRow="1" w:lastRow="0" w:firstColumn="0" w:lastColumn="0" w:oddVBand="0" w:evenVBand="0" w:oddHBand="0" w:evenHBand="0" w:firstRowFirstColumn="0" w:firstRowLastColumn="0" w:lastRowFirstColumn="0" w:lastRowLastColumn="0"/>
        </w:trPr>
        <w:tc>
          <w:tcPr>
            <w:tcW w:w="7938" w:type="dxa"/>
            <w:shd w:val="clear" w:color="auto" w:fill="auto"/>
          </w:tcPr>
          <w:p w14:paraId="3D1F3C40" w14:textId="1C11EECD" w:rsidR="00240062" w:rsidRDefault="00240062" w:rsidP="00240062">
            <w:r>
              <w:t>Meter % with telemetry connected to the regulator’s data collection system</w:t>
            </w:r>
          </w:p>
        </w:tc>
        <w:tc>
          <w:tcPr>
            <w:tcW w:w="1701" w:type="dxa"/>
            <w:shd w:val="clear" w:color="auto" w:fill="auto"/>
          </w:tcPr>
          <w:p w14:paraId="725731D9" w14:textId="5B2D7159" w:rsidR="00240062" w:rsidRDefault="00240062" w:rsidP="00240062">
            <w:pPr>
              <w:pStyle w:val="TableText"/>
              <w:rPr>
                <w:w w:val="115"/>
              </w:rPr>
            </w:pPr>
            <w:r>
              <w:t>6.8% (+6%)</w:t>
            </w:r>
          </w:p>
        </w:tc>
      </w:tr>
      <w:tr w:rsidR="00240062" w14:paraId="07433E48" w14:textId="77777777" w:rsidTr="00D33744">
        <w:tc>
          <w:tcPr>
            <w:tcW w:w="7938" w:type="dxa"/>
          </w:tcPr>
          <w:p w14:paraId="6E547355" w14:textId="40CF0C7B" w:rsidR="00240062" w:rsidRDefault="00240062" w:rsidP="00240062">
            <w:r>
              <w:t>Meter % required to have telemetry connected to the regulator’s data collection system, but which are not connected</w:t>
            </w:r>
          </w:p>
        </w:tc>
        <w:tc>
          <w:tcPr>
            <w:tcW w:w="1701" w:type="dxa"/>
          </w:tcPr>
          <w:p w14:paraId="38D966A3" w14:textId="15C9963C" w:rsidR="00240062" w:rsidRDefault="00240062" w:rsidP="00240062">
            <w:pPr>
              <w:pStyle w:val="TableText"/>
              <w:rPr>
                <w:w w:val="115"/>
              </w:rPr>
            </w:pPr>
            <w:r>
              <w:t>18.2%</w:t>
            </w:r>
          </w:p>
        </w:tc>
      </w:tr>
      <w:tr w:rsidR="00240062" w14:paraId="6CDB973B" w14:textId="77777777" w:rsidTr="00D33744">
        <w:tc>
          <w:tcPr>
            <w:tcW w:w="7938" w:type="dxa"/>
          </w:tcPr>
          <w:p w14:paraId="39B8F313" w14:textId="03E45ADD" w:rsidR="00240062" w:rsidRDefault="00240062" w:rsidP="00240062">
            <w:pPr>
              <w:pStyle w:val="TableText"/>
            </w:pPr>
            <w:r>
              <w:t>Meter % with telemetry not required</w:t>
            </w:r>
          </w:p>
        </w:tc>
        <w:tc>
          <w:tcPr>
            <w:tcW w:w="1701" w:type="dxa"/>
          </w:tcPr>
          <w:p w14:paraId="0751EC1C" w14:textId="126F2311" w:rsidR="00240062" w:rsidRDefault="00240062" w:rsidP="00240062">
            <w:pPr>
              <w:pStyle w:val="TableText"/>
              <w:rPr>
                <w:w w:val="115"/>
              </w:rPr>
            </w:pPr>
            <w:r>
              <w:t>75%</w:t>
            </w:r>
          </w:p>
        </w:tc>
      </w:tr>
    </w:tbl>
    <w:p w14:paraId="24A0E0B6" w14:textId="77777777" w:rsidR="00C006F5" w:rsidRDefault="00C006F5" w:rsidP="00C006F5"/>
    <w:p w14:paraId="0845BB7D" w14:textId="77BBC1CF" w:rsidR="00C006F5" w:rsidRDefault="00C006F5" w:rsidP="00520993">
      <w:r>
        <w:t xml:space="preserve">This measure is reported to identify the percentage of meters with telemetry connected to the regulator’s data system. </w:t>
      </w:r>
      <w:r w:rsidR="00520993">
        <w:br/>
      </w:r>
      <w:r>
        <w:t>Data owner/sources: State regulators</w:t>
      </w:r>
    </w:p>
    <w:p w14:paraId="576CFEA8" w14:textId="77777777" w:rsidR="00510C5D" w:rsidRDefault="00510C5D" w:rsidP="00510C5D">
      <w:pPr>
        <w:spacing w:after="0"/>
      </w:pPr>
    </w:p>
    <w:p w14:paraId="0B7246BB" w14:textId="77777777" w:rsidR="00510C5D" w:rsidRDefault="00510C5D" w:rsidP="0076208D">
      <w:pPr>
        <w:pStyle w:val="Heading3"/>
      </w:pPr>
      <w:r w:rsidRPr="00184D6A">
        <w:t xml:space="preserve">How is meter data collected where telemetry is not </w:t>
      </w:r>
      <w:proofErr w:type="gramStart"/>
      <w:r w:rsidRPr="00184D6A">
        <w:t>used</w:t>
      </w:r>
      <w:proofErr w:type="gramEnd"/>
    </w:p>
    <w:p w14:paraId="116C5C0E" w14:textId="77777777" w:rsidR="001070DE" w:rsidRDefault="001070DE" w:rsidP="001070DE">
      <w:r>
        <w:t xml:space="preserve">Approval holders submit meter reads to </w:t>
      </w:r>
      <w:proofErr w:type="spellStart"/>
      <w:r>
        <w:t>WaterNSW</w:t>
      </w:r>
      <w:proofErr w:type="spellEnd"/>
      <w:r>
        <w:t xml:space="preserve"> as per the schedule below. When submitting meter reads, if no water is taken that also needs to be declared. Non-telemetered meters have their data loggers annually downloaded by </w:t>
      </w:r>
      <w:proofErr w:type="spellStart"/>
      <w:r>
        <w:t>WaterNSW</w:t>
      </w:r>
      <w:proofErr w:type="spellEnd"/>
      <w:r>
        <w:t>. Logbooks with meter records must also be kept for five years.</w:t>
      </w:r>
    </w:p>
    <w:p w14:paraId="2C278570" w14:textId="2F22D606" w:rsidR="0035562A" w:rsidRPr="001E51D7" w:rsidRDefault="0035562A" w:rsidP="0035562A">
      <w:pPr>
        <w:pStyle w:val="Heading2"/>
        <w:rPr>
          <w:bCs/>
          <w:w w:val="110"/>
          <w:sz w:val="24"/>
          <w:szCs w:val="16"/>
          <w:lang w:val="en-US"/>
        </w:rPr>
      </w:pPr>
      <w:r w:rsidRPr="00A27456">
        <w:rPr>
          <w:sz w:val="24"/>
          <w:szCs w:val="16"/>
        </w:rPr>
        <w:t xml:space="preserve">Table </w:t>
      </w:r>
      <w:r>
        <w:rPr>
          <w:sz w:val="24"/>
          <w:szCs w:val="16"/>
        </w:rPr>
        <w:t>16</w:t>
      </w:r>
      <w:r w:rsidRPr="00A27456">
        <w:rPr>
          <w:sz w:val="24"/>
          <w:szCs w:val="16"/>
        </w:rPr>
        <w:t xml:space="preserve">. </w:t>
      </w:r>
    </w:p>
    <w:tbl>
      <w:tblPr>
        <w:tblStyle w:val="TableGridLight"/>
        <w:tblW w:w="9639" w:type="dxa"/>
        <w:tblLook w:val="04A0" w:firstRow="1" w:lastRow="0" w:firstColumn="1" w:lastColumn="0" w:noHBand="0" w:noVBand="1"/>
      </w:tblPr>
      <w:tblGrid>
        <w:gridCol w:w="1843"/>
        <w:gridCol w:w="2545"/>
        <w:gridCol w:w="2983"/>
        <w:gridCol w:w="2127"/>
        <w:gridCol w:w="141"/>
      </w:tblGrid>
      <w:tr w:rsidR="0035562A" w14:paraId="332024A9" w14:textId="77777777" w:rsidTr="0035562A">
        <w:trPr>
          <w:cnfStyle w:val="100000000000" w:firstRow="1" w:lastRow="0" w:firstColumn="0" w:lastColumn="0" w:oddVBand="0" w:evenVBand="0" w:oddHBand="0" w:evenHBand="0" w:firstRowFirstColumn="0" w:firstRowLastColumn="0" w:lastRowFirstColumn="0" w:lastRowLastColumn="0"/>
        </w:trPr>
        <w:tc>
          <w:tcPr>
            <w:tcW w:w="1843" w:type="dxa"/>
          </w:tcPr>
          <w:p w14:paraId="0336F674" w14:textId="09DDA251" w:rsidR="0035562A" w:rsidRDefault="0035562A" w:rsidP="0035562A">
            <w:pPr>
              <w:pStyle w:val="TableHeader"/>
            </w:pPr>
          </w:p>
        </w:tc>
        <w:tc>
          <w:tcPr>
            <w:tcW w:w="2545" w:type="dxa"/>
          </w:tcPr>
          <w:p w14:paraId="6E996EAB" w14:textId="0541A1E4" w:rsidR="0035562A" w:rsidRPr="00D209F3" w:rsidRDefault="0035562A" w:rsidP="0035562A">
            <w:pPr>
              <w:pStyle w:val="TableHeader"/>
            </w:pPr>
            <w:r w:rsidRPr="00F424D1">
              <w:t>Recording frequency</w:t>
            </w:r>
          </w:p>
        </w:tc>
        <w:tc>
          <w:tcPr>
            <w:tcW w:w="2983" w:type="dxa"/>
          </w:tcPr>
          <w:p w14:paraId="0F378E9D" w14:textId="2471A5C2" w:rsidR="0035562A" w:rsidRPr="00D209F3" w:rsidRDefault="0035562A" w:rsidP="0035562A">
            <w:pPr>
              <w:pStyle w:val="TableHeader"/>
              <w:rPr>
                <w:bCs/>
              </w:rPr>
            </w:pPr>
            <w:r w:rsidRPr="00F424D1">
              <w:t>Report monthly</w:t>
            </w:r>
          </w:p>
        </w:tc>
        <w:tc>
          <w:tcPr>
            <w:tcW w:w="2268" w:type="dxa"/>
            <w:gridSpan w:val="2"/>
          </w:tcPr>
          <w:p w14:paraId="3E829879" w14:textId="36F0CF9B" w:rsidR="0035562A" w:rsidRPr="00D209F3" w:rsidRDefault="0035562A" w:rsidP="0035562A">
            <w:pPr>
              <w:pStyle w:val="TableHeader"/>
              <w:rPr>
                <w:bCs/>
              </w:rPr>
            </w:pPr>
            <w:r w:rsidRPr="00F424D1">
              <w:t>Report annually</w:t>
            </w:r>
          </w:p>
        </w:tc>
      </w:tr>
      <w:tr w:rsidR="0035562A" w14:paraId="57AE9F31" w14:textId="77777777" w:rsidTr="0035562A">
        <w:trPr>
          <w:gridAfter w:val="1"/>
          <w:wAfter w:w="141" w:type="dxa"/>
        </w:trPr>
        <w:tc>
          <w:tcPr>
            <w:tcW w:w="1843" w:type="dxa"/>
          </w:tcPr>
          <w:p w14:paraId="31F6882C" w14:textId="5BC1CFB3" w:rsidR="0035562A" w:rsidRDefault="0035562A" w:rsidP="0035562A">
            <w:r w:rsidRPr="00F424D1">
              <w:t>Works required to</w:t>
            </w:r>
            <w:r>
              <w:t xml:space="preserve"> </w:t>
            </w:r>
            <w:r w:rsidRPr="00F424D1">
              <w:t>meter before the</w:t>
            </w:r>
            <w:r>
              <w:t xml:space="preserve"> </w:t>
            </w:r>
            <w:r w:rsidRPr="00F424D1">
              <w:t>metering reform</w:t>
            </w:r>
            <w:r>
              <w:t xml:space="preserve"> </w:t>
            </w:r>
            <w:r w:rsidRPr="00F424D1">
              <w:t>compliance date</w:t>
            </w:r>
          </w:p>
        </w:tc>
        <w:tc>
          <w:tcPr>
            <w:tcW w:w="2545" w:type="dxa"/>
          </w:tcPr>
          <w:p w14:paraId="59D2C60B" w14:textId="345A4F7A" w:rsidR="0035562A" w:rsidRDefault="0035562A" w:rsidP="009845CD">
            <w:r w:rsidRPr="00F424D1">
              <w:t>The water user manually records</w:t>
            </w:r>
            <w:r w:rsidR="009845CD">
              <w:t xml:space="preserve"> </w:t>
            </w:r>
            <w:r w:rsidRPr="00F424D1">
              <w:t>licensed water take in a logbook</w:t>
            </w:r>
            <w:r w:rsidR="009845CD">
              <w:t xml:space="preserve"> </w:t>
            </w:r>
            <w:r w:rsidRPr="00F424D1">
              <w:t>each time water is taken.</w:t>
            </w:r>
            <w:r w:rsidR="009845CD">
              <w:t xml:space="preserve"> </w:t>
            </w:r>
            <w:r w:rsidRPr="00F424D1">
              <w:t>Some exemptions apply in some</w:t>
            </w:r>
            <w:r w:rsidR="009845CD">
              <w:t xml:space="preserve"> </w:t>
            </w:r>
            <w:r w:rsidRPr="00F424D1">
              <w:t>areas where an operational</w:t>
            </w:r>
            <w:r w:rsidR="009845CD">
              <w:t xml:space="preserve"> </w:t>
            </w:r>
            <w:r w:rsidRPr="00F424D1">
              <w:t>meter and data logger is installed.</w:t>
            </w:r>
          </w:p>
        </w:tc>
        <w:tc>
          <w:tcPr>
            <w:tcW w:w="2983" w:type="dxa"/>
          </w:tcPr>
          <w:p w14:paraId="06046778" w14:textId="5F86DB22" w:rsidR="0035562A" w:rsidRDefault="0035562A" w:rsidP="0035562A">
            <w:pPr>
              <w:pStyle w:val="TableText"/>
            </w:pPr>
            <w:r w:rsidRPr="00F424D1">
              <w:t>N/A</w:t>
            </w:r>
          </w:p>
        </w:tc>
        <w:tc>
          <w:tcPr>
            <w:tcW w:w="2127" w:type="dxa"/>
          </w:tcPr>
          <w:p w14:paraId="72022767" w14:textId="02AB8531" w:rsidR="0035562A" w:rsidRDefault="0035562A" w:rsidP="009845CD">
            <w:proofErr w:type="spellStart"/>
            <w:r w:rsidRPr="00F424D1">
              <w:t>WaterNSW</w:t>
            </w:r>
            <w:proofErr w:type="spellEnd"/>
            <w:r w:rsidRPr="00F424D1">
              <w:t xml:space="preserve"> reads</w:t>
            </w:r>
            <w:r w:rsidR="009845CD">
              <w:t xml:space="preserve"> </w:t>
            </w:r>
            <w:r w:rsidRPr="00F424D1">
              <w:t>the meter at least</w:t>
            </w:r>
            <w:r w:rsidR="009845CD">
              <w:t xml:space="preserve"> </w:t>
            </w:r>
            <w:r w:rsidRPr="00F424D1">
              <w:t>annually (and in some</w:t>
            </w:r>
            <w:r w:rsidR="009845CD">
              <w:t xml:space="preserve"> </w:t>
            </w:r>
            <w:r w:rsidRPr="00F424D1">
              <w:t>cases meters are read</w:t>
            </w:r>
            <w:r w:rsidR="009845CD">
              <w:t xml:space="preserve"> </w:t>
            </w:r>
            <w:r w:rsidRPr="00F424D1">
              <w:t>quarterly, such as for</w:t>
            </w:r>
            <w:r w:rsidR="009845CD">
              <w:t xml:space="preserve"> </w:t>
            </w:r>
            <w:r w:rsidRPr="00F424D1">
              <w:t>regulated rivers)</w:t>
            </w:r>
          </w:p>
        </w:tc>
      </w:tr>
      <w:tr w:rsidR="0035562A" w14:paraId="7AFDCF7E" w14:textId="77777777" w:rsidTr="0035562A">
        <w:trPr>
          <w:gridAfter w:val="1"/>
          <w:wAfter w:w="141" w:type="dxa"/>
        </w:trPr>
        <w:tc>
          <w:tcPr>
            <w:tcW w:w="1843" w:type="dxa"/>
          </w:tcPr>
          <w:p w14:paraId="611DEF8B" w14:textId="4B88929E" w:rsidR="0035562A" w:rsidRDefault="0035562A" w:rsidP="009845CD">
            <w:r w:rsidRPr="00F424D1">
              <w:t>Works required</w:t>
            </w:r>
            <w:r w:rsidR="009845CD">
              <w:t xml:space="preserve"> </w:t>
            </w:r>
            <w:r w:rsidRPr="00F424D1">
              <w:t>to meter after the</w:t>
            </w:r>
            <w:r w:rsidR="009845CD">
              <w:t xml:space="preserve"> </w:t>
            </w:r>
            <w:r w:rsidRPr="00F424D1">
              <w:t>metering reform</w:t>
            </w:r>
            <w:r w:rsidR="009845CD">
              <w:t xml:space="preserve"> </w:t>
            </w:r>
            <w:r w:rsidRPr="00F424D1">
              <w:t>compliance date</w:t>
            </w:r>
          </w:p>
        </w:tc>
        <w:tc>
          <w:tcPr>
            <w:tcW w:w="2545" w:type="dxa"/>
          </w:tcPr>
          <w:p w14:paraId="547B920B" w14:textId="7F81B43D" w:rsidR="0035562A" w:rsidRDefault="0035562A" w:rsidP="009845CD">
            <w:r w:rsidRPr="00F424D1">
              <w:t>Licensed water take is</w:t>
            </w:r>
            <w:r w:rsidR="009845CD">
              <w:t xml:space="preserve"> </w:t>
            </w:r>
            <w:r w:rsidRPr="00F424D1">
              <w:t>automatically recorded by Local</w:t>
            </w:r>
            <w:r w:rsidR="009845CD">
              <w:t xml:space="preserve"> </w:t>
            </w:r>
            <w:r w:rsidRPr="00F424D1">
              <w:t>Intelligence Device (logged hourly)</w:t>
            </w:r>
          </w:p>
        </w:tc>
        <w:tc>
          <w:tcPr>
            <w:tcW w:w="2983" w:type="dxa"/>
          </w:tcPr>
          <w:p w14:paraId="239E9514" w14:textId="1DAA788B" w:rsidR="0035562A" w:rsidRDefault="0035562A" w:rsidP="009845CD">
            <w:r w:rsidRPr="00F424D1">
              <w:t>Approval holder</w:t>
            </w:r>
            <w:r w:rsidR="009845CD">
              <w:t xml:space="preserve"> </w:t>
            </w:r>
            <w:r w:rsidRPr="00F424D1">
              <w:t>submits a</w:t>
            </w:r>
            <w:r w:rsidR="009845CD">
              <w:t xml:space="preserve"> </w:t>
            </w:r>
            <w:r w:rsidRPr="00F424D1">
              <w:t>meter read</w:t>
            </w:r>
          </w:p>
        </w:tc>
        <w:tc>
          <w:tcPr>
            <w:tcW w:w="2127" w:type="dxa"/>
          </w:tcPr>
          <w:p w14:paraId="15C9D505" w14:textId="0D05D433" w:rsidR="0035562A" w:rsidRDefault="0035562A" w:rsidP="00FD67F2">
            <w:proofErr w:type="spellStart"/>
            <w:r w:rsidRPr="00F424D1">
              <w:t>WaterNSW</w:t>
            </w:r>
            <w:proofErr w:type="spellEnd"/>
            <w:r w:rsidR="009845CD">
              <w:t xml:space="preserve"> </w:t>
            </w:r>
            <w:r w:rsidRPr="00F424D1">
              <w:t>downloads</w:t>
            </w:r>
            <w:r w:rsidR="009845CD">
              <w:t xml:space="preserve"> </w:t>
            </w:r>
            <w:r w:rsidR="00FD67F2">
              <w:t>L</w:t>
            </w:r>
            <w:r w:rsidRPr="00F424D1">
              <w:t>ocal Intelligence Device</w:t>
            </w:r>
            <w:r w:rsidR="00FD67F2">
              <w:t xml:space="preserve"> </w:t>
            </w:r>
            <w:r w:rsidRPr="00F424D1">
              <w:t>data annually</w:t>
            </w:r>
          </w:p>
        </w:tc>
      </w:tr>
    </w:tbl>
    <w:p w14:paraId="4DD7A576" w14:textId="77777777" w:rsidR="00E738A0" w:rsidRDefault="00E738A0" w:rsidP="00E738A0"/>
    <w:p w14:paraId="2FD67993" w14:textId="7BD24CC2" w:rsidR="00E738A0" w:rsidRDefault="00E738A0" w:rsidP="00E738A0">
      <w:r>
        <w:t>This measure is reported to identify how meter data is collected and how often when telemetry is not being used. Data owner/sources: State regulators</w:t>
      </w:r>
    </w:p>
    <w:p w14:paraId="25619896" w14:textId="38B059FE" w:rsidR="00E47066" w:rsidRDefault="00E47066">
      <w:pPr>
        <w:spacing w:after="0"/>
      </w:pPr>
      <w:r>
        <w:br w:type="page"/>
      </w:r>
    </w:p>
    <w:p w14:paraId="14717521" w14:textId="77777777" w:rsidR="00510C5D" w:rsidRDefault="00510C5D" w:rsidP="00510C5D">
      <w:pPr>
        <w:pStyle w:val="Heading3"/>
      </w:pPr>
      <w:r>
        <w:lastRenderedPageBreak/>
        <w:t>State overview</w:t>
      </w:r>
    </w:p>
    <w:p w14:paraId="5ABB5125" w14:textId="77777777" w:rsidR="00303682" w:rsidRDefault="009669DF" w:rsidP="009669DF">
      <w:r>
        <w:t xml:space="preserve">Metering requirements were introduced in NSW in the early 1980s for regulated rivers and in 2003 for major inland alluvial groundwater sources. </w:t>
      </w:r>
    </w:p>
    <w:p w14:paraId="26DCB534" w14:textId="77777777" w:rsidR="00303682" w:rsidRDefault="009669DF" w:rsidP="009669DF">
      <w:r>
        <w:t xml:space="preserve">In December 2018, the NSW Government introduced a new non-urban water metering framework to ensure robust and fair water management across the state. The framework requires all water supply works to have metering equipment that complies with the Australian Standard (AS4747), unless an exemption applies. Existing meters can be retained provided they are validated as accurate to AS4747 requirements (+/-5% field accuracy). </w:t>
      </w:r>
    </w:p>
    <w:p w14:paraId="0A090DA8" w14:textId="77777777" w:rsidR="00405ABC" w:rsidRDefault="009669DF" w:rsidP="009669DF">
      <w:r>
        <w:t xml:space="preserve">The new water metering framework is being rolled out in 4 stages between 2020 and 2024. The purpose of the staged approach is to ensure all water users have enough time to comply with the new rules and the focus is on the highest risk categories first. The annual rollout date of 1 December for Stage 1 and 2 means these report card metrics are derived at the halfway point for each stage. </w:t>
      </w:r>
    </w:p>
    <w:p w14:paraId="5AEDB55A" w14:textId="77777777" w:rsidR="00405ABC" w:rsidRDefault="009669DF" w:rsidP="009669DF">
      <w:r>
        <w:t xml:space="preserve">For this 2021-22 report period, Stage 1 and Stage 2 have commenced and apply to surface water pumps 500mm and greater, and water users in Northern Inland NSW. </w:t>
      </w:r>
    </w:p>
    <w:p w14:paraId="3814A409" w14:textId="77777777" w:rsidR="00C54A95" w:rsidRDefault="009669DF" w:rsidP="009669DF">
      <w:r>
        <w:t xml:space="preserve">For the volume of water take, metered usage data was used where available, and entitlement was used where metered usage data was not available. As entitlement is the maximum volume permitted to be taken, this is an over-estimate which is expected to influence the reported percentage of exempt water take and not yet metered water take. </w:t>
      </w:r>
    </w:p>
    <w:p w14:paraId="7EB1078E" w14:textId="77777777" w:rsidR="0015655B" w:rsidRDefault="009669DF" w:rsidP="009669DF">
      <w:r>
        <w:t xml:space="preserve">For the count of meters, system limitations mean that retrospective point-in-time data is not able to be accessed. Data for the total meter count was captured in August 2022 and was also used for the previous 2020-21 report card. This means there is no reported change to the total meter count from the previous report card. </w:t>
      </w:r>
    </w:p>
    <w:p w14:paraId="653EA1DE" w14:textId="26A0B79F" w:rsidR="009669DF" w:rsidRDefault="009669DF" w:rsidP="009669DF">
      <w:r>
        <w:t>The Australian and NSW Governments continue to support a suite of programs to assist with the uptake of metering and telemetry across NSW. NSW is continuing to implement its non-urban metering reforms and it is anticipated the annual report cards will demonstrate an improvement in meter coverage as each stage is being rolled out across the state.</w:t>
      </w:r>
    </w:p>
    <w:p w14:paraId="2ED49C2A" w14:textId="77777777" w:rsidR="009669DF" w:rsidRDefault="009669DF" w:rsidP="009669DF"/>
    <w:p w14:paraId="2D77BAEB" w14:textId="77777777" w:rsidR="009669DF" w:rsidRDefault="009669DF" w:rsidP="009669DF"/>
    <w:p w14:paraId="654AA408" w14:textId="77777777" w:rsidR="009669DF" w:rsidRPr="00B53720" w:rsidRDefault="009669DF" w:rsidP="009669DF">
      <w:pPr>
        <w:rPr>
          <w:szCs w:val="20"/>
        </w:rPr>
      </w:pPr>
      <w:r w:rsidRPr="00B53720">
        <w:rPr>
          <w:szCs w:val="20"/>
        </w:rPr>
        <w:t>The IGWC makes no claim as to the accuracy of the data shown on this page. Data is collated and supplied directly from the states.</w:t>
      </w:r>
    </w:p>
    <w:p w14:paraId="6DD327BC" w14:textId="77777777" w:rsidR="009C3C33" w:rsidRDefault="009C3C33">
      <w:pPr>
        <w:spacing w:after="0"/>
      </w:pPr>
      <w:r>
        <w:br w:type="page"/>
      </w:r>
    </w:p>
    <w:p w14:paraId="58A847D7" w14:textId="0084329E" w:rsidR="009C3C33" w:rsidRPr="00297248" w:rsidRDefault="009C3C33" w:rsidP="0076208D">
      <w:pPr>
        <w:pStyle w:val="Heading2"/>
      </w:pPr>
      <w:r w:rsidRPr="00297248">
        <w:lastRenderedPageBreak/>
        <w:t xml:space="preserve">Murray-Darling Basin – </w:t>
      </w:r>
      <w:r>
        <w:t xml:space="preserve">Queensland </w:t>
      </w:r>
      <w:r w:rsidRPr="00297248">
        <w:t>Metering Report Card</w:t>
      </w:r>
    </w:p>
    <w:p w14:paraId="4AD8D65A" w14:textId="77777777" w:rsidR="009C3C33" w:rsidRPr="00297248" w:rsidRDefault="009C3C33" w:rsidP="009C3C33">
      <w:pPr>
        <w:pStyle w:val="Heading3"/>
      </w:pPr>
      <w:r w:rsidRPr="00297248">
        <w:t xml:space="preserve">1 Jul 2021 – 30 Jun 2022. Progress from 2020 – 21 metering report </w:t>
      </w:r>
      <w:proofErr w:type="gramStart"/>
      <w:r w:rsidRPr="00297248">
        <w:t>card</w:t>
      </w:r>
      <w:proofErr w:type="gramEnd"/>
      <w:r w:rsidRPr="00297248">
        <w:t xml:space="preserve"> indicated in brackets</w:t>
      </w:r>
    </w:p>
    <w:p w14:paraId="7BA40CF7" w14:textId="17003A3E" w:rsidR="009C3C33" w:rsidRPr="00592481" w:rsidRDefault="009C3C33" w:rsidP="009C3C33">
      <w:pPr>
        <w:pStyle w:val="Heading2"/>
        <w:rPr>
          <w:w w:val="110"/>
          <w:sz w:val="24"/>
          <w:szCs w:val="16"/>
        </w:rPr>
      </w:pPr>
      <w:r w:rsidRPr="00A27456">
        <w:rPr>
          <w:sz w:val="24"/>
          <w:szCs w:val="16"/>
        </w:rPr>
        <w:t xml:space="preserve">Table </w:t>
      </w:r>
      <w:r w:rsidR="00874008">
        <w:rPr>
          <w:sz w:val="24"/>
          <w:szCs w:val="16"/>
        </w:rPr>
        <w:t>17</w:t>
      </w:r>
      <w:r w:rsidRPr="00A27456">
        <w:rPr>
          <w:sz w:val="24"/>
          <w:szCs w:val="16"/>
        </w:rPr>
        <w:t xml:space="preserve">. </w:t>
      </w:r>
      <w:r w:rsidRPr="00C72EA6">
        <w:rPr>
          <w:w w:val="110"/>
          <w:sz w:val="24"/>
          <w:szCs w:val="16"/>
        </w:rPr>
        <w:t xml:space="preserve">Percentage of water take metered in </w:t>
      </w:r>
      <w:proofErr w:type="gramStart"/>
      <w:r w:rsidR="00920164">
        <w:rPr>
          <w:w w:val="110"/>
          <w:sz w:val="24"/>
          <w:szCs w:val="16"/>
        </w:rPr>
        <w:t>Queensland</w:t>
      </w:r>
      <w:proofErr w:type="gramEnd"/>
    </w:p>
    <w:tbl>
      <w:tblPr>
        <w:tblStyle w:val="TableGridLight"/>
        <w:tblW w:w="5387" w:type="dxa"/>
        <w:tblLook w:val="04A0" w:firstRow="1" w:lastRow="0" w:firstColumn="1" w:lastColumn="0" w:noHBand="0" w:noVBand="1"/>
      </w:tblPr>
      <w:tblGrid>
        <w:gridCol w:w="3544"/>
        <w:gridCol w:w="1843"/>
      </w:tblGrid>
      <w:tr w:rsidR="00920164" w14:paraId="7C3EE5AA" w14:textId="77777777" w:rsidTr="00CF13B8">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5F924A80" w14:textId="472E3934" w:rsidR="00920164" w:rsidRDefault="00920164" w:rsidP="00920164">
            <w:pPr>
              <w:pStyle w:val="TableText"/>
            </w:pPr>
            <w:r>
              <w:t xml:space="preserve">Metered water </w:t>
            </w:r>
            <w:proofErr w:type="gramStart"/>
            <w:r>
              <w:t>take</w:t>
            </w:r>
            <w:proofErr w:type="gramEnd"/>
          </w:p>
        </w:tc>
        <w:tc>
          <w:tcPr>
            <w:tcW w:w="1843" w:type="dxa"/>
            <w:shd w:val="clear" w:color="auto" w:fill="auto"/>
          </w:tcPr>
          <w:p w14:paraId="0A410A90" w14:textId="0B68F7BB" w:rsidR="00920164" w:rsidRDefault="00920164" w:rsidP="00920164">
            <w:pPr>
              <w:pStyle w:val="TableText"/>
              <w:rPr>
                <w:w w:val="115"/>
              </w:rPr>
            </w:pPr>
            <w:r>
              <w:t>0%</w:t>
            </w:r>
          </w:p>
        </w:tc>
      </w:tr>
      <w:tr w:rsidR="00920164" w14:paraId="5E294143" w14:textId="77777777" w:rsidTr="00D33744">
        <w:tc>
          <w:tcPr>
            <w:tcW w:w="3544" w:type="dxa"/>
          </w:tcPr>
          <w:p w14:paraId="13FDA32C" w14:textId="427022D1" w:rsidR="00920164" w:rsidRDefault="00920164" w:rsidP="00920164">
            <w:pPr>
              <w:pStyle w:val="TableText"/>
            </w:pPr>
            <w:r>
              <w:t xml:space="preserve">Exempt water </w:t>
            </w:r>
            <w:proofErr w:type="gramStart"/>
            <w:r>
              <w:t>take</w:t>
            </w:r>
            <w:proofErr w:type="gramEnd"/>
          </w:p>
        </w:tc>
        <w:tc>
          <w:tcPr>
            <w:tcW w:w="1843" w:type="dxa"/>
          </w:tcPr>
          <w:p w14:paraId="04697E91" w14:textId="5704E12C" w:rsidR="00920164" w:rsidRDefault="00920164" w:rsidP="00920164">
            <w:pPr>
              <w:pStyle w:val="TableText"/>
              <w:rPr>
                <w:w w:val="115"/>
              </w:rPr>
            </w:pPr>
            <w:r>
              <w:t>0%</w:t>
            </w:r>
          </w:p>
        </w:tc>
      </w:tr>
      <w:tr w:rsidR="00920164" w14:paraId="6F098BD8" w14:textId="77777777" w:rsidTr="00D33744">
        <w:tc>
          <w:tcPr>
            <w:tcW w:w="3544" w:type="dxa"/>
          </w:tcPr>
          <w:p w14:paraId="6FB99735" w14:textId="1FDD275C" w:rsidR="00920164" w:rsidRDefault="00920164" w:rsidP="00920164">
            <w:pPr>
              <w:pStyle w:val="TableText"/>
            </w:pPr>
            <w:r>
              <w:t xml:space="preserve">Not yet metered water </w:t>
            </w:r>
            <w:proofErr w:type="gramStart"/>
            <w:r>
              <w:t>take</w:t>
            </w:r>
            <w:proofErr w:type="gramEnd"/>
          </w:p>
        </w:tc>
        <w:tc>
          <w:tcPr>
            <w:tcW w:w="1843" w:type="dxa"/>
          </w:tcPr>
          <w:p w14:paraId="3DEAAD5D" w14:textId="4A8A3BD7" w:rsidR="00920164" w:rsidRDefault="00920164" w:rsidP="00920164">
            <w:pPr>
              <w:pStyle w:val="TableText"/>
              <w:rPr>
                <w:w w:val="115"/>
              </w:rPr>
            </w:pPr>
            <w:r>
              <w:t>0%</w:t>
            </w:r>
          </w:p>
        </w:tc>
      </w:tr>
      <w:tr w:rsidR="00920164" w14:paraId="0E40A401" w14:textId="77777777" w:rsidTr="00D33744">
        <w:tc>
          <w:tcPr>
            <w:tcW w:w="3544" w:type="dxa"/>
          </w:tcPr>
          <w:p w14:paraId="5018EFCD" w14:textId="342686CB" w:rsidR="00920164" w:rsidRDefault="00920164" w:rsidP="00920164">
            <w:pPr>
              <w:pStyle w:val="TableText"/>
            </w:pPr>
            <w:r>
              <w:t>Data not available</w:t>
            </w:r>
          </w:p>
        </w:tc>
        <w:tc>
          <w:tcPr>
            <w:tcW w:w="1843" w:type="dxa"/>
          </w:tcPr>
          <w:p w14:paraId="67B462D6" w14:textId="450DE280" w:rsidR="00920164" w:rsidRDefault="00920164" w:rsidP="00920164">
            <w:pPr>
              <w:pStyle w:val="TableText"/>
            </w:pPr>
            <w:r>
              <w:t>100%</w:t>
            </w:r>
          </w:p>
        </w:tc>
      </w:tr>
    </w:tbl>
    <w:p w14:paraId="5C46CD1C" w14:textId="77777777" w:rsidR="009C3C33" w:rsidRDefault="009C3C33" w:rsidP="009C3C33">
      <w:pPr>
        <w:spacing w:after="0"/>
      </w:pPr>
    </w:p>
    <w:p w14:paraId="23379DE4" w14:textId="77777777" w:rsidR="009C3C33" w:rsidRDefault="009C3C33" w:rsidP="009C3C33">
      <w:pPr>
        <w:spacing w:after="0"/>
      </w:pPr>
      <w:r w:rsidRPr="004174D9">
        <w:t xml:space="preserve">This measure is reported to highlight percentage of </w:t>
      </w:r>
      <w:proofErr w:type="spellStart"/>
      <w:r w:rsidRPr="004174D9">
        <w:t>meterable</w:t>
      </w:r>
      <w:proofErr w:type="spellEnd"/>
      <w:r w:rsidRPr="004174D9">
        <w:t xml:space="preserve"> water take across the Murray-Darling Basin by each State that is metered. </w:t>
      </w:r>
    </w:p>
    <w:p w14:paraId="27B0EAD4" w14:textId="77777777" w:rsidR="009C3C33" w:rsidRDefault="009C3C33" w:rsidP="009C3C33">
      <w:pPr>
        <w:spacing w:after="0"/>
      </w:pPr>
      <w:r w:rsidRPr="004174D9">
        <w:t>Data owner/sources: State regulators.</w:t>
      </w:r>
    </w:p>
    <w:p w14:paraId="729E2FF9" w14:textId="6A595814" w:rsidR="009C3C33" w:rsidRPr="00592481" w:rsidRDefault="009C3C33" w:rsidP="009C3C33">
      <w:pPr>
        <w:pStyle w:val="Heading2"/>
        <w:rPr>
          <w:w w:val="110"/>
          <w:sz w:val="24"/>
          <w:szCs w:val="16"/>
        </w:rPr>
      </w:pPr>
      <w:bookmarkStart w:id="0" w:name="_Hlk141282672"/>
      <w:r w:rsidRPr="00A27456">
        <w:rPr>
          <w:sz w:val="24"/>
          <w:szCs w:val="16"/>
        </w:rPr>
        <w:t xml:space="preserve">Table </w:t>
      </w:r>
      <w:r>
        <w:rPr>
          <w:sz w:val="24"/>
          <w:szCs w:val="16"/>
        </w:rPr>
        <w:t>1</w:t>
      </w:r>
      <w:r w:rsidR="00004532">
        <w:rPr>
          <w:sz w:val="24"/>
          <w:szCs w:val="16"/>
        </w:rPr>
        <w:t>8</w:t>
      </w:r>
      <w:r w:rsidRPr="00A27456">
        <w:rPr>
          <w:sz w:val="24"/>
          <w:szCs w:val="16"/>
        </w:rPr>
        <w:t xml:space="preserve">. </w:t>
      </w:r>
      <w:r w:rsidRPr="00AA6D67">
        <w:rPr>
          <w:w w:val="110"/>
          <w:sz w:val="24"/>
          <w:szCs w:val="16"/>
        </w:rPr>
        <w:t xml:space="preserve">Metering accuracy in </w:t>
      </w:r>
      <w:r w:rsidR="003B2932">
        <w:rPr>
          <w:w w:val="110"/>
          <w:sz w:val="24"/>
          <w:szCs w:val="16"/>
        </w:rPr>
        <w:t>Queensland</w:t>
      </w:r>
    </w:p>
    <w:tbl>
      <w:tblPr>
        <w:tblStyle w:val="TableGridLight"/>
        <w:tblW w:w="5387" w:type="dxa"/>
        <w:tblLook w:val="04A0" w:firstRow="1" w:lastRow="0" w:firstColumn="1" w:lastColumn="0" w:noHBand="0" w:noVBand="1"/>
      </w:tblPr>
      <w:tblGrid>
        <w:gridCol w:w="3544"/>
        <w:gridCol w:w="1843"/>
      </w:tblGrid>
      <w:tr w:rsidR="003B2932" w14:paraId="55CC88B0" w14:textId="77777777" w:rsidTr="00CF13B8">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39A369A8" w14:textId="7DDB4832" w:rsidR="003B2932" w:rsidRDefault="003B2932" w:rsidP="003B2932">
            <w:pPr>
              <w:pStyle w:val="TableText"/>
            </w:pPr>
            <w:r>
              <w:t>AS4747 meters</w:t>
            </w:r>
          </w:p>
        </w:tc>
        <w:tc>
          <w:tcPr>
            <w:tcW w:w="1843" w:type="dxa"/>
            <w:shd w:val="clear" w:color="auto" w:fill="auto"/>
          </w:tcPr>
          <w:p w14:paraId="4D1911CB" w14:textId="6A6BCC45" w:rsidR="003B2932" w:rsidRDefault="003B2932" w:rsidP="003B2932">
            <w:pPr>
              <w:pStyle w:val="TableText"/>
              <w:rPr>
                <w:w w:val="115"/>
              </w:rPr>
            </w:pPr>
            <w:r>
              <w:t>17% (+13%)</w:t>
            </w:r>
          </w:p>
        </w:tc>
      </w:tr>
      <w:tr w:rsidR="003B2932" w14:paraId="0343145A" w14:textId="77777777" w:rsidTr="00D33744">
        <w:tc>
          <w:tcPr>
            <w:tcW w:w="3544" w:type="dxa"/>
          </w:tcPr>
          <w:p w14:paraId="22A4B004" w14:textId="3DAD3E6D" w:rsidR="003B2932" w:rsidRDefault="003B2932" w:rsidP="003B2932">
            <w:pPr>
              <w:pStyle w:val="TableText"/>
            </w:pPr>
            <w:r>
              <w:t>Grandfathered meters</w:t>
            </w:r>
          </w:p>
        </w:tc>
        <w:tc>
          <w:tcPr>
            <w:tcW w:w="1843" w:type="dxa"/>
          </w:tcPr>
          <w:p w14:paraId="23014865" w14:textId="5E274ABF" w:rsidR="003B2932" w:rsidRDefault="003B2932" w:rsidP="003B2932">
            <w:pPr>
              <w:pStyle w:val="TableText"/>
              <w:rPr>
                <w:w w:val="115"/>
              </w:rPr>
            </w:pPr>
            <w:r>
              <w:t>0%</w:t>
            </w:r>
          </w:p>
        </w:tc>
      </w:tr>
      <w:tr w:rsidR="003B2932" w14:paraId="0EBB9D77" w14:textId="77777777" w:rsidTr="00D33744">
        <w:tc>
          <w:tcPr>
            <w:tcW w:w="3544" w:type="dxa"/>
          </w:tcPr>
          <w:p w14:paraId="3F706303" w14:textId="4A06FEA8" w:rsidR="003B2932" w:rsidRDefault="003B2932" w:rsidP="003B2932">
            <w:pPr>
              <w:pStyle w:val="TableText"/>
            </w:pPr>
            <w:r>
              <w:t>All other meters</w:t>
            </w:r>
          </w:p>
        </w:tc>
        <w:tc>
          <w:tcPr>
            <w:tcW w:w="1843" w:type="dxa"/>
          </w:tcPr>
          <w:p w14:paraId="55934B46" w14:textId="6B1913D3" w:rsidR="003B2932" w:rsidRDefault="003B2932" w:rsidP="003B2932">
            <w:pPr>
              <w:pStyle w:val="TableText"/>
              <w:rPr>
                <w:w w:val="115"/>
              </w:rPr>
            </w:pPr>
            <w:r>
              <w:t>83%</w:t>
            </w:r>
          </w:p>
        </w:tc>
      </w:tr>
      <w:bookmarkEnd w:id="0"/>
    </w:tbl>
    <w:p w14:paraId="4E949A53" w14:textId="77777777" w:rsidR="009C3C33" w:rsidRDefault="009C3C33" w:rsidP="009C3C33">
      <w:pPr>
        <w:spacing w:after="0"/>
      </w:pPr>
    </w:p>
    <w:p w14:paraId="35F12F8E" w14:textId="77777777" w:rsidR="009C3C33" w:rsidRDefault="009C3C33" w:rsidP="009C3C33">
      <w:pPr>
        <w:spacing w:after="0"/>
      </w:pPr>
      <w:r w:rsidRPr="008632EE">
        <w:t xml:space="preserve">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 </w:t>
      </w:r>
    </w:p>
    <w:p w14:paraId="00BA266B" w14:textId="77777777" w:rsidR="009C3C33" w:rsidRDefault="009C3C33" w:rsidP="009C3C33">
      <w:pPr>
        <w:spacing w:after="0"/>
      </w:pPr>
      <w:r w:rsidRPr="008632EE">
        <w:t>Data owner/sources: State regulators</w:t>
      </w:r>
    </w:p>
    <w:p w14:paraId="006B3235" w14:textId="4265F930" w:rsidR="00004532" w:rsidRPr="00004532" w:rsidRDefault="00004532" w:rsidP="00004532">
      <w:pPr>
        <w:keepNext/>
        <w:spacing w:before="360" w:after="240"/>
        <w:outlineLvl w:val="1"/>
        <w:rPr>
          <w:b/>
          <w:color w:val="48555E" w:themeColor="text2"/>
          <w:w w:val="110"/>
          <w:sz w:val="24"/>
          <w:szCs w:val="16"/>
        </w:rPr>
      </w:pPr>
      <w:r w:rsidRPr="00004532">
        <w:rPr>
          <w:b/>
          <w:color w:val="48555E" w:themeColor="text2"/>
          <w:sz w:val="24"/>
          <w:szCs w:val="16"/>
        </w:rPr>
        <w:t>Table 1</w:t>
      </w:r>
      <w:r>
        <w:rPr>
          <w:b/>
          <w:color w:val="48555E" w:themeColor="text2"/>
          <w:sz w:val="24"/>
          <w:szCs w:val="16"/>
        </w:rPr>
        <w:t>9</w:t>
      </w:r>
      <w:r w:rsidRPr="00004532">
        <w:rPr>
          <w:b/>
          <w:color w:val="48555E" w:themeColor="text2"/>
          <w:sz w:val="24"/>
          <w:szCs w:val="16"/>
        </w:rPr>
        <w:t xml:space="preserve">. </w:t>
      </w:r>
      <w:r w:rsidR="00F304CA" w:rsidRPr="00F304CA">
        <w:rPr>
          <w:b/>
          <w:color w:val="48555E" w:themeColor="text2"/>
          <w:w w:val="110"/>
          <w:sz w:val="24"/>
          <w:szCs w:val="16"/>
        </w:rPr>
        <w:t xml:space="preserve">Percentage of entitlement volume </w:t>
      </w:r>
      <w:proofErr w:type="gramStart"/>
      <w:r w:rsidR="00F304CA" w:rsidRPr="00F304CA">
        <w:rPr>
          <w:b/>
          <w:color w:val="48555E" w:themeColor="text2"/>
          <w:w w:val="110"/>
          <w:sz w:val="24"/>
          <w:szCs w:val="16"/>
        </w:rPr>
        <w:t>metered</w:t>
      </w:r>
      <w:proofErr w:type="gramEnd"/>
    </w:p>
    <w:tbl>
      <w:tblPr>
        <w:tblStyle w:val="TableGridLight"/>
        <w:tblW w:w="6379" w:type="dxa"/>
        <w:tblLook w:val="04A0" w:firstRow="1" w:lastRow="0" w:firstColumn="1" w:lastColumn="0" w:noHBand="0" w:noVBand="1"/>
      </w:tblPr>
      <w:tblGrid>
        <w:gridCol w:w="4678"/>
        <w:gridCol w:w="1701"/>
      </w:tblGrid>
      <w:tr w:rsidR="007A309B" w:rsidRPr="00004532" w14:paraId="34F4E6BF" w14:textId="77777777" w:rsidTr="00CF13B8">
        <w:trPr>
          <w:cnfStyle w:val="100000000000" w:firstRow="1" w:lastRow="0" w:firstColumn="0" w:lastColumn="0" w:oddVBand="0" w:evenVBand="0" w:oddHBand="0" w:evenHBand="0" w:firstRowFirstColumn="0" w:firstRowLastColumn="0" w:lastRowFirstColumn="0" w:lastRowLastColumn="0"/>
        </w:trPr>
        <w:tc>
          <w:tcPr>
            <w:tcW w:w="4678" w:type="dxa"/>
            <w:shd w:val="clear" w:color="auto" w:fill="auto"/>
          </w:tcPr>
          <w:p w14:paraId="2B71CE5B" w14:textId="49A9A0E4" w:rsidR="007A309B" w:rsidRPr="00004532" w:rsidRDefault="007A309B" w:rsidP="007A309B">
            <w:pPr>
              <w:spacing w:before="120" w:after="120"/>
            </w:pPr>
            <w:r>
              <w:t>Metered entitlement volume</w:t>
            </w:r>
          </w:p>
        </w:tc>
        <w:tc>
          <w:tcPr>
            <w:tcW w:w="1701" w:type="dxa"/>
            <w:shd w:val="clear" w:color="auto" w:fill="auto"/>
          </w:tcPr>
          <w:p w14:paraId="48064E41" w14:textId="6627710B" w:rsidR="007A309B" w:rsidRPr="00004532" w:rsidRDefault="007A309B" w:rsidP="007A309B">
            <w:pPr>
              <w:spacing w:before="120" w:after="120"/>
              <w:rPr>
                <w:w w:val="115"/>
              </w:rPr>
            </w:pPr>
            <w:r>
              <w:t>74%</w:t>
            </w:r>
          </w:p>
        </w:tc>
      </w:tr>
      <w:tr w:rsidR="007A309B" w:rsidRPr="00004532" w14:paraId="40C33FC6" w14:textId="77777777" w:rsidTr="007A309B">
        <w:tc>
          <w:tcPr>
            <w:tcW w:w="4678" w:type="dxa"/>
          </w:tcPr>
          <w:p w14:paraId="3245085A" w14:textId="3A9B494D" w:rsidR="007A309B" w:rsidRPr="00004532" w:rsidRDefault="007A309B" w:rsidP="007A309B">
            <w:pPr>
              <w:spacing w:before="120" w:after="120"/>
            </w:pPr>
            <w:r>
              <w:t>Exempt entitlement volume</w:t>
            </w:r>
          </w:p>
        </w:tc>
        <w:tc>
          <w:tcPr>
            <w:tcW w:w="1701" w:type="dxa"/>
          </w:tcPr>
          <w:p w14:paraId="1D5E2BCE" w14:textId="2F5ABE74" w:rsidR="007A309B" w:rsidRPr="00004532" w:rsidRDefault="007A309B" w:rsidP="007A309B">
            <w:pPr>
              <w:spacing w:before="120" w:after="120"/>
              <w:rPr>
                <w:w w:val="115"/>
              </w:rPr>
            </w:pPr>
            <w:r>
              <w:t>0%</w:t>
            </w:r>
          </w:p>
        </w:tc>
      </w:tr>
      <w:tr w:rsidR="007A309B" w:rsidRPr="00004532" w14:paraId="79FC294B" w14:textId="77777777" w:rsidTr="007A309B">
        <w:tc>
          <w:tcPr>
            <w:tcW w:w="4678" w:type="dxa"/>
          </w:tcPr>
          <w:p w14:paraId="1D7262C7" w14:textId="60190FFE" w:rsidR="007A309B" w:rsidRPr="00004532" w:rsidRDefault="007A309B" w:rsidP="007A309B">
            <w:pPr>
              <w:spacing w:before="120" w:after="120"/>
            </w:pPr>
            <w:r>
              <w:t>Not yet metered entitlement volume</w:t>
            </w:r>
          </w:p>
        </w:tc>
        <w:tc>
          <w:tcPr>
            <w:tcW w:w="1701" w:type="dxa"/>
          </w:tcPr>
          <w:p w14:paraId="48442996" w14:textId="327E9704" w:rsidR="007A309B" w:rsidRPr="00004532" w:rsidRDefault="007A309B" w:rsidP="007A309B">
            <w:pPr>
              <w:spacing w:before="120" w:after="120"/>
              <w:rPr>
                <w:w w:val="115"/>
              </w:rPr>
            </w:pPr>
            <w:r>
              <w:t>26%</w:t>
            </w:r>
          </w:p>
        </w:tc>
      </w:tr>
    </w:tbl>
    <w:p w14:paraId="5524880E" w14:textId="77777777" w:rsidR="006B545D" w:rsidRDefault="006B545D" w:rsidP="009C3C33">
      <w:pPr>
        <w:spacing w:after="0"/>
      </w:pPr>
    </w:p>
    <w:p w14:paraId="708194B3" w14:textId="77777777" w:rsidR="006B545D" w:rsidRDefault="006B545D" w:rsidP="009C3C33">
      <w:pPr>
        <w:spacing w:after="0"/>
      </w:pPr>
      <w:r w:rsidRPr="006B545D">
        <w:t xml:space="preserve">This measure is reported to highlight percentage of entitlement volume across the Murray-Darling Basin by each State that is metered, assuming a 100% utilisation of entitlement. Data provision for this metric was optional by States. </w:t>
      </w:r>
    </w:p>
    <w:p w14:paraId="41456518" w14:textId="7584536E" w:rsidR="00004532" w:rsidRDefault="006B545D" w:rsidP="009C3C33">
      <w:pPr>
        <w:spacing w:after="0"/>
      </w:pPr>
      <w:r w:rsidRPr="006B545D">
        <w:t>Data owner/sources: State regulators.</w:t>
      </w:r>
    </w:p>
    <w:p w14:paraId="00608375" w14:textId="3BDDE30C" w:rsidR="009C3C33" w:rsidRPr="00592481" w:rsidRDefault="009C3C33" w:rsidP="009C3C33">
      <w:pPr>
        <w:pStyle w:val="Heading2"/>
        <w:rPr>
          <w:w w:val="110"/>
          <w:sz w:val="24"/>
          <w:szCs w:val="16"/>
        </w:rPr>
      </w:pPr>
      <w:r w:rsidRPr="00A27456">
        <w:rPr>
          <w:sz w:val="24"/>
          <w:szCs w:val="16"/>
        </w:rPr>
        <w:lastRenderedPageBreak/>
        <w:t xml:space="preserve">Table </w:t>
      </w:r>
      <w:r w:rsidR="00004532">
        <w:rPr>
          <w:sz w:val="24"/>
          <w:szCs w:val="16"/>
        </w:rPr>
        <w:t>20</w:t>
      </w:r>
      <w:r w:rsidRPr="00A27456">
        <w:rPr>
          <w:sz w:val="24"/>
          <w:szCs w:val="16"/>
        </w:rPr>
        <w:t xml:space="preserve">. </w:t>
      </w:r>
      <w:r w:rsidRPr="003A269E">
        <w:rPr>
          <w:w w:val="110"/>
          <w:sz w:val="24"/>
          <w:szCs w:val="16"/>
        </w:rPr>
        <w:t>Telemetry coverage</w:t>
      </w:r>
    </w:p>
    <w:tbl>
      <w:tblPr>
        <w:tblStyle w:val="TableGridLight"/>
        <w:tblW w:w="9639" w:type="dxa"/>
        <w:tblLook w:val="04A0" w:firstRow="1" w:lastRow="0" w:firstColumn="1" w:lastColumn="0" w:noHBand="0" w:noVBand="1"/>
      </w:tblPr>
      <w:tblGrid>
        <w:gridCol w:w="7938"/>
        <w:gridCol w:w="1701"/>
      </w:tblGrid>
      <w:tr w:rsidR="009C3C33" w14:paraId="49CCCCB7" w14:textId="77777777" w:rsidTr="00D33744">
        <w:trPr>
          <w:cnfStyle w:val="100000000000" w:firstRow="1" w:lastRow="0" w:firstColumn="0" w:lastColumn="0" w:oddVBand="0" w:evenVBand="0" w:oddHBand="0" w:evenHBand="0" w:firstRowFirstColumn="0" w:firstRowLastColumn="0" w:lastRowFirstColumn="0" w:lastRowLastColumn="0"/>
        </w:trPr>
        <w:tc>
          <w:tcPr>
            <w:tcW w:w="7938" w:type="dxa"/>
            <w:shd w:val="clear" w:color="auto" w:fill="auto"/>
          </w:tcPr>
          <w:p w14:paraId="119FD5E8" w14:textId="77777777" w:rsidR="009C3C33" w:rsidRDefault="009C3C33" w:rsidP="00D33744">
            <w:r>
              <w:t>Meter % with telemetry connected to the regulator’s data collection system</w:t>
            </w:r>
          </w:p>
        </w:tc>
        <w:tc>
          <w:tcPr>
            <w:tcW w:w="1701" w:type="dxa"/>
            <w:shd w:val="clear" w:color="auto" w:fill="auto"/>
          </w:tcPr>
          <w:p w14:paraId="3BDDDF50" w14:textId="77777777" w:rsidR="009C3C33" w:rsidRDefault="009C3C33" w:rsidP="00D33744">
            <w:pPr>
              <w:pStyle w:val="TableText"/>
              <w:rPr>
                <w:w w:val="115"/>
              </w:rPr>
            </w:pPr>
            <w:r>
              <w:t>0%</w:t>
            </w:r>
          </w:p>
        </w:tc>
      </w:tr>
      <w:tr w:rsidR="009C3C33" w14:paraId="7A57D16C" w14:textId="77777777" w:rsidTr="00D33744">
        <w:tc>
          <w:tcPr>
            <w:tcW w:w="7938" w:type="dxa"/>
          </w:tcPr>
          <w:p w14:paraId="50D65B5A" w14:textId="77777777" w:rsidR="009C3C33" w:rsidRDefault="009C3C33" w:rsidP="00D33744">
            <w:r>
              <w:t>Meter % required to have telemetry connected to the regulator’s data collection system, but which are not connected</w:t>
            </w:r>
          </w:p>
        </w:tc>
        <w:tc>
          <w:tcPr>
            <w:tcW w:w="1701" w:type="dxa"/>
          </w:tcPr>
          <w:p w14:paraId="4A7B617D" w14:textId="77777777" w:rsidR="009C3C33" w:rsidRDefault="009C3C33" w:rsidP="00D33744">
            <w:pPr>
              <w:pStyle w:val="TableText"/>
              <w:rPr>
                <w:w w:val="115"/>
              </w:rPr>
            </w:pPr>
            <w:r>
              <w:t>0%</w:t>
            </w:r>
          </w:p>
        </w:tc>
      </w:tr>
      <w:tr w:rsidR="009C3C33" w14:paraId="7CA1C47D" w14:textId="77777777" w:rsidTr="00D33744">
        <w:tc>
          <w:tcPr>
            <w:tcW w:w="7938" w:type="dxa"/>
          </w:tcPr>
          <w:p w14:paraId="160A1459" w14:textId="77777777" w:rsidR="009C3C33" w:rsidRDefault="009C3C33" w:rsidP="00D33744">
            <w:pPr>
              <w:pStyle w:val="TableText"/>
            </w:pPr>
            <w:r>
              <w:t>Meter % with telemetry not required</w:t>
            </w:r>
          </w:p>
        </w:tc>
        <w:tc>
          <w:tcPr>
            <w:tcW w:w="1701" w:type="dxa"/>
          </w:tcPr>
          <w:p w14:paraId="1BBB5467" w14:textId="77777777" w:rsidR="009C3C33" w:rsidRDefault="009C3C33" w:rsidP="00D33744">
            <w:pPr>
              <w:pStyle w:val="TableText"/>
              <w:rPr>
                <w:w w:val="115"/>
              </w:rPr>
            </w:pPr>
            <w:r>
              <w:t>100%</w:t>
            </w:r>
          </w:p>
        </w:tc>
      </w:tr>
    </w:tbl>
    <w:p w14:paraId="64FBDDC7" w14:textId="77777777" w:rsidR="009C3C33" w:rsidRDefault="009C3C33" w:rsidP="009C3C33">
      <w:pPr>
        <w:spacing w:after="0"/>
      </w:pPr>
    </w:p>
    <w:p w14:paraId="2D780A90" w14:textId="77777777" w:rsidR="009C3C33" w:rsidRDefault="009C3C33" w:rsidP="009C3C33">
      <w:pPr>
        <w:spacing w:after="0"/>
      </w:pPr>
      <w:r w:rsidRPr="00E27A8E">
        <w:t xml:space="preserve">This measure is reported to identify the percentage of meters with telemetry connected to the regulator’s data system. </w:t>
      </w:r>
    </w:p>
    <w:p w14:paraId="713A0609" w14:textId="77777777" w:rsidR="009C3C33" w:rsidRDefault="009C3C33" w:rsidP="009C3C33">
      <w:pPr>
        <w:spacing w:after="0"/>
      </w:pPr>
      <w:r w:rsidRPr="00E27A8E">
        <w:t>Data owner/sources: State regulators</w:t>
      </w:r>
    </w:p>
    <w:p w14:paraId="434F2F55" w14:textId="77777777" w:rsidR="009C3C33" w:rsidRDefault="009C3C33" w:rsidP="0076208D">
      <w:pPr>
        <w:pStyle w:val="Heading3"/>
      </w:pPr>
      <w:r w:rsidRPr="00184D6A">
        <w:t xml:space="preserve">How is meter data collected where telemetry is not </w:t>
      </w:r>
      <w:proofErr w:type="gramStart"/>
      <w:r w:rsidRPr="00184D6A">
        <w:t>used</w:t>
      </w:r>
      <w:proofErr w:type="gramEnd"/>
    </w:p>
    <w:p w14:paraId="6CD36B1C" w14:textId="77777777" w:rsidR="00E65376" w:rsidRDefault="00E65376" w:rsidP="00E65376">
      <w:r>
        <w:t>Self-meter reads provided to the department at the following intervals for identified take:</w:t>
      </w:r>
    </w:p>
    <w:p w14:paraId="75AA8AFE" w14:textId="099A42DA" w:rsidR="00902CDD" w:rsidRDefault="00902CDD" w:rsidP="00902CDD">
      <w:pPr>
        <w:pStyle w:val="ListBullet"/>
      </w:pPr>
      <w:r>
        <w:t xml:space="preserve">Groundwater (21% of meters/14% of volume) read six </w:t>
      </w:r>
      <w:proofErr w:type="gramStart"/>
      <w:r>
        <w:t>monthly;</w:t>
      </w:r>
      <w:proofErr w:type="gramEnd"/>
    </w:p>
    <w:p w14:paraId="2AA31974" w14:textId="77777777" w:rsidR="00902CDD" w:rsidRDefault="00902CDD" w:rsidP="00902CDD">
      <w:pPr>
        <w:pStyle w:val="ListBullet"/>
      </w:pPr>
      <w:r>
        <w:t xml:space="preserve">Supplemented water meters (36% of meters/18% of volume) read </w:t>
      </w:r>
      <w:proofErr w:type="gramStart"/>
      <w:r>
        <w:t>monthly</w:t>
      </w:r>
      <w:proofErr w:type="gramEnd"/>
    </w:p>
    <w:p w14:paraId="4E142F43" w14:textId="77777777" w:rsidR="00902CDD" w:rsidRDefault="00902CDD" w:rsidP="00902CDD">
      <w:pPr>
        <w:pStyle w:val="ListBullet"/>
      </w:pPr>
      <w:r>
        <w:t>or quarterly</w:t>
      </w:r>
    </w:p>
    <w:p w14:paraId="7765F90D" w14:textId="77777777" w:rsidR="00902CDD" w:rsidRDefault="00902CDD" w:rsidP="00902CDD">
      <w:pPr>
        <w:pStyle w:val="ListBullet"/>
      </w:pPr>
      <w:proofErr w:type="spellStart"/>
      <w:r>
        <w:t>Unsupplemented</w:t>
      </w:r>
      <w:proofErr w:type="spellEnd"/>
      <w:r>
        <w:t xml:space="preserve"> water meters (22% of meters/12% of volume) read </w:t>
      </w:r>
      <w:proofErr w:type="gramStart"/>
      <w:r>
        <w:t>annually</w:t>
      </w:r>
      <w:proofErr w:type="gramEnd"/>
    </w:p>
    <w:p w14:paraId="67A85135" w14:textId="2DCE557F" w:rsidR="00902CDD" w:rsidRDefault="00902CDD" w:rsidP="00E65376">
      <w:pPr>
        <w:pStyle w:val="ListBullet"/>
      </w:pPr>
      <w:r>
        <w:t xml:space="preserve">Overland flow and water harvesting (21%/57% of volume) measured throughout take </w:t>
      </w:r>
      <w:proofErr w:type="gramStart"/>
      <w:r>
        <w:t>events</w:t>
      </w:r>
      <w:proofErr w:type="gramEnd"/>
    </w:p>
    <w:p w14:paraId="7E90CE91" w14:textId="478378AA" w:rsidR="009C3C33" w:rsidRPr="008073C2" w:rsidRDefault="00E65376" w:rsidP="009C3C33">
      <w:r>
        <w:t>This measure is reported to identify how meter data is collected and how often when telemetry is not being used. Data owner/sources: State regulators.</w:t>
      </w:r>
    </w:p>
    <w:p w14:paraId="14519BE5" w14:textId="77777777" w:rsidR="009C3C33" w:rsidRDefault="009C3C33" w:rsidP="009C3C33">
      <w:pPr>
        <w:pStyle w:val="Heading3"/>
      </w:pPr>
      <w:r>
        <w:t>State overview</w:t>
      </w:r>
    </w:p>
    <w:p w14:paraId="3929E5AE" w14:textId="77777777" w:rsidR="007B5412" w:rsidRDefault="002F6240" w:rsidP="002F6240">
      <w:r w:rsidRPr="00194370">
        <w:t xml:space="preserve">In 2021-22, Queensland (QLD) completed consultation and finalised a strengthened water measurement policy. The strengthened policy replaces QLD’s former ‘Non-urban Water Metering Policy for </w:t>
      </w:r>
      <w:proofErr w:type="spellStart"/>
      <w:r w:rsidRPr="00194370">
        <w:t>Unsupplemented</w:t>
      </w:r>
      <w:proofErr w:type="spellEnd"/>
      <w:r w:rsidRPr="00194370">
        <w:t xml:space="preserve"> Water Extractions’ (2019). A strengthened water measurement standard aligned with MAF2 is already in place. All take required to be metered under the former policy </w:t>
      </w:r>
      <w:proofErr w:type="gramStart"/>
      <w:r w:rsidRPr="00194370">
        <w:t>at</w:t>
      </w:r>
      <w:proofErr w:type="gramEnd"/>
      <w:r w:rsidRPr="00194370">
        <w:t xml:space="preserve"> 30 June 2022, is metered. Data is not currently recorded in departmental systems for exempt take and data on percentage of actual take that is metered will be reported in future report cards. </w:t>
      </w:r>
    </w:p>
    <w:p w14:paraId="71941BCA" w14:textId="6E5E77E1" w:rsidR="002F6240" w:rsidRPr="00194370" w:rsidRDefault="002F6240" w:rsidP="002F6240">
      <w:r w:rsidRPr="00194370">
        <w:t>Following the release of the strengthened policy in October 2022, the Water Legislation Amendment Bill 2022 was introduced to the QLD Parliament and includes legislative amendments to establish a strengthened water measurement framework. Meter revalidation is ongoing and new metering in the QLD portion of the Murray-Darling Basin (QMDB) is expected to commence during 2023. Under the policy, telemetry will be required for surface water entitlements in the QMDB.</w:t>
      </w:r>
    </w:p>
    <w:p w14:paraId="59FB0B85" w14:textId="77777777" w:rsidR="002F6240" w:rsidRDefault="002F6240" w:rsidP="002F6240">
      <w:r w:rsidRPr="00194370">
        <w:t xml:space="preserve">QLD completed work to develop a telemetry guideline during early 2023 and is progressing a telemetry subsidy to support the installation of telemetry devices in the QMDB. Work on overland flow measurement framework continues in accordance with the QLD’s program to improve the measurement of overland flow. The measurement framework caters to the wide range of water use scenarios and types of water entitlement with fit for purpose measurement requirements and will deliver robust, repeatable, measurement alongside defensibility for the water user. As work to strengthen water measurement in QLD proceeds, QLD will be progressively </w:t>
      </w:r>
      <w:proofErr w:type="gramStart"/>
      <w:r w:rsidRPr="00194370">
        <w:t>improve</w:t>
      </w:r>
      <w:proofErr w:type="gramEnd"/>
      <w:r w:rsidRPr="00194370">
        <w:t xml:space="preserve"> reporting against the metrics in future iterations of this Report Card.</w:t>
      </w:r>
    </w:p>
    <w:p w14:paraId="0EF5CB5B" w14:textId="77777777" w:rsidR="002F6240" w:rsidRDefault="002F6240" w:rsidP="002F6240"/>
    <w:p w14:paraId="068713F7" w14:textId="77777777" w:rsidR="002F6240" w:rsidRDefault="002F6240" w:rsidP="002F6240">
      <w:pPr>
        <w:rPr>
          <w:szCs w:val="20"/>
        </w:rPr>
      </w:pPr>
      <w:r w:rsidRPr="002F6240">
        <w:rPr>
          <w:szCs w:val="20"/>
        </w:rPr>
        <w:t>The IGWC makes no claim as to the accuracy of the data shown on this page. Data is collated and supplied directly from the states.</w:t>
      </w:r>
    </w:p>
    <w:p w14:paraId="3456F3B1" w14:textId="2603DE64" w:rsidR="00F347A3" w:rsidRPr="00297248" w:rsidRDefault="00902CDD" w:rsidP="00B42858">
      <w:pPr>
        <w:pStyle w:val="Heading2"/>
      </w:pPr>
      <w:r>
        <w:lastRenderedPageBreak/>
        <w:t>M</w:t>
      </w:r>
      <w:r w:rsidR="00F347A3" w:rsidRPr="00297248">
        <w:t>urray-Darling Basin –</w:t>
      </w:r>
      <w:r w:rsidR="00F347A3">
        <w:t xml:space="preserve"> South Australia</w:t>
      </w:r>
      <w:r w:rsidR="00F347A3" w:rsidRPr="00297248">
        <w:t xml:space="preserve"> Metering Report Card</w:t>
      </w:r>
    </w:p>
    <w:p w14:paraId="06CF995B" w14:textId="77777777" w:rsidR="00F347A3" w:rsidRPr="00297248" w:rsidRDefault="00F347A3" w:rsidP="00F347A3">
      <w:pPr>
        <w:pStyle w:val="Heading3"/>
      </w:pPr>
      <w:r w:rsidRPr="00297248">
        <w:t xml:space="preserve">1 Jul 2021 – 30 Jun 2022. Progress from 2020 – 21 metering report </w:t>
      </w:r>
      <w:proofErr w:type="gramStart"/>
      <w:r w:rsidRPr="00297248">
        <w:t>card</w:t>
      </w:r>
      <w:proofErr w:type="gramEnd"/>
      <w:r w:rsidRPr="00297248">
        <w:t xml:space="preserve"> indicated in brackets</w:t>
      </w:r>
    </w:p>
    <w:p w14:paraId="653AF98B" w14:textId="245E6AFA" w:rsidR="00F347A3" w:rsidRPr="00592481" w:rsidRDefault="00F347A3" w:rsidP="00F347A3">
      <w:pPr>
        <w:pStyle w:val="Heading2"/>
        <w:rPr>
          <w:w w:val="110"/>
          <w:sz w:val="24"/>
          <w:szCs w:val="16"/>
        </w:rPr>
      </w:pPr>
      <w:r w:rsidRPr="00A27456">
        <w:rPr>
          <w:sz w:val="24"/>
          <w:szCs w:val="16"/>
        </w:rPr>
        <w:t xml:space="preserve">Table </w:t>
      </w:r>
      <w:r w:rsidR="007452B1">
        <w:rPr>
          <w:sz w:val="24"/>
          <w:szCs w:val="16"/>
        </w:rPr>
        <w:t>21</w:t>
      </w:r>
      <w:r w:rsidRPr="00A27456">
        <w:rPr>
          <w:sz w:val="24"/>
          <w:szCs w:val="16"/>
        </w:rPr>
        <w:t xml:space="preserve">. </w:t>
      </w:r>
      <w:r w:rsidRPr="00C72EA6">
        <w:rPr>
          <w:w w:val="110"/>
          <w:sz w:val="24"/>
          <w:szCs w:val="16"/>
        </w:rPr>
        <w:t xml:space="preserve">Percentage of water take metered in </w:t>
      </w:r>
      <w:r w:rsidR="00C41C4D">
        <w:rPr>
          <w:w w:val="110"/>
          <w:sz w:val="24"/>
          <w:szCs w:val="16"/>
        </w:rPr>
        <w:t xml:space="preserve">South Australia </w:t>
      </w:r>
    </w:p>
    <w:tbl>
      <w:tblPr>
        <w:tblStyle w:val="TableGridLight"/>
        <w:tblW w:w="5387" w:type="dxa"/>
        <w:tblLook w:val="04A0" w:firstRow="1" w:lastRow="0" w:firstColumn="1" w:lastColumn="0" w:noHBand="0" w:noVBand="1"/>
      </w:tblPr>
      <w:tblGrid>
        <w:gridCol w:w="3544"/>
        <w:gridCol w:w="1843"/>
      </w:tblGrid>
      <w:tr w:rsidR="007452B1" w14:paraId="4F007331" w14:textId="77777777" w:rsidTr="00CF13B8">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22844042" w14:textId="636BF777" w:rsidR="007452B1" w:rsidRDefault="007452B1" w:rsidP="007452B1">
            <w:pPr>
              <w:pStyle w:val="TableText"/>
            </w:pPr>
            <w:r>
              <w:t xml:space="preserve">Metered water </w:t>
            </w:r>
            <w:proofErr w:type="gramStart"/>
            <w:r>
              <w:t>take</w:t>
            </w:r>
            <w:proofErr w:type="gramEnd"/>
          </w:p>
        </w:tc>
        <w:tc>
          <w:tcPr>
            <w:tcW w:w="1843" w:type="dxa"/>
            <w:shd w:val="clear" w:color="auto" w:fill="auto"/>
          </w:tcPr>
          <w:p w14:paraId="46A1F9FF" w14:textId="12FE32D1" w:rsidR="007452B1" w:rsidRDefault="007452B1" w:rsidP="007452B1">
            <w:pPr>
              <w:pStyle w:val="TableText"/>
              <w:rPr>
                <w:w w:val="115"/>
              </w:rPr>
            </w:pPr>
            <w:r>
              <w:t>98%</w:t>
            </w:r>
          </w:p>
        </w:tc>
      </w:tr>
      <w:tr w:rsidR="007452B1" w14:paraId="6048B582" w14:textId="77777777" w:rsidTr="00D33744">
        <w:tc>
          <w:tcPr>
            <w:tcW w:w="3544" w:type="dxa"/>
          </w:tcPr>
          <w:p w14:paraId="5F500A8C" w14:textId="649F5C5D" w:rsidR="007452B1" w:rsidRDefault="007452B1" w:rsidP="007452B1">
            <w:pPr>
              <w:pStyle w:val="TableText"/>
            </w:pPr>
            <w:r>
              <w:t xml:space="preserve">Exempt water </w:t>
            </w:r>
            <w:proofErr w:type="gramStart"/>
            <w:r>
              <w:t>take</w:t>
            </w:r>
            <w:proofErr w:type="gramEnd"/>
          </w:p>
        </w:tc>
        <w:tc>
          <w:tcPr>
            <w:tcW w:w="1843" w:type="dxa"/>
          </w:tcPr>
          <w:p w14:paraId="1CB17E58" w14:textId="3EB793A3" w:rsidR="007452B1" w:rsidRDefault="007452B1" w:rsidP="007452B1">
            <w:pPr>
              <w:pStyle w:val="TableText"/>
              <w:rPr>
                <w:w w:val="115"/>
              </w:rPr>
            </w:pPr>
            <w:r>
              <w:t>2%</w:t>
            </w:r>
          </w:p>
        </w:tc>
      </w:tr>
      <w:tr w:rsidR="007452B1" w14:paraId="0FEE0B7A" w14:textId="77777777" w:rsidTr="00D33744">
        <w:tc>
          <w:tcPr>
            <w:tcW w:w="3544" w:type="dxa"/>
          </w:tcPr>
          <w:p w14:paraId="60681743" w14:textId="6FF8C158" w:rsidR="007452B1" w:rsidRDefault="007452B1" w:rsidP="007452B1">
            <w:pPr>
              <w:pStyle w:val="TableText"/>
            </w:pPr>
            <w:r>
              <w:t xml:space="preserve">Not yet metered water </w:t>
            </w:r>
            <w:proofErr w:type="gramStart"/>
            <w:r>
              <w:t>take</w:t>
            </w:r>
            <w:proofErr w:type="gramEnd"/>
          </w:p>
        </w:tc>
        <w:tc>
          <w:tcPr>
            <w:tcW w:w="1843" w:type="dxa"/>
          </w:tcPr>
          <w:p w14:paraId="145159C8" w14:textId="66D99ED9" w:rsidR="007452B1" w:rsidRDefault="007452B1" w:rsidP="007452B1">
            <w:pPr>
              <w:pStyle w:val="TableText"/>
              <w:rPr>
                <w:w w:val="115"/>
              </w:rPr>
            </w:pPr>
            <w:r>
              <w:t>0%</w:t>
            </w:r>
          </w:p>
        </w:tc>
      </w:tr>
    </w:tbl>
    <w:p w14:paraId="3A3AF52D" w14:textId="77777777" w:rsidR="00F347A3" w:rsidRDefault="00F347A3" w:rsidP="00F347A3">
      <w:pPr>
        <w:spacing w:after="0"/>
      </w:pPr>
    </w:p>
    <w:p w14:paraId="02DC9F7C" w14:textId="77777777" w:rsidR="00F347A3" w:rsidRDefault="00F347A3" w:rsidP="00F347A3">
      <w:pPr>
        <w:spacing w:after="0"/>
      </w:pPr>
      <w:r w:rsidRPr="004174D9">
        <w:t xml:space="preserve">This measure is reported to highlight percentage of </w:t>
      </w:r>
      <w:proofErr w:type="spellStart"/>
      <w:r w:rsidRPr="004174D9">
        <w:t>meterable</w:t>
      </w:r>
      <w:proofErr w:type="spellEnd"/>
      <w:r w:rsidRPr="004174D9">
        <w:t xml:space="preserve"> water take across the Murray-Darling Basin by each State that is metered. </w:t>
      </w:r>
    </w:p>
    <w:p w14:paraId="64DF0D3E" w14:textId="77777777" w:rsidR="00F347A3" w:rsidRDefault="00F347A3" w:rsidP="00F347A3">
      <w:pPr>
        <w:spacing w:after="0"/>
      </w:pPr>
      <w:r w:rsidRPr="004174D9">
        <w:t>Data owner/sources: State regulators.</w:t>
      </w:r>
    </w:p>
    <w:p w14:paraId="53C42192" w14:textId="2E277441" w:rsidR="00F347A3" w:rsidRPr="00592481" w:rsidRDefault="00F347A3" w:rsidP="00F347A3">
      <w:pPr>
        <w:pStyle w:val="Heading2"/>
        <w:rPr>
          <w:w w:val="110"/>
          <w:sz w:val="24"/>
          <w:szCs w:val="16"/>
        </w:rPr>
      </w:pPr>
      <w:r w:rsidRPr="00A27456">
        <w:rPr>
          <w:sz w:val="24"/>
          <w:szCs w:val="16"/>
        </w:rPr>
        <w:t xml:space="preserve">Table </w:t>
      </w:r>
      <w:r w:rsidR="007452B1">
        <w:rPr>
          <w:sz w:val="24"/>
          <w:szCs w:val="16"/>
        </w:rPr>
        <w:t>22</w:t>
      </w:r>
      <w:r w:rsidRPr="00A27456">
        <w:rPr>
          <w:sz w:val="24"/>
          <w:szCs w:val="16"/>
        </w:rPr>
        <w:t xml:space="preserve">. </w:t>
      </w:r>
      <w:r w:rsidRPr="00AA6D67">
        <w:rPr>
          <w:w w:val="110"/>
          <w:sz w:val="24"/>
          <w:szCs w:val="16"/>
        </w:rPr>
        <w:t xml:space="preserve">Metering accuracy in </w:t>
      </w:r>
      <w:r w:rsidR="007452B1">
        <w:rPr>
          <w:w w:val="110"/>
          <w:sz w:val="24"/>
          <w:szCs w:val="16"/>
        </w:rPr>
        <w:t xml:space="preserve">South Australia </w:t>
      </w:r>
    </w:p>
    <w:tbl>
      <w:tblPr>
        <w:tblStyle w:val="TableGridLight"/>
        <w:tblW w:w="5387" w:type="dxa"/>
        <w:tblLook w:val="04A0" w:firstRow="1" w:lastRow="0" w:firstColumn="1" w:lastColumn="0" w:noHBand="0" w:noVBand="1"/>
      </w:tblPr>
      <w:tblGrid>
        <w:gridCol w:w="3544"/>
        <w:gridCol w:w="1843"/>
      </w:tblGrid>
      <w:tr w:rsidR="003B4BAC" w14:paraId="5D183928" w14:textId="77777777" w:rsidTr="00CF13B8">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2648D22E" w14:textId="2DDCB71B" w:rsidR="003B4BAC" w:rsidRDefault="003B4BAC" w:rsidP="003B4BAC">
            <w:pPr>
              <w:pStyle w:val="TableText"/>
            </w:pPr>
            <w:r>
              <w:t>AS4747 meters</w:t>
            </w:r>
          </w:p>
        </w:tc>
        <w:tc>
          <w:tcPr>
            <w:tcW w:w="1843" w:type="dxa"/>
            <w:shd w:val="clear" w:color="auto" w:fill="auto"/>
          </w:tcPr>
          <w:p w14:paraId="52B3F704" w14:textId="6F999E64" w:rsidR="003B4BAC" w:rsidRDefault="003B4BAC" w:rsidP="003B4BAC">
            <w:pPr>
              <w:pStyle w:val="TableText"/>
              <w:rPr>
                <w:w w:val="115"/>
              </w:rPr>
            </w:pPr>
            <w:r>
              <w:t>7% (+0.1%)</w:t>
            </w:r>
          </w:p>
        </w:tc>
      </w:tr>
      <w:tr w:rsidR="003B4BAC" w14:paraId="15DB2878" w14:textId="77777777" w:rsidTr="00D33744">
        <w:tc>
          <w:tcPr>
            <w:tcW w:w="3544" w:type="dxa"/>
          </w:tcPr>
          <w:p w14:paraId="0555922B" w14:textId="02F1BB75" w:rsidR="003B4BAC" w:rsidRDefault="003B4BAC" w:rsidP="003B4BAC">
            <w:pPr>
              <w:pStyle w:val="TableText"/>
            </w:pPr>
            <w:r>
              <w:t>Grandfathered meters</w:t>
            </w:r>
          </w:p>
        </w:tc>
        <w:tc>
          <w:tcPr>
            <w:tcW w:w="1843" w:type="dxa"/>
          </w:tcPr>
          <w:p w14:paraId="3ED53EE8" w14:textId="3BA8896E" w:rsidR="003B4BAC" w:rsidRDefault="003B4BAC" w:rsidP="003B4BAC">
            <w:pPr>
              <w:pStyle w:val="TableText"/>
              <w:rPr>
                <w:w w:val="115"/>
              </w:rPr>
            </w:pPr>
            <w:r>
              <w:t>93%</w:t>
            </w:r>
          </w:p>
        </w:tc>
      </w:tr>
      <w:tr w:rsidR="003B4BAC" w14:paraId="708453F7" w14:textId="77777777" w:rsidTr="00D33744">
        <w:tc>
          <w:tcPr>
            <w:tcW w:w="3544" w:type="dxa"/>
          </w:tcPr>
          <w:p w14:paraId="13AC4370" w14:textId="4AE71C46" w:rsidR="003B4BAC" w:rsidRDefault="003B4BAC" w:rsidP="003B4BAC">
            <w:pPr>
              <w:pStyle w:val="TableText"/>
            </w:pPr>
            <w:r>
              <w:t>All other meters</w:t>
            </w:r>
          </w:p>
        </w:tc>
        <w:tc>
          <w:tcPr>
            <w:tcW w:w="1843" w:type="dxa"/>
          </w:tcPr>
          <w:p w14:paraId="52A3C9DF" w14:textId="3D299967" w:rsidR="003B4BAC" w:rsidRDefault="003B4BAC" w:rsidP="003B4BAC">
            <w:pPr>
              <w:pStyle w:val="TableText"/>
              <w:rPr>
                <w:w w:val="115"/>
              </w:rPr>
            </w:pPr>
            <w:r>
              <w:t>0%</w:t>
            </w:r>
          </w:p>
        </w:tc>
      </w:tr>
    </w:tbl>
    <w:p w14:paraId="1F961069" w14:textId="77777777" w:rsidR="00F347A3" w:rsidRDefault="00F347A3" w:rsidP="00F347A3">
      <w:pPr>
        <w:spacing w:after="0"/>
      </w:pPr>
    </w:p>
    <w:p w14:paraId="5B00525A" w14:textId="77777777" w:rsidR="00F347A3" w:rsidRDefault="00F347A3" w:rsidP="00F347A3">
      <w:pPr>
        <w:spacing w:after="0"/>
      </w:pPr>
      <w:r w:rsidRPr="008632EE">
        <w:t xml:space="preserve">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 </w:t>
      </w:r>
    </w:p>
    <w:p w14:paraId="3664281A" w14:textId="77777777" w:rsidR="00F347A3" w:rsidRDefault="00F347A3" w:rsidP="00F347A3">
      <w:pPr>
        <w:spacing w:after="0"/>
      </w:pPr>
      <w:r w:rsidRPr="008632EE">
        <w:t>Data owner/sources: State regulators</w:t>
      </w:r>
    </w:p>
    <w:p w14:paraId="3B634C61" w14:textId="5692D4B3" w:rsidR="00F347A3" w:rsidRPr="00592481" w:rsidRDefault="00F347A3" w:rsidP="00F347A3">
      <w:pPr>
        <w:pStyle w:val="Heading2"/>
        <w:rPr>
          <w:w w:val="110"/>
          <w:sz w:val="24"/>
          <w:szCs w:val="16"/>
        </w:rPr>
      </w:pPr>
      <w:r w:rsidRPr="00A27456">
        <w:rPr>
          <w:sz w:val="24"/>
          <w:szCs w:val="16"/>
        </w:rPr>
        <w:t xml:space="preserve">Table </w:t>
      </w:r>
      <w:r w:rsidR="00BA502A">
        <w:rPr>
          <w:sz w:val="24"/>
          <w:szCs w:val="16"/>
        </w:rPr>
        <w:t>23</w:t>
      </w:r>
      <w:r w:rsidRPr="00A27456">
        <w:rPr>
          <w:sz w:val="24"/>
          <w:szCs w:val="16"/>
        </w:rPr>
        <w:t xml:space="preserve">. </w:t>
      </w:r>
      <w:r w:rsidRPr="003A269E">
        <w:rPr>
          <w:w w:val="110"/>
          <w:sz w:val="24"/>
          <w:szCs w:val="16"/>
        </w:rPr>
        <w:t>Telemetry coverage</w:t>
      </w:r>
    </w:p>
    <w:tbl>
      <w:tblPr>
        <w:tblStyle w:val="TableGridLight"/>
        <w:tblW w:w="9639" w:type="dxa"/>
        <w:tblLook w:val="04A0" w:firstRow="1" w:lastRow="0" w:firstColumn="1" w:lastColumn="0" w:noHBand="0" w:noVBand="1"/>
      </w:tblPr>
      <w:tblGrid>
        <w:gridCol w:w="7938"/>
        <w:gridCol w:w="1701"/>
      </w:tblGrid>
      <w:tr w:rsidR="00F347A3" w14:paraId="1C3EF5E4" w14:textId="77777777" w:rsidTr="00D33744">
        <w:trPr>
          <w:cnfStyle w:val="100000000000" w:firstRow="1" w:lastRow="0" w:firstColumn="0" w:lastColumn="0" w:oddVBand="0" w:evenVBand="0" w:oddHBand="0" w:evenHBand="0" w:firstRowFirstColumn="0" w:firstRowLastColumn="0" w:lastRowFirstColumn="0" w:lastRowLastColumn="0"/>
        </w:trPr>
        <w:tc>
          <w:tcPr>
            <w:tcW w:w="7938" w:type="dxa"/>
            <w:shd w:val="clear" w:color="auto" w:fill="auto"/>
          </w:tcPr>
          <w:p w14:paraId="6B760465" w14:textId="77777777" w:rsidR="00F347A3" w:rsidRDefault="00F347A3" w:rsidP="00D33744">
            <w:r>
              <w:t>Meter % with telemetry connected to the regulator’s data collection system</w:t>
            </w:r>
          </w:p>
        </w:tc>
        <w:tc>
          <w:tcPr>
            <w:tcW w:w="1701" w:type="dxa"/>
            <w:shd w:val="clear" w:color="auto" w:fill="auto"/>
          </w:tcPr>
          <w:p w14:paraId="29938AC2" w14:textId="77777777" w:rsidR="00F347A3" w:rsidRDefault="00F347A3" w:rsidP="00D33744">
            <w:pPr>
              <w:pStyle w:val="TableText"/>
              <w:rPr>
                <w:w w:val="115"/>
              </w:rPr>
            </w:pPr>
            <w:r>
              <w:t>0%</w:t>
            </w:r>
          </w:p>
        </w:tc>
      </w:tr>
      <w:tr w:rsidR="00F347A3" w14:paraId="0C2CA915" w14:textId="77777777" w:rsidTr="00D33744">
        <w:tc>
          <w:tcPr>
            <w:tcW w:w="7938" w:type="dxa"/>
          </w:tcPr>
          <w:p w14:paraId="366BF542" w14:textId="77777777" w:rsidR="00F347A3" w:rsidRDefault="00F347A3" w:rsidP="00D33744">
            <w:r>
              <w:t>Meter % required to have telemetry connected to the regulator’s data collection system, but which are not connected</w:t>
            </w:r>
          </w:p>
        </w:tc>
        <w:tc>
          <w:tcPr>
            <w:tcW w:w="1701" w:type="dxa"/>
          </w:tcPr>
          <w:p w14:paraId="66ACBF1D" w14:textId="5EDAFA7F" w:rsidR="00F347A3" w:rsidRDefault="00F347A3" w:rsidP="00D33744">
            <w:pPr>
              <w:pStyle w:val="TableText"/>
              <w:rPr>
                <w:w w:val="115"/>
              </w:rPr>
            </w:pPr>
            <w:r>
              <w:t>0</w:t>
            </w:r>
            <w:r w:rsidR="003D4C73">
              <w:t>.3</w:t>
            </w:r>
            <w:r>
              <w:t>%</w:t>
            </w:r>
          </w:p>
        </w:tc>
      </w:tr>
      <w:tr w:rsidR="00F347A3" w14:paraId="69458BCD" w14:textId="77777777" w:rsidTr="00D33744">
        <w:tc>
          <w:tcPr>
            <w:tcW w:w="7938" w:type="dxa"/>
          </w:tcPr>
          <w:p w14:paraId="285F5389" w14:textId="77777777" w:rsidR="00F347A3" w:rsidRDefault="00F347A3" w:rsidP="00D33744">
            <w:pPr>
              <w:pStyle w:val="TableText"/>
            </w:pPr>
            <w:r>
              <w:t>Meter % with telemetry not required</w:t>
            </w:r>
          </w:p>
        </w:tc>
        <w:tc>
          <w:tcPr>
            <w:tcW w:w="1701" w:type="dxa"/>
          </w:tcPr>
          <w:p w14:paraId="6C147E7E" w14:textId="6F4DCC11" w:rsidR="00F347A3" w:rsidRDefault="003D4C73" w:rsidP="00D33744">
            <w:pPr>
              <w:pStyle w:val="TableText"/>
              <w:rPr>
                <w:w w:val="115"/>
              </w:rPr>
            </w:pPr>
            <w:r>
              <w:t>99.7</w:t>
            </w:r>
            <w:r w:rsidR="00F347A3">
              <w:t>%</w:t>
            </w:r>
          </w:p>
        </w:tc>
      </w:tr>
    </w:tbl>
    <w:p w14:paraId="2C112432" w14:textId="77777777" w:rsidR="00F347A3" w:rsidRDefault="00F347A3" w:rsidP="00F347A3">
      <w:pPr>
        <w:spacing w:after="0"/>
      </w:pPr>
    </w:p>
    <w:p w14:paraId="28A65B25" w14:textId="77777777" w:rsidR="00F347A3" w:rsidRDefault="00F347A3" w:rsidP="00F347A3">
      <w:pPr>
        <w:spacing w:after="0"/>
      </w:pPr>
      <w:r w:rsidRPr="00E27A8E">
        <w:t xml:space="preserve">This measure is reported to identify the percentage of meters with telemetry connected to the regulator’s data system. </w:t>
      </w:r>
    </w:p>
    <w:p w14:paraId="11037123" w14:textId="77777777" w:rsidR="00F347A3" w:rsidRDefault="00F347A3" w:rsidP="00F347A3">
      <w:pPr>
        <w:spacing w:after="0"/>
      </w:pPr>
      <w:r w:rsidRPr="00E27A8E">
        <w:t>Data owner/sources: State regulators</w:t>
      </w:r>
    </w:p>
    <w:p w14:paraId="4C180542" w14:textId="77777777" w:rsidR="00F347A3" w:rsidRDefault="00F347A3" w:rsidP="00F347A3">
      <w:pPr>
        <w:spacing w:after="0"/>
      </w:pPr>
    </w:p>
    <w:p w14:paraId="05F81535" w14:textId="77777777" w:rsidR="005E79FC" w:rsidRDefault="005E79FC">
      <w:pPr>
        <w:spacing w:after="0"/>
        <w:rPr>
          <w:rFonts w:cs="Arial"/>
          <w:b/>
          <w:color w:val="48555E" w:themeColor="text2"/>
          <w:sz w:val="26"/>
        </w:rPr>
      </w:pPr>
      <w:r>
        <w:br w:type="page"/>
      </w:r>
    </w:p>
    <w:p w14:paraId="508EA1FF" w14:textId="4F6F901A" w:rsidR="00F347A3" w:rsidRDefault="00F347A3" w:rsidP="00B42858">
      <w:pPr>
        <w:pStyle w:val="Heading3"/>
      </w:pPr>
      <w:r w:rsidRPr="00184D6A">
        <w:lastRenderedPageBreak/>
        <w:t xml:space="preserve">How is meter data collected where telemetry is not </w:t>
      </w:r>
      <w:proofErr w:type="gramStart"/>
      <w:r w:rsidRPr="00184D6A">
        <w:t>used</w:t>
      </w:r>
      <w:proofErr w:type="gramEnd"/>
    </w:p>
    <w:p w14:paraId="487C9DA9" w14:textId="77777777" w:rsidR="00F14013" w:rsidRDefault="00F14013" w:rsidP="00F14013">
      <w:r w:rsidRPr="00275BE8">
        <w:t>Quarterly reads provided by licensee in River Murray prescribed watercourse. Annual reads provided by licensee in other MDB regions.</w:t>
      </w:r>
    </w:p>
    <w:p w14:paraId="6FB9399A" w14:textId="77777777" w:rsidR="00F14013" w:rsidRPr="00275BE8" w:rsidRDefault="00F14013" w:rsidP="00F14013"/>
    <w:p w14:paraId="2FE3C7A6" w14:textId="77777777" w:rsidR="00F14013" w:rsidRPr="00275BE8" w:rsidRDefault="00F14013" w:rsidP="00F14013">
      <w:r w:rsidRPr="00275BE8">
        <w:t>This measure is reported to identify how meter data is collected and how often when telemetry is not being used. Data owner/sources: State regulators.</w:t>
      </w:r>
    </w:p>
    <w:p w14:paraId="3BA45CCA" w14:textId="77777777" w:rsidR="00F347A3" w:rsidRPr="008073C2" w:rsidRDefault="00F347A3" w:rsidP="00F347A3"/>
    <w:p w14:paraId="2B88908B" w14:textId="77777777" w:rsidR="00F347A3" w:rsidRDefault="00F347A3" w:rsidP="00F347A3">
      <w:pPr>
        <w:pStyle w:val="Heading3"/>
      </w:pPr>
      <w:r>
        <w:t>State overview</w:t>
      </w:r>
    </w:p>
    <w:p w14:paraId="7DD6BD5F" w14:textId="77777777" w:rsidR="008B37E8" w:rsidRDefault="004A40E1" w:rsidP="004A40E1">
      <w:r>
        <w:t>The State’s policy mandates that all licensed water take in South Australia must be metered, with the exception of low-risk water use (</w:t>
      </w:r>
      <w:proofErr w:type="gramStart"/>
      <w:r>
        <w:t>e.g.</w:t>
      </w:r>
      <w:proofErr w:type="gramEnd"/>
      <w:r>
        <w:t xml:space="preserve"> stock and domestic with these exceptions published in regional Metering Implementation Plans). This means that 98% of the volume of water taken from the South Australian portion of Murray-Darling Basin is currently metered and all water use is accounted for. </w:t>
      </w:r>
    </w:p>
    <w:p w14:paraId="340486DC" w14:textId="7E64D89B" w:rsidR="004A40E1" w:rsidRDefault="004A40E1" w:rsidP="004A40E1">
      <w:r>
        <w:t>In response to the obligations in the Murray-Darling Basin Compliance Compact, South Australia introduced legislation in 2019 to require that all replacement meters are compliant with AS4747. The percentage of meters currently AS4747 compliant is 7% and this will continue to grow as meters are replaced. All meters in South Australia are compliant with the State’s metering policy (being either grandfathered or AS4747 compliant).</w:t>
      </w:r>
    </w:p>
    <w:p w14:paraId="59D066F3" w14:textId="77777777" w:rsidR="008B37E8" w:rsidRDefault="004A40E1" w:rsidP="004A40E1">
      <w:r>
        <w:t xml:space="preserve">South Australia is currently reviewing its metering policies to achieve alignment with the MAF2’s national requirements, scheduled to be completed in 2024. </w:t>
      </w:r>
    </w:p>
    <w:p w14:paraId="47AF270B" w14:textId="77777777" w:rsidR="008B37E8" w:rsidRDefault="004A40E1" w:rsidP="004A40E1">
      <w:r>
        <w:t xml:space="preserve">The volume of water used by each licence holder is accounted for quarterly in the </w:t>
      </w:r>
      <w:proofErr w:type="gramStart"/>
      <w:r>
        <w:t>River</w:t>
      </w:r>
      <w:proofErr w:type="gramEnd"/>
      <w:r>
        <w:t xml:space="preserve"> Murray (annually for other areas of the Basin) and if any water is used in excess of, or without, allocation, mandatory financial penalties apply for each kilolitre of water taken unauthorised. In addition, South Australia has an annual compliance program, whereby a minimum of 10% of licensed sites are visited each year (over 20% visited in recent years) which includes meter inspections and prioritisation of </w:t>
      </w:r>
      <w:proofErr w:type="gramStart"/>
      <w:r>
        <w:t>high risk</w:t>
      </w:r>
      <w:proofErr w:type="gramEnd"/>
      <w:r>
        <w:t xml:space="preserve"> sites. </w:t>
      </w:r>
    </w:p>
    <w:p w14:paraId="484B70C6" w14:textId="77777777" w:rsidR="00183B89" w:rsidRDefault="004A40E1" w:rsidP="004A40E1">
      <w:r>
        <w:t xml:space="preserve">SA acknowledges that telemetry plays a supporting role in compliance and are trialling the suitability of retrofitted telemetry technologies and on-farm water usage analytics during 2022–23. </w:t>
      </w:r>
    </w:p>
    <w:p w14:paraId="2CB66D1B" w14:textId="249020EA" w:rsidR="004A40E1" w:rsidRDefault="004A40E1" w:rsidP="004A40E1">
      <w:r>
        <w:t>The effectiveness of SA’s compliance strategies is demonstrated through high licensee compliance rates with water take rules, which reach 98–99% across the State.</w:t>
      </w:r>
    </w:p>
    <w:p w14:paraId="64E14FDD" w14:textId="77777777" w:rsidR="00F347A3" w:rsidRDefault="00F347A3" w:rsidP="00F347A3"/>
    <w:p w14:paraId="32C1BA1C" w14:textId="77777777" w:rsidR="00F347A3" w:rsidRDefault="00F347A3" w:rsidP="00F347A3"/>
    <w:p w14:paraId="4D0DA26E" w14:textId="77777777" w:rsidR="00F347A3" w:rsidRDefault="00F347A3" w:rsidP="00F347A3">
      <w:r>
        <w:t>The IGWC makes no claim as to the accuracy of the data shown on this page. Data is collated and supplied directly from the states.</w:t>
      </w:r>
    </w:p>
    <w:p w14:paraId="1F1D4322" w14:textId="77777777" w:rsidR="00F347A3" w:rsidRDefault="00F347A3" w:rsidP="00F347A3">
      <w:pPr>
        <w:spacing w:after="0"/>
      </w:pPr>
      <w:r>
        <w:br w:type="page"/>
      </w:r>
    </w:p>
    <w:p w14:paraId="40EF416B" w14:textId="51A441D8" w:rsidR="00F15703" w:rsidRPr="00297248" w:rsidRDefault="00F15703" w:rsidP="00B42858">
      <w:pPr>
        <w:pStyle w:val="Heading2"/>
      </w:pPr>
      <w:r w:rsidRPr="00297248">
        <w:lastRenderedPageBreak/>
        <w:t>Murray-Darling Basin –</w:t>
      </w:r>
      <w:r>
        <w:t xml:space="preserve"> Victoria</w:t>
      </w:r>
      <w:r w:rsidRPr="00297248">
        <w:t xml:space="preserve"> Metering Report Card</w:t>
      </w:r>
    </w:p>
    <w:p w14:paraId="35AD8B66" w14:textId="77777777" w:rsidR="00F15703" w:rsidRPr="00297248" w:rsidRDefault="00F15703" w:rsidP="00B42858">
      <w:pPr>
        <w:pStyle w:val="Heading3"/>
      </w:pPr>
      <w:r w:rsidRPr="00297248">
        <w:t xml:space="preserve">1 Jul 2021 – 30 Jun 2022. Progress from 2020 – 21 metering report </w:t>
      </w:r>
      <w:proofErr w:type="gramStart"/>
      <w:r w:rsidRPr="00297248">
        <w:t>card</w:t>
      </w:r>
      <w:proofErr w:type="gramEnd"/>
      <w:r w:rsidRPr="00297248">
        <w:t xml:space="preserve"> indicated in brackets</w:t>
      </w:r>
    </w:p>
    <w:p w14:paraId="5DC9A69D" w14:textId="3CEE5D9E" w:rsidR="00F15703" w:rsidRPr="00592481" w:rsidRDefault="00F15703" w:rsidP="00F15703">
      <w:pPr>
        <w:pStyle w:val="Heading2"/>
        <w:rPr>
          <w:w w:val="110"/>
          <w:sz w:val="24"/>
          <w:szCs w:val="16"/>
        </w:rPr>
      </w:pPr>
      <w:r w:rsidRPr="00A27456">
        <w:rPr>
          <w:sz w:val="24"/>
          <w:szCs w:val="16"/>
        </w:rPr>
        <w:t xml:space="preserve">Table </w:t>
      </w:r>
      <w:r>
        <w:rPr>
          <w:sz w:val="24"/>
          <w:szCs w:val="16"/>
        </w:rPr>
        <w:t>21</w:t>
      </w:r>
      <w:r w:rsidRPr="00A27456">
        <w:rPr>
          <w:sz w:val="24"/>
          <w:szCs w:val="16"/>
        </w:rPr>
        <w:t xml:space="preserve">. </w:t>
      </w:r>
      <w:r w:rsidRPr="00C72EA6">
        <w:rPr>
          <w:w w:val="110"/>
          <w:sz w:val="24"/>
          <w:szCs w:val="16"/>
        </w:rPr>
        <w:t xml:space="preserve">Percentage of water take metered in </w:t>
      </w:r>
      <w:proofErr w:type="gramStart"/>
      <w:r>
        <w:rPr>
          <w:w w:val="110"/>
          <w:sz w:val="24"/>
          <w:szCs w:val="16"/>
        </w:rPr>
        <w:t>Victoria</w:t>
      </w:r>
      <w:proofErr w:type="gramEnd"/>
    </w:p>
    <w:tbl>
      <w:tblPr>
        <w:tblStyle w:val="TableGridLight"/>
        <w:tblW w:w="5387" w:type="dxa"/>
        <w:tblLook w:val="04A0" w:firstRow="1" w:lastRow="0" w:firstColumn="1" w:lastColumn="0" w:noHBand="0" w:noVBand="1"/>
      </w:tblPr>
      <w:tblGrid>
        <w:gridCol w:w="3544"/>
        <w:gridCol w:w="1843"/>
      </w:tblGrid>
      <w:tr w:rsidR="00C86312" w14:paraId="2D1F09D9" w14:textId="77777777" w:rsidTr="00CF13B8">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1C09B7B8" w14:textId="763B8FAA" w:rsidR="00C86312" w:rsidRDefault="00C86312" w:rsidP="00C86312">
            <w:pPr>
              <w:pStyle w:val="TableText"/>
            </w:pPr>
            <w:r>
              <w:t xml:space="preserve">Metered water </w:t>
            </w:r>
            <w:proofErr w:type="gramStart"/>
            <w:r>
              <w:t>take</w:t>
            </w:r>
            <w:proofErr w:type="gramEnd"/>
          </w:p>
        </w:tc>
        <w:tc>
          <w:tcPr>
            <w:tcW w:w="1843" w:type="dxa"/>
            <w:shd w:val="clear" w:color="auto" w:fill="auto"/>
          </w:tcPr>
          <w:p w14:paraId="3BD9C9C9" w14:textId="28FCD335" w:rsidR="00C86312" w:rsidRDefault="00C86312" w:rsidP="00C86312">
            <w:pPr>
              <w:pStyle w:val="TableText"/>
              <w:rPr>
                <w:w w:val="115"/>
              </w:rPr>
            </w:pPr>
            <w:r>
              <w:t>98% (+2%)</w:t>
            </w:r>
          </w:p>
        </w:tc>
      </w:tr>
      <w:tr w:rsidR="00C86312" w14:paraId="0A223158" w14:textId="77777777" w:rsidTr="00D33744">
        <w:tc>
          <w:tcPr>
            <w:tcW w:w="3544" w:type="dxa"/>
          </w:tcPr>
          <w:p w14:paraId="1AC99DE7" w14:textId="47FDD770" w:rsidR="00C86312" w:rsidRDefault="00C86312" w:rsidP="00C86312">
            <w:pPr>
              <w:pStyle w:val="TableText"/>
            </w:pPr>
            <w:r>
              <w:t xml:space="preserve">Exempt water </w:t>
            </w:r>
            <w:proofErr w:type="gramStart"/>
            <w:r>
              <w:t>take</w:t>
            </w:r>
            <w:proofErr w:type="gramEnd"/>
          </w:p>
        </w:tc>
        <w:tc>
          <w:tcPr>
            <w:tcW w:w="1843" w:type="dxa"/>
          </w:tcPr>
          <w:p w14:paraId="43BB791D" w14:textId="328C4F1F" w:rsidR="00C86312" w:rsidRDefault="00C86312" w:rsidP="00C86312">
            <w:pPr>
              <w:pStyle w:val="TableText"/>
              <w:rPr>
                <w:w w:val="115"/>
              </w:rPr>
            </w:pPr>
            <w:r>
              <w:t>0%</w:t>
            </w:r>
          </w:p>
        </w:tc>
      </w:tr>
      <w:tr w:rsidR="00C86312" w14:paraId="6260AB71" w14:textId="77777777" w:rsidTr="00D33744">
        <w:tc>
          <w:tcPr>
            <w:tcW w:w="3544" w:type="dxa"/>
          </w:tcPr>
          <w:p w14:paraId="5CCBAE58" w14:textId="3DF44173" w:rsidR="00C86312" w:rsidRDefault="00C86312" w:rsidP="00C86312">
            <w:pPr>
              <w:pStyle w:val="TableText"/>
            </w:pPr>
            <w:r>
              <w:t xml:space="preserve">Not yet metered water </w:t>
            </w:r>
            <w:proofErr w:type="gramStart"/>
            <w:r>
              <w:t>take</w:t>
            </w:r>
            <w:proofErr w:type="gramEnd"/>
          </w:p>
        </w:tc>
        <w:tc>
          <w:tcPr>
            <w:tcW w:w="1843" w:type="dxa"/>
          </w:tcPr>
          <w:p w14:paraId="0CEC5AB6" w14:textId="630E336A" w:rsidR="00C86312" w:rsidRDefault="00C86312" w:rsidP="00C86312">
            <w:pPr>
              <w:pStyle w:val="TableText"/>
              <w:rPr>
                <w:w w:val="115"/>
              </w:rPr>
            </w:pPr>
            <w:r>
              <w:t>0%</w:t>
            </w:r>
          </w:p>
        </w:tc>
      </w:tr>
      <w:tr w:rsidR="00C86312" w14:paraId="503550DE" w14:textId="77777777" w:rsidTr="00D33744">
        <w:tc>
          <w:tcPr>
            <w:tcW w:w="3544" w:type="dxa"/>
          </w:tcPr>
          <w:p w14:paraId="1AD1CC0F" w14:textId="32D759AD" w:rsidR="00C86312" w:rsidRDefault="00C86312" w:rsidP="00C86312">
            <w:pPr>
              <w:pStyle w:val="TableText"/>
            </w:pPr>
            <w:r>
              <w:t>Data not available</w:t>
            </w:r>
          </w:p>
        </w:tc>
        <w:tc>
          <w:tcPr>
            <w:tcW w:w="1843" w:type="dxa"/>
          </w:tcPr>
          <w:p w14:paraId="7D8E1E82" w14:textId="0A981878" w:rsidR="00C86312" w:rsidRDefault="00C86312" w:rsidP="00C86312">
            <w:pPr>
              <w:pStyle w:val="TableText"/>
            </w:pPr>
            <w:r>
              <w:t>2%</w:t>
            </w:r>
          </w:p>
        </w:tc>
      </w:tr>
    </w:tbl>
    <w:p w14:paraId="4808DF0E" w14:textId="77777777" w:rsidR="00F15703" w:rsidRDefault="00F15703" w:rsidP="00F15703">
      <w:pPr>
        <w:spacing w:after="0"/>
      </w:pPr>
    </w:p>
    <w:p w14:paraId="6CDA200D" w14:textId="6599674D" w:rsidR="00453082" w:rsidRPr="00592481" w:rsidRDefault="00453082" w:rsidP="00453082">
      <w:pPr>
        <w:pStyle w:val="Heading2"/>
        <w:rPr>
          <w:w w:val="110"/>
          <w:sz w:val="24"/>
          <w:szCs w:val="16"/>
        </w:rPr>
      </w:pPr>
      <w:r w:rsidRPr="00A27456">
        <w:rPr>
          <w:sz w:val="24"/>
          <w:szCs w:val="16"/>
        </w:rPr>
        <w:t xml:space="preserve">Table </w:t>
      </w:r>
      <w:r>
        <w:rPr>
          <w:sz w:val="24"/>
          <w:szCs w:val="16"/>
        </w:rPr>
        <w:t>22</w:t>
      </w:r>
      <w:r w:rsidRPr="00A27456">
        <w:rPr>
          <w:sz w:val="24"/>
          <w:szCs w:val="16"/>
        </w:rPr>
        <w:t xml:space="preserve">. </w:t>
      </w:r>
      <w:r w:rsidRPr="00C72EA6">
        <w:rPr>
          <w:w w:val="110"/>
          <w:sz w:val="24"/>
          <w:szCs w:val="16"/>
        </w:rPr>
        <w:t xml:space="preserve">Percentage of water </w:t>
      </w:r>
      <w:proofErr w:type="spellStart"/>
      <w:r w:rsidR="009F3925" w:rsidRPr="009F3925">
        <w:rPr>
          <w:w w:val="110"/>
          <w:sz w:val="24"/>
          <w:szCs w:val="16"/>
        </w:rPr>
        <w:t>water</w:t>
      </w:r>
      <w:proofErr w:type="spellEnd"/>
      <w:r w:rsidR="009F3925" w:rsidRPr="009F3925">
        <w:rPr>
          <w:w w:val="110"/>
          <w:sz w:val="24"/>
          <w:szCs w:val="16"/>
        </w:rPr>
        <w:t xml:space="preserve"> take telemetered in </w:t>
      </w:r>
      <w:proofErr w:type="gramStart"/>
      <w:r w:rsidR="009F3925" w:rsidRPr="009F3925">
        <w:rPr>
          <w:w w:val="110"/>
          <w:sz w:val="24"/>
          <w:szCs w:val="16"/>
        </w:rPr>
        <w:t>Victoria</w:t>
      </w:r>
      <w:proofErr w:type="gramEnd"/>
    </w:p>
    <w:tbl>
      <w:tblPr>
        <w:tblStyle w:val="TableGridLight"/>
        <w:tblW w:w="8080" w:type="dxa"/>
        <w:tblLook w:val="04A0" w:firstRow="1" w:lastRow="0" w:firstColumn="1" w:lastColumn="0" w:noHBand="0" w:noVBand="1"/>
      </w:tblPr>
      <w:tblGrid>
        <w:gridCol w:w="7088"/>
        <w:gridCol w:w="992"/>
      </w:tblGrid>
      <w:tr w:rsidR="003248DE" w14:paraId="048307A5" w14:textId="77777777" w:rsidTr="00CF13B8">
        <w:trPr>
          <w:cnfStyle w:val="100000000000" w:firstRow="1" w:lastRow="0" w:firstColumn="0" w:lastColumn="0" w:oddVBand="0" w:evenVBand="0" w:oddHBand="0" w:evenHBand="0" w:firstRowFirstColumn="0" w:firstRowLastColumn="0" w:lastRowFirstColumn="0" w:lastRowLastColumn="0"/>
        </w:trPr>
        <w:tc>
          <w:tcPr>
            <w:tcW w:w="7088" w:type="dxa"/>
            <w:shd w:val="clear" w:color="auto" w:fill="auto"/>
          </w:tcPr>
          <w:p w14:paraId="070C946D" w14:textId="17DFEE9E" w:rsidR="003248DE" w:rsidRDefault="003248DE" w:rsidP="003248DE">
            <w:pPr>
              <w:pStyle w:val="TableText"/>
            </w:pPr>
            <w:r>
              <w:t>% of water take monitored through meters with telemetry connected to the regulator’s data collection system</w:t>
            </w:r>
          </w:p>
        </w:tc>
        <w:tc>
          <w:tcPr>
            <w:tcW w:w="992" w:type="dxa"/>
            <w:shd w:val="clear" w:color="auto" w:fill="auto"/>
          </w:tcPr>
          <w:p w14:paraId="08A6DD43" w14:textId="04B69850" w:rsidR="003248DE" w:rsidRDefault="003248DE" w:rsidP="003248DE">
            <w:pPr>
              <w:pStyle w:val="TableText"/>
              <w:rPr>
                <w:w w:val="115"/>
              </w:rPr>
            </w:pPr>
            <w:r>
              <w:t>70%</w:t>
            </w:r>
          </w:p>
        </w:tc>
      </w:tr>
      <w:tr w:rsidR="003248DE" w14:paraId="589A17E9" w14:textId="77777777" w:rsidTr="003248DE">
        <w:tc>
          <w:tcPr>
            <w:tcW w:w="7088" w:type="dxa"/>
          </w:tcPr>
          <w:p w14:paraId="31C8F02D" w14:textId="07AC1DDA" w:rsidR="003248DE" w:rsidRDefault="003248DE" w:rsidP="003248DE">
            <w:pPr>
              <w:pStyle w:val="TableText"/>
            </w:pPr>
            <w:r>
              <w:t>% of metered water take with telemetry not required</w:t>
            </w:r>
          </w:p>
        </w:tc>
        <w:tc>
          <w:tcPr>
            <w:tcW w:w="992" w:type="dxa"/>
          </w:tcPr>
          <w:p w14:paraId="04B2C0C6" w14:textId="6F8395C7" w:rsidR="003248DE" w:rsidRDefault="003248DE" w:rsidP="003248DE">
            <w:pPr>
              <w:pStyle w:val="TableText"/>
              <w:rPr>
                <w:w w:val="115"/>
              </w:rPr>
            </w:pPr>
            <w:r>
              <w:t>30%</w:t>
            </w:r>
          </w:p>
        </w:tc>
      </w:tr>
    </w:tbl>
    <w:p w14:paraId="7C373430" w14:textId="77777777" w:rsidR="00453082" w:rsidRDefault="00453082" w:rsidP="00F15703">
      <w:pPr>
        <w:spacing w:after="0"/>
      </w:pPr>
    </w:p>
    <w:p w14:paraId="43147439" w14:textId="38590843" w:rsidR="00884DBD" w:rsidRDefault="00884DBD" w:rsidP="00884DBD">
      <w:r>
        <w:t xml:space="preserve">This measure is reported to highlight percentage of </w:t>
      </w:r>
      <w:proofErr w:type="spellStart"/>
      <w:r>
        <w:t>meterable</w:t>
      </w:r>
      <w:proofErr w:type="spellEnd"/>
      <w:r>
        <w:t xml:space="preserve"> water take across the Murray-Darling Basin by each State that is metered. Data on percentage of </w:t>
      </w:r>
      <w:proofErr w:type="spellStart"/>
      <w:r>
        <w:t>meterable</w:t>
      </w:r>
      <w:proofErr w:type="spellEnd"/>
      <w:r>
        <w:t xml:space="preserve"> take monitored through meters with telemetry is included. Data provision for water take monitored through telemetry was optional by States</w:t>
      </w:r>
      <w:r w:rsidR="000B13F5">
        <w:t>.</w:t>
      </w:r>
      <w:r w:rsidR="000B13F5">
        <w:br/>
      </w:r>
      <w:r>
        <w:t>Data owner/sources: State regulators.</w:t>
      </w:r>
    </w:p>
    <w:p w14:paraId="287C494A" w14:textId="77777777" w:rsidR="00884DBD" w:rsidRDefault="00884DBD" w:rsidP="00F15703">
      <w:pPr>
        <w:spacing w:after="0"/>
      </w:pPr>
    </w:p>
    <w:p w14:paraId="1761EAEA" w14:textId="46C587C9" w:rsidR="00F15703" w:rsidRPr="00592481" w:rsidRDefault="00F15703" w:rsidP="00F15703">
      <w:pPr>
        <w:pStyle w:val="Heading2"/>
        <w:rPr>
          <w:w w:val="110"/>
          <w:sz w:val="24"/>
          <w:szCs w:val="16"/>
        </w:rPr>
      </w:pPr>
      <w:r w:rsidRPr="00A27456">
        <w:rPr>
          <w:sz w:val="24"/>
          <w:szCs w:val="16"/>
        </w:rPr>
        <w:t xml:space="preserve">Table </w:t>
      </w:r>
      <w:r>
        <w:rPr>
          <w:sz w:val="24"/>
          <w:szCs w:val="16"/>
        </w:rPr>
        <w:t>22</w:t>
      </w:r>
      <w:r w:rsidRPr="00A27456">
        <w:rPr>
          <w:sz w:val="24"/>
          <w:szCs w:val="16"/>
        </w:rPr>
        <w:t xml:space="preserve">. </w:t>
      </w:r>
      <w:r w:rsidRPr="00AA6D67">
        <w:rPr>
          <w:w w:val="110"/>
          <w:sz w:val="24"/>
          <w:szCs w:val="16"/>
        </w:rPr>
        <w:t xml:space="preserve">Metering accuracy in </w:t>
      </w:r>
      <w:r w:rsidR="00C86312">
        <w:rPr>
          <w:w w:val="110"/>
          <w:sz w:val="24"/>
          <w:szCs w:val="16"/>
        </w:rPr>
        <w:t>Victoria</w:t>
      </w:r>
    </w:p>
    <w:tbl>
      <w:tblPr>
        <w:tblStyle w:val="TableGridLight"/>
        <w:tblW w:w="5387" w:type="dxa"/>
        <w:tblLook w:val="04A0" w:firstRow="1" w:lastRow="0" w:firstColumn="1" w:lastColumn="0" w:noHBand="0" w:noVBand="1"/>
      </w:tblPr>
      <w:tblGrid>
        <w:gridCol w:w="3544"/>
        <w:gridCol w:w="1843"/>
      </w:tblGrid>
      <w:tr w:rsidR="000B13F5" w14:paraId="3CBD236C" w14:textId="77777777" w:rsidTr="00CF13B8">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227DC9C8" w14:textId="0FB55895" w:rsidR="000B13F5" w:rsidRDefault="000B13F5" w:rsidP="000B13F5">
            <w:pPr>
              <w:pStyle w:val="TableText"/>
            </w:pPr>
            <w:r>
              <w:t>AS4747 meters</w:t>
            </w:r>
          </w:p>
        </w:tc>
        <w:tc>
          <w:tcPr>
            <w:tcW w:w="1843" w:type="dxa"/>
            <w:shd w:val="clear" w:color="auto" w:fill="auto"/>
          </w:tcPr>
          <w:p w14:paraId="4EB2CF07" w14:textId="07956241" w:rsidR="000B13F5" w:rsidRDefault="000B13F5" w:rsidP="000B13F5">
            <w:pPr>
              <w:pStyle w:val="TableText"/>
              <w:rPr>
                <w:w w:val="115"/>
              </w:rPr>
            </w:pPr>
            <w:r>
              <w:t>6%</w:t>
            </w:r>
          </w:p>
        </w:tc>
      </w:tr>
      <w:tr w:rsidR="000B13F5" w14:paraId="7F6B45AE" w14:textId="77777777" w:rsidTr="00D33744">
        <w:tc>
          <w:tcPr>
            <w:tcW w:w="3544" w:type="dxa"/>
          </w:tcPr>
          <w:p w14:paraId="3F04C4F2" w14:textId="2298A36B" w:rsidR="000B13F5" w:rsidRDefault="000B13F5" w:rsidP="000B13F5">
            <w:pPr>
              <w:pStyle w:val="TableText"/>
            </w:pPr>
            <w:r>
              <w:t>Grandfathered meters</w:t>
            </w:r>
          </w:p>
        </w:tc>
        <w:tc>
          <w:tcPr>
            <w:tcW w:w="1843" w:type="dxa"/>
          </w:tcPr>
          <w:p w14:paraId="3504422B" w14:textId="316A7A71" w:rsidR="000B13F5" w:rsidRDefault="000B13F5" w:rsidP="000B13F5">
            <w:pPr>
              <w:pStyle w:val="TableText"/>
              <w:rPr>
                <w:w w:val="115"/>
              </w:rPr>
            </w:pPr>
            <w:r>
              <w:t>40%</w:t>
            </w:r>
          </w:p>
        </w:tc>
      </w:tr>
      <w:tr w:rsidR="000B13F5" w14:paraId="73B39762" w14:textId="77777777" w:rsidTr="00D33744">
        <w:tc>
          <w:tcPr>
            <w:tcW w:w="3544" w:type="dxa"/>
          </w:tcPr>
          <w:p w14:paraId="515D3126" w14:textId="4ED55494" w:rsidR="000B13F5" w:rsidRDefault="000B13F5" w:rsidP="000B13F5">
            <w:pPr>
              <w:pStyle w:val="TableText"/>
            </w:pPr>
            <w:r>
              <w:t>All other meters</w:t>
            </w:r>
          </w:p>
        </w:tc>
        <w:tc>
          <w:tcPr>
            <w:tcW w:w="1843" w:type="dxa"/>
          </w:tcPr>
          <w:p w14:paraId="7F337244" w14:textId="3AA12886" w:rsidR="000B13F5" w:rsidRDefault="000B13F5" w:rsidP="000B13F5">
            <w:pPr>
              <w:pStyle w:val="TableText"/>
              <w:rPr>
                <w:w w:val="115"/>
              </w:rPr>
            </w:pPr>
            <w:r>
              <w:t>54%</w:t>
            </w:r>
          </w:p>
        </w:tc>
      </w:tr>
    </w:tbl>
    <w:p w14:paraId="4BC36E08" w14:textId="77777777" w:rsidR="00F15703" w:rsidRDefault="00F15703" w:rsidP="00F15703">
      <w:pPr>
        <w:spacing w:after="0"/>
      </w:pPr>
    </w:p>
    <w:p w14:paraId="2361043F" w14:textId="77777777" w:rsidR="00F15703" w:rsidRDefault="00F15703" w:rsidP="00F15703">
      <w:pPr>
        <w:spacing w:after="0"/>
      </w:pPr>
      <w:r w:rsidRPr="008632EE">
        <w:t xml:space="preserve">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 </w:t>
      </w:r>
    </w:p>
    <w:p w14:paraId="5BECA878" w14:textId="77777777" w:rsidR="00F15703" w:rsidRDefault="00F15703" w:rsidP="00F15703">
      <w:pPr>
        <w:spacing w:after="0"/>
      </w:pPr>
      <w:r w:rsidRPr="008632EE">
        <w:t>Data owner/sources: State regulators</w:t>
      </w:r>
    </w:p>
    <w:p w14:paraId="505DF366" w14:textId="77777777" w:rsidR="00D25B01" w:rsidRDefault="00D25B01">
      <w:pPr>
        <w:spacing w:after="0"/>
        <w:rPr>
          <w:b/>
          <w:color w:val="48555E" w:themeColor="text2"/>
          <w:sz w:val="24"/>
          <w:szCs w:val="16"/>
        </w:rPr>
      </w:pPr>
      <w:r>
        <w:rPr>
          <w:sz w:val="24"/>
          <w:szCs w:val="16"/>
        </w:rPr>
        <w:br w:type="page"/>
      </w:r>
    </w:p>
    <w:p w14:paraId="2107FDA7" w14:textId="033CD903" w:rsidR="00F15703" w:rsidRPr="00592481" w:rsidRDefault="00F15703" w:rsidP="00F15703">
      <w:pPr>
        <w:pStyle w:val="Heading2"/>
        <w:rPr>
          <w:w w:val="110"/>
          <w:sz w:val="24"/>
          <w:szCs w:val="16"/>
        </w:rPr>
      </w:pPr>
      <w:r w:rsidRPr="00A27456">
        <w:rPr>
          <w:sz w:val="24"/>
          <w:szCs w:val="16"/>
        </w:rPr>
        <w:lastRenderedPageBreak/>
        <w:t xml:space="preserve">Table </w:t>
      </w:r>
      <w:r>
        <w:rPr>
          <w:sz w:val="24"/>
          <w:szCs w:val="16"/>
        </w:rPr>
        <w:t>23</w:t>
      </w:r>
      <w:r w:rsidRPr="00A27456">
        <w:rPr>
          <w:sz w:val="24"/>
          <w:szCs w:val="16"/>
        </w:rPr>
        <w:t xml:space="preserve">. </w:t>
      </w:r>
      <w:r w:rsidRPr="003A269E">
        <w:rPr>
          <w:w w:val="110"/>
          <w:sz w:val="24"/>
          <w:szCs w:val="16"/>
        </w:rPr>
        <w:t>Telemetry coverage</w:t>
      </w:r>
    </w:p>
    <w:tbl>
      <w:tblPr>
        <w:tblStyle w:val="TableGridLight"/>
        <w:tblW w:w="9639" w:type="dxa"/>
        <w:tblLook w:val="04A0" w:firstRow="1" w:lastRow="0" w:firstColumn="1" w:lastColumn="0" w:noHBand="0" w:noVBand="1"/>
      </w:tblPr>
      <w:tblGrid>
        <w:gridCol w:w="7938"/>
        <w:gridCol w:w="1701"/>
      </w:tblGrid>
      <w:tr w:rsidR="00F15703" w14:paraId="60FEFDF5" w14:textId="77777777" w:rsidTr="00D33744">
        <w:trPr>
          <w:cnfStyle w:val="100000000000" w:firstRow="1" w:lastRow="0" w:firstColumn="0" w:lastColumn="0" w:oddVBand="0" w:evenVBand="0" w:oddHBand="0" w:evenHBand="0" w:firstRowFirstColumn="0" w:firstRowLastColumn="0" w:lastRowFirstColumn="0" w:lastRowLastColumn="0"/>
        </w:trPr>
        <w:tc>
          <w:tcPr>
            <w:tcW w:w="7938" w:type="dxa"/>
            <w:shd w:val="clear" w:color="auto" w:fill="auto"/>
          </w:tcPr>
          <w:p w14:paraId="4A9AC563" w14:textId="77777777" w:rsidR="00F15703" w:rsidRDefault="00F15703" w:rsidP="00D33744">
            <w:r>
              <w:t>Meter % with telemetry connected to the regulator’s data collection system</w:t>
            </w:r>
          </w:p>
        </w:tc>
        <w:tc>
          <w:tcPr>
            <w:tcW w:w="1701" w:type="dxa"/>
            <w:shd w:val="clear" w:color="auto" w:fill="auto"/>
          </w:tcPr>
          <w:p w14:paraId="2E933903" w14:textId="0A633A79" w:rsidR="00F15703" w:rsidRDefault="00337DD5" w:rsidP="00D33744">
            <w:pPr>
              <w:pStyle w:val="TableText"/>
              <w:rPr>
                <w:w w:val="115"/>
              </w:rPr>
            </w:pPr>
            <w:r w:rsidRPr="00337DD5">
              <w:t>61% (+16%)</w:t>
            </w:r>
          </w:p>
        </w:tc>
      </w:tr>
      <w:tr w:rsidR="00F15703" w14:paraId="05079A82" w14:textId="77777777" w:rsidTr="00D33744">
        <w:tc>
          <w:tcPr>
            <w:tcW w:w="7938" w:type="dxa"/>
          </w:tcPr>
          <w:p w14:paraId="31617FFD" w14:textId="77777777" w:rsidR="00F15703" w:rsidRDefault="00F15703" w:rsidP="00D33744">
            <w:r>
              <w:t>Meter % required to have telemetry connected to the regulator’s data collection system, but which are not connected</w:t>
            </w:r>
          </w:p>
        </w:tc>
        <w:tc>
          <w:tcPr>
            <w:tcW w:w="1701" w:type="dxa"/>
          </w:tcPr>
          <w:p w14:paraId="0477DA8A" w14:textId="3BF678FA" w:rsidR="00F15703" w:rsidRDefault="00F15703" w:rsidP="00D33744">
            <w:pPr>
              <w:pStyle w:val="TableText"/>
              <w:rPr>
                <w:w w:val="115"/>
              </w:rPr>
            </w:pPr>
            <w:r>
              <w:t>0%</w:t>
            </w:r>
          </w:p>
        </w:tc>
      </w:tr>
      <w:tr w:rsidR="00F15703" w14:paraId="03A5D04E" w14:textId="77777777" w:rsidTr="00D33744">
        <w:tc>
          <w:tcPr>
            <w:tcW w:w="7938" w:type="dxa"/>
          </w:tcPr>
          <w:p w14:paraId="0FBF0D73" w14:textId="77777777" w:rsidR="00F15703" w:rsidRDefault="00F15703" w:rsidP="00D33744">
            <w:pPr>
              <w:pStyle w:val="TableText"/>
            </w:pPr>
            <w:r>
              <w:t>Meter % with telemetry not required</w:t>
            </w:r>
          </w:p>
        </w:tc>
        <w:tc>
          <w:tcPr>
            <w:tcW w:w="1701" w:type="dxa"/>
          </w:tcPr>
          <w:p w14:paraId="2F73AC4D" w14:textId="7EEC3FF3" w:rsidR="00F15703" w:rsidRDefault="00337DD5" w:rsidP="00D33744">
            <w:pPr>
              <w:pStyle w:val="TableText"/>
              <w:rPr>
                <w:w w:val="115"/>
              </w:rPr>
            </w:pPr>
            <w:r>
              <w:t>39</w:t>
            </w:r>
            <w:r w:rsidR="00F15703">
              <w:t>%</w:t>
            </w:r>
          </w:p>
        </w:tc>
      </w:tr>
    </w:tbl>
    <w:p w14:paraId="0B34FB02" w14:textId="77777777" w:rsidR="00F15703" w:rsidRDefault="00F15703" w:rsidP="00F15703">
      <w:pPr>
        <w:spacing w:after="0"/>
      </w:pPr>
    </w:p>
    <w:p w14:paraId="0A8E37D3" w14:textId="77777777" w:rsidR="00F15703" w:rsidRDefault="00F15703" w:rsidP="00F15703">
      <w:pPr>
        <w:spacing w:after="0"/>
      </w:pPr>
      <w:r w:rsidRPr="00E27A8E">
        <w:t xml:space="preserve">This measure is reported to identify the percentage of meters with telemetry connected to the regulator’s data system. </w:t>
      </w:r>
    </w:p>
    <w:p w14:paraId="0D0040B2" w14:textId="77777777" w:rsidR="00F15703" w:rsidRDefault="00F15703" w:rsidP="00F15703">
      <w:pPr>
        <w:spacing w:after="0"/>
      </w:pPr>
      <w:r w:rsidRPr="00E27A8E">
        <w:t>Data owner/sources: State regulators</w:t>
      </w:r>
    </w:p>
    <w:p w14:paraId="5DBE9220" w14:textId="77777777" w:rsidR="00F15703" w:rsidRDefault="00F15703" w:rsidP="00F15703">
      <w:pPr>
        <w:spacing w:after="0"/>
      </w:pPr>
    </w:p>
    <w:p w14:paraId="72F8CEEE" w14:textId="77777777" w:rsidR="00F15703" w:rsidRDefault="00F15703" w:rsidP="00B42858">
      <w:pPr>
        <w:pStyle w:val="Heading3"/>
      </w:pPr>
      <w:r w:rsidRPr="00184D6A">
        <w:t xml:space="preserve">How is meter data collected where telemetry is not </w:t>
      </w:r>
      <w:proofErr w:type="gramStart"/>
      <w:r w:rsidRPr="00184D6A">
        <w:t>used</w:t>
      </w:r>
      <w:proofErr w:type="gramEnd"/>
    </w:p>
    <w:p w14:paraId="4FEF5DD4" w14:textId="77777777" w:rsidR="00535C46" w:rsidRPr="00B042D9" w:rsidRDefault="00535C46" w:rsidP="00535C46">
      <w:r w:rsidRPr="00B042D9">
        <w:t>The Victorian Government’s Non-</w:t>
      </w:r>
      <w:proofErr w:type="gramStart"/>
      <w:r w:rsidRPr="00B042D9">
        <w:t>urban</w:t>
      </w:r>
      <w:proofErr w:type="gramEnd"/>
      <w:r w:rsidRPr="00B042D9">
        <w:t xml:space="preserve"> Metering Policy (2020) requires water corporations to read meters at least once a year for low volume low risk meters, more frequently for higher volumes, and at least twice a year for surface water winter-fill licences or where there is a history of usage breaches. Victoria’s Water Corporations own meter assets and are responsible for manually reading meters where telemetry is not available.</w:t>
      </w:r>
    </w:p>
    <w:p w14:paraId="1AC29A9D" w14:textId="381E7FBE" w:rsidR="00F15703" w:rsidRPr="008073C2" w:rsidRDefault="00535C46" w:rsidP="00F15703">
      <w:r w:rsidRPr="00B042D9">
        <w:t>This measure is reported to identify how meter data is collected and how often when telemetry is not being used. Data owner/sources: State regulators</w:t>
      </w:r>
    </w:p>
    <w:p w14:paraId="36B22F5C" w14:textId="77777777" w:rsidR="00F15703" w:rsidRDefault="00F15703" w:rsidP="00F15703">
      <w:pPr>
        <w:pStyle w:val="Heading3"/>
      </w:pPr>
      <w:r>
        <w:t>State overview</w:t>
      </w:r>
    </w:p>
    <w:p w14:paraId="6EDC3375" w14:textId="77777777" w:rsidR="00B42858" w:rsidRDefault="00B42858" w:rsidP="00B42858">
      <w:r>
        <w:t xml:space="preserve">Victoria has had a high coverage of meters across the state for some time. 84% of meters in Victoria were installed prior to 2013 when the Australian Standard for non-urban Water Metering (AS4747) came into being. 98% of take in the Victorian part of the Murray-Darling Basin is metered and 90% of total take is through AS4747 compliant meters and contemporary (grandfathered) meters accurate to +/-5% in accordance with Victorian policy. Victoria has been an early adopter of telemetry and automated control systems. In Victoria 61% of meters have telemetry and this accounts for 70% of total </w:t>
      </w:r>
      <w:proofErr w:type="spellStart"/>
      <w:r>
        <w:t>meterable</w:t>
      </w:r>
      <w:proofErr w:type="spellEnd"/>
      <w:r>
        <w:t xml:space="preserve"> water take. The Victorian Government’s Non-Urban metering policy (2020) is consistent with the Compliance Compact (2018). The policy is being updated to reflect MAF2 (2021) requirements.</w:t>
      </w:r>
    </w:p>
    <w:p w14:paraId="10AF116F" w14:textId="77777777" w:rsidR="00B42858" w:rsidRDefault="00B42858" w:rsidP="00B42858">
      <w:pPr>
        <w:rPr>
          <w:rFonts w:ascii="RocGrotesk-Regular" w:hAnsi="RocGrotesk-Regular" w:cs="RocGrotesk-Regular"/>
          <w:sz w:val="18"/>
          <w:szCs w:val="18"/>
        </w:rPr>
      </w:pPr>
    </w:p>
    <w:p w14:paraId="2B517DB2" w14:textId="77777777" w:rsidR="00F15703" w:rsidRDefault="00F15703" w:rsidP="00F15703"/>
    <w:p w14:paraId="704FD19B" w14:textId="77777777" w:rsidR="00F15703" w:rsidRDefault="00F15703" w:rsidP="00F15703"/>
    <w:p w14:paraId="41292424" w14:textId="77777777" w:rsidR="00F15703" w:rsidRDefault="00F15703" w:rsidP="00F15703">
      <w:r>
        <w:t>The IGWC makes no claim as to the accuracy of the data shown on this page. Data is collated and supplied directly from the states.</w:t>
      </w:r>
    </w:p>
    <w:p w14:paraId="1D6DC111" w14:textId="77777777" w:rsidR="003B59BC" w:rsidRPr="002F6240" w:rsidRDefault="003B59BC" w:rsidP="002F6240">
      <w:pPr>
        <w:rPr>
          <w:szCs w:val="20"/>
        </w:rPr>
      </w:pPr>
    </w:p>
    <w:p w14:paraId="07159D29" w14:textId="77777777" w:rsidR="002F6240" w:rsidRDefault="002F6240" w:rsidP="002F6240"/>
    <w:p w14:paraId="633AEABC" w14:textId="77777777" w:rsidR="002F6240" w:rsidRDefault="002F6240" w:rsidP="002F6240"/>
    <w:p w14:paraId="09A1B700" w14:textId="7AD7F009" w:rsidR="00592481" w:rsidRDefault="00592481" w:rsidP="00902CDD"/>
    <w:sectPr w:rsidR="00592481" w:rsidSect="00D775D1">
      <w:headerReference w:type="default" r:id="rId13"/>
      <w:footerReference w:type="default" r:id="rId14"/>
      <w:headerReference w:type="first" r:id="rId15"/>
      <w:footerReference w:type="first" r:id="rId16"/>
      <w:pgSz w:w="11906" w:h="16838"/>
      <w:pgMar w:top="1284" w:right="1134" w:bottom="816" w:left="1134" w:header="425" w:footer="9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C147" w14:textId="77777777" w:rsidR="00B86BC7" w:rsidRDefault="00B86BC7">
      <w:r>
        <w:separator/>
      </w:r>
    </w:p>
  </w:endnote>
  <w:endnote w:type="continuationSeparator" w:id="0">
    <w:p w14:paraId="29DC4F1C" w14:textId="77777777" w:rsidR="00B86BC7" w:rsidRDefault="00B86BC7">
      <w:r>
        <w:continuationSeparator/>
      </w:r>
    </w:p>
  </w:endnote>
  <w:endnote w:type="continuationNotice" w:id="1">
    <w:p w14:paraId="6BEC6EEE" w14:textId="77777777" w:rsidR="00B86BC7" w:rsidRDefault="00B86B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Grotesk-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430724"/>
      <w:docPartObj>
        <w:docPartGallery w:val="Page Numbers (Bottom of Page)"/>
        <w:docPartUnique/>
      </w:docPartObj>
    </w:sdtPr>
    <w:sdtEndPr>
      <w:rPr>
        <w:noProof/>
      </w:rPr>
    </w:sdtEndPr>
    <w:sdtContent>
      <w:p w14:paraId="0F9141E7" w14:textId="78DFACF8" w:rsidR="004C2E6E" w:rsidRDefault="004C2E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D2DBF6" w14:textId="636462D5" w:rsidR="004C2E6E" w:rsidRDefault="004C2E6E">
    <w:pPr>
      <w:pStyle w:val="Footer"/>
    </w:pPr>
    <w:r>
      <w:t>Inspector–General of Water Compliance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4A9C" w14:textId="77777777" w:rsidR="00B25458" w:rsidRPr="002C07A5" w:rsidRDefault="00B25458" w:rsidP="002C07A5">
    <w:pPr>
      <w:pStyle w:val="Footer"/>
      <w:tabs>
        <w:tab w:val="clear" w:pos="4513"/>
        <w:tab w:val="clear" w:pos="9026"/>
        <w:tab w:val="right" w:pos="9638"/>
      </w:tabs>
      <w:rPr>
        <w:color w:val="FFFFFF"/>
      </w:rPr>
    </w:pPr>
    <w:r w:rsidRPr="002C07A5">
      <w:rPr>
        <w:color w:val="FFFFFF"/>
      </w:rPr>
      <w:t>Inspector-General of Water Compliance</w:t>
    </w:r>
    <w:r w:rsidRPr="002C07A5">
      <w:rPr>
        <w:color w:val="FFFFFF"/>
      </w:rPr>
      <w:tab/>
    </w:r>
    <w:r w:rsidRPr="002C07A5">
      <w:rPr>
        <w:color w:val="FFFFFF"/>
      </w:rPr>
      <w:fldChar w:fldCharType="begin"/>
    </w:r>
    <w:r w:rsidRPr="002C07A5">
      <w:rPr>
        <w:color w:val="FFFFFF"/>
      </w:rPr>
      <w:instrText xml:space="preserve"> PAGE   \* MERGEFORMAT </w:instrText>
    </w:r>
    <w:r w:rsidRPr="002C07A5">
      <w:rPr>
        <w:color w:val="FFFFFF"/>
      </w:rPr>
      <w:fldChar w:fldCharType="separate"/>
    </w:r>
    <w:r w:rsidRPr="002C07A5">
      <w:rPr>
        <w:color w:val="FFFFFF"/>
      </w:rPr>
      <w:t>3</w:t>
    </w:r>
    <w:r w:rsidRPr="002C07A5">
      <w:rPr>
        <w:noProof/>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C9A5" w14:textId="77777777" w:rsidR="00B86BC7" w:rsidRDefault="00B86BC7">
      <w:r>
        <w:separator/>
      </w:r>
    </w:p>
  </w:footnote>
  <w:footnote w:type="continuationSeparator" w:id="0">
    <w:p w14:paraId="1277701D" w14:textId="77777777" w:rsidR="00B86BC7" w:rsidRDefault="00B86BC7">
      <w:r>
        <w:continuationSeparator/>
      </w:r>
    </w:p>
  </w:footnote>
  <w:footnote w:type="continuationNotice" w:id="1">
    <w:p w14:paraId="35948FBA" w14:textId="77777777" w:rsidR="00B86BC7" w:rsidRDefault="00B86B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BB01" w14:textId="25717495" w:rsidR="00D253DE" w:rsidRDefault="00D54EEB">
    <w:pPr>
      <w:pStyle w:val="Header"/>
    </w:pPr>
    <w:r>
      <w:rPr>
        <w:noProof/>
      </w:rPr>
      <w:drawing>
        <wp:anchor distT="0" distB="0" distL="114300" distR="114300" simplePos="0" relativeHeight="251664384" behindDoc="0" locked="0" layoutInCell="1" allowOverlap="1" wp14:anchorId="0C922FCE" wp14:editId="7A7970C8">
          <wp:simplePos x="0" y="0"/>
          <wp:positionH relativeFrom="column">
            <wp:posOffset>-34289</wp:posOffset>
          </wp:positionH>
          <wp:positionV relativeFrom="paragraph">
            <wp:posOffset>-184150</wp:posOffset>
          </wp:positionV>
          <wp:extent cx="2266950" cy="652001"/>
          <wp:effectExtent l="0" t="0" r="0" b="0"/>
          <wp:wrapNone/>
          <wp:docPr id="9" name="Picture 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0892" cy="656011"/>
                  </a:xfrm>
                  <a:prstGeom prst="rect">
                    <a:avLst/>
                  </a:prstGeom>
                </pic:spPr>
              </pic:pic>
            </a:graphicData>
          </a:graphic>
          <wp14:sizeRelH relativeFrom="margin">
            <wp14:pctWidth>0</wp14:pctWidth>
          </wp14:sizeRelH>
          <wp14:sizeRelV relativeFrom="margin">
            <wp14:pctHeight>0</wp14:pctHeight>
          </wp14:sizeRelV>
        </wp:anchor>
      </w:drawing>
    </w:r>
    <w:r w:rsidR="00D253DE">
      <w:rPr>
        <w:noProof/>
      </w:rPr>
      <w:drawing>
        <wp:anchor distT="0" distB="0" distL="114300" distR="114300" simplePos="0" relativeHeight="251661312" behindDoc="1" locked="0" layoutInCell="1" allowOverlap="1" wp14:anchorId="15B7D934" wp14:editId="22E6FCF0">
          <wp:simplePos x="0" y="0"/>
          <wp:positionH relativeFrom="column">
            <wp:posOffset>2276475</wp:posOffset>
          </wp:positionH>
          <wp:positionV relativeFrom="paragraph">
            <wp:posOffset>2609215</wp:posOffset>
          </wp:positionV>
          <wp:extent cx="7416800" cy="8849590"/>
          <wp:effectExtent l="0" t="0" r="0"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alphaModFix amt="20000"/>
                    <a:extLst>
                      <a:ext uri="{28A0092B-C50C-407E-A947-70E740481C1C}">
                        <a14:useLocalDpi xmlns:a14="http://schemas.microsoft.com/office/drawing/2010/main" val="0"/>
                      </a:ext>
                    </a:extLst>
                  </a:blip>
                  <a:stretch>
                    <a:fillRect/>
                  </a:stretch>
                </pic:blipFill>
                <pic:spPr>
                  <a:xfrm>
                    <a:off x="0" y="0"/>
                    <a:ext cx="7416800" cy="88495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D0B4" w14:textId="710200B0" w:rsidR="0067175B" w:rsidRDefault="00D54EEB">
    <w:pPr>
      <w:pStyle w:val="Header"/>
    </w:pPr>
    <w:r>
      <w:rPr>
        <w:noProof/>
      </w:rPr>
      <w:drawing>
        <wp:anchor distT="0" distB="0" distL="114300" distR="114300" simplePos="0" relativeHeight="251662336" behindDoc="0" locked="0" layoutInCell="1" allowOverlap="1" wp14:anchorId="74E15592" wp14:editId="14AAE97A">
          <wp:simplePos x="0" y="0"/>
          <wp:positionH relativeFrom="column">
            <wp:posOffset>-81915</wp:posOffset>
          </wp:positionH>
          <wp:positionV relativeFrom="paragraph">
            <wp:posOffset>-184150</wp:posOffset>
          </wp:positionV>
          <wp:extent cx="2514600" cy="723228"/>
          <wp:effectExtent l="0" t="0" r="0" b="0"/>
          <wp:wrapNone/>
          <wp:docPr id="8"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14600" cy="723228"/>
                  </a:xfrm>
                  <a:prstGeom prst="rect">
                    <a:avLst/>
                  </a:prstGeom>
                </pic:spPr>
              </pic:pic>
            </a:graphicData>
          </a:graphic>
        </wp:anchor>
      </w:drawing>
    </w:r>
    <w:r w:rsidR="00041FC8">
      <w:rPr>
        <w:noProof/>
      </w:rPr>
      <w:drawing>
        <wp:anchor distT="0" distB="0" distL="114300" distR="114300" simplePos="0" relativeHeight="251659264" behindDoc="1" locked="0" layoutInCell="1" allowOverlap="1" wp14:anchorId="13447149" wp14:editId="0F17A9E6">
          <wp:simplePos x="0" y="0"/>
          <wp:positionH relativeFrom="column">
            <wp:posOffset>2276475</wp:posOffset>
          </wp:positionH>
          <wp:positionV relativeFrom="paragraph">
            <wp:posOffset>2609215</wp:posOffset>
          </wp:positionV>
          <wp:extent cx="7416800" cy="8849590"/>
          <wp:effectExtent l="0" t="0" r="0" b="254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alphaModFix amt="20000"/>
                    <a:extLst>
                      <a:ext uri="{28A0092B-C50C-407E-A947-70E740481C1C}">
                        <a14:useLocalDpi xmlns:a14="http://schemas.microsoft.com/office/drawing/2010/main" val="0"/>
                      </a:ext>
                    </a:extLst>
                  </a:blip>
                  <a:stretch>
                    <a:fillRect/>
                  </a:stretch>
                </pic:blipFill>
                <pic:spPr>
                  <a:xfrm>
                    <a:off x="0" y="0"/>
                    <a:ext cx="7416800" cy="88495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424A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2C7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CA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486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4B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08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69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440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744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2E6B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2"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13" w15:restartNumberingAfterBreak="0">
    <w:nsid w:val="1F745BC2"/>
    <w:multiLevelType w:val="multilevel"/>
    <w:tmpl w:val="E5E89F92"/>
    <w:numStyleLink w:val="BulletList"/>
  </w:abstractNum>
  <w:abstractNum w:abstractNumId="1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3E406E1C"/>
    <w:multiLevelType w:val="hybridMultilevel"/>
    <w:tmpl w:val="F1DE6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9"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2"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6E905971"/>
    <w:multiLevelType w:val="hybridMultilevel"/>
    <w:tmpl w:val="04FA6A84"/>
    <w:lvl w:ilvl="0" w:tplc="62164770">
      <w:numFmt w:val="bullet"/>
      <w:lvlText w:val="•"/>
      <w:lvlJc w:val="left"/>
      <w:pPr>
        <w:ind w:left="720" w:hanging="360"/>
      </w:pPr>
      <w:rPr>
        <w:rFonts w:ascii="Verdana" w:eastAsia="Calibri"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8"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91578559">
    <w:abstractNumId w:val="29"/>
  </w:num>
  <w:num w:numId="2" w16cid:durableId="1695494793">
    <w:abstractNumId w:val="10"/>
  </w:num>
  <w:num w:numId="3" w16cid:durableId="837967731">
    <w:abstractNumId w:val="27"/>
  </w:num>
  <w:num w:numId="4" w16cid:durableId="503016937">
    <w:abstractNumId w:val="24"/>
  </w:num>
  <w:num w:numId="5" w16cid:durableId="1193498152">
    <w:abstractNumId w:val="15"/>
  </w:num>
  <w:num w:numId="6" w16cid:durableId="741562954">
    <w:abstractNumId w:val="14"/>
  </w:num>
  <w:num w:numId="7" w16cid:durableId="328093727">
    <w:abstractNumId w:val="23"/>
  </w:num>
  <w:num w:numId="8" w16cid:durableId="904608017">
    <w:abstractNumId w:val="13"/>
  </w:num>
  <w:num w:numId="9" w16cid:durableId="1636716221">
    <w:abstractNumId w:val="12"/>
  </w:num>
  <w:num w:numId="10" w16cid:durableId="421340098">
    <w:abstractNumId w:val="28"/>
  </w:num>
  <w:num w:numId="11" w16cid:durableId="1563101622">
    <w:abstractNumId w:val="23"/>
  </w:num>
  <w:num w:numId="12" w16cid:durableId="13025422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4651029">
    <w:abstractNumId w:val="18"/>
  </w:num>
  <w:num w:numId="14" w16cid:durableId="1320034301">
    <w:abstractNumId w:val="22"/>
  </w:num>
  <w:num w:numId="15" w16cid:durableId="1245845613">
    <w:abstractNumId w:val="25"/>
  </w:num>
  <w:num w:numId="16" w16cid:durableId="1246299485">
    <w:abstractNumId w:val="23"/>
  </w:num>
  <w:num w:numId="17" w16cid:durableId="7854682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9692334">
    <w:abstractNumId w:val="23"/>
  </w:num>
  <w:num w:numId="19" w16cid:durableId="1540781966">
    <w:abstractNumId w:val="19"/>
  </w:num>
  <w:num w:numId="20" w16cid:durableId="1116951293">
    <w:abstractNumId w:val="23"/>
  </w:num>
  <w:num w:numId="21" w16cid:durableId="1883251262">
    <w:abstractNumId w:val="21"/>
  </w:num>
  <w:num w:numId="22" w16cid:durableId="192231740">
    <w:abstractNumId w:val="16"/>
  </w:num>
  <w:num w:numId="23" w16cid:durableId="772290083">
    <w:abstractNumId w:val="11"/>
  </w:num>
  <w:num w:numId="24" w16cid:durableId="1653481782">
    <w:abstractNumId w:val="23"/>
  </w:num>
  <w:num w:numId="25" w16cid:durableId="15009975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6917405">
    <w:abstractNumId w:val="8"/>
  </w:num>
  <w:num w:numId="27" w16cid:durableId="1525173352">
    <w:abstractNumId w:val="20"/>
  </w:num>
  <w:num w:numId="28" w16cid:durableId="1191532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43293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8727208">
    <w:abstractNumId w:val="23"/>
  </w:num>
  <w:num w:numId="31" w16cid:durableId="3751991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1455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065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59543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1262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3910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364114">
    <w:abstractNumId w:val="0"/>
  </w:num>
  <w:num w:numId="38" w16cid:durableId="1485665366">
    <w:abstractNumId w:val="1"/>
  </w:num>
  <w:num w:numId="39" w16cid:durableId="1159468229">
    <w:abstractNumId w:val="4"/>
  </w:num>
  <w:num w:numId="40" w16cid:durableId="126556623">
    <w:abstractNumId w:val="5"/>
  </w:num>
  <w:num w:numId="41" w16cid:durableId="498614628">
    <w:abstractNumId w:val="6"/>
  </w:num>
  <w:num w:numId="42" w16cid:durableId="1899632683">
    <w:abstractNumId w:val="9"/>
  </w:num>
  <w:num w:numId="43" w16cid:durableId="309598067">
    <w:abstractNumId w:val="7"/>
  </w:num>
  <w:num w:numId="44" w16cid:durableId="694695995">
    <w:abstractNumId w:val="3"/>
  </w:num>
  <w:num w:numId="45" w16cid:durableId="1598707838">
    <w:abstractNumId w:val="2"/>
  </w:num>
  <w:num w:numId="46" w16cid:durableId="1924871562">
    <w:abstractNumId w:val="17"/>
  </w:num>
  <w:num w:numId="47" w16cid:durableId="54784007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0499"/>
    <w:rsid w:val="000032A0"/>
    <w:rsid w:val="00004532"/>
    <w:rsid w:val="00007DE1"/>
    <w:rsid w:val="000131EE"/>
    <w:rsid w:val="00031B42"/>
    <w:rsid w:val="000339B0"/>
    <w:rsid w:val="00041FC8"/>
    <w:rsid w:val="000514BD"/>
    <w:rsid w:val="00055589"/>
    <w:rsid w:val="000613B1"/>
    <w:rsid w:val="00071327"/>
    <w:rsid w:val="00082E59"/>
    <w:rsid w:val="00085E80"/>
    <w:rsid w:val="00091B06"/>
    <w:rsid w:val="000B13F5"/>
    <w:rsid w:val="000C069D"/>
    <w:rsid w:val="000D06D9"/>
    <w:rsid w:val="000D1751"/>
    <w:rsid w:val="000E5C12"/>
    <w:rsid w:val="000F0B26"/>
    <w:rsid w:val="000F54F0"/>
    <w:rsid w:val="000F55E7"/>
    <w:rsid w:val="001058FB"/>
    <w:rsid w:val="00106D8E"/>
    <w:rsid w:val="001070DE"/>
    <w:rsid w:val="00114BA0"/>
    <w:rsid w:val="00115D90"/>
    <w:rsid w:val="00117E61"/>
    <w:rsid w:val="001345C9"/>
    <w:rsid w:val="0014182C"/>
    <w:rsid w:val="00142E0B"/>
    <w:rsid w:val="00156132"/>
    <w:rsid w:val="0015655B"/>
    <w:rsid w:val="0015695F"/>
    <w:rsid w:val="0017077A"/>
    <w:rsid w:val="00170D66"/>
    <w:rsid w:val="00170DC6"/>
    <w:rsid w:val="0017351A"/>
    <w:rsid w:val="001827C2"/>
    <w:rsid w:val="00183B89"/>
    <w:rsid w:val="0018557E"/>
    <w:rsid w:val="00186E6F"/>
    <w:rsid w:val="001B555C"/>
    <w:rsid w:val="001C0255"/>
    <w:rsid w:val="001C0F11"/>
    <w:rsid w:val="001C1ABF"/>
    <w:rsid w:val="001E51D7"/>
    <w:rsid w:val="001F2A15"/>
    <w:rsid w:val="00201BDD"/>
    <w:rsid w:val="00204E35"/>
    <w:rsid w:val="00210A84"/>
    <w:rsid w:val="00231A97"/>
    <w:rsid w:val="00234917"/>
    <w:rsid w:val="00240062"/>
    <w:rsid w:val="002561B9"/>
    <w:rsid w:val="00266EE6"/>
    <w:rsid w:val="00272B0B"/>
    <w:rsid w:val="002A03EA"/>
    <w:rsid w:val="002A26E7"/>
    <w:rsid w:val="002A5A1E"/>
    <w:rsid w:val="002A7384"/>
    <w:rsid w:val="002B2C78"/>
    <w:rsid w:val="002B4251"/>
    <w:rsid w:val="002C07A5"/>
    <w:rsid w:val="002C086E"/>
    <w:rsid w:val="002C6C13"/>
    <w:rsid w:val="002D3EC0"/>
    <w:rsid w:val="002E351B"/>
    <w:rsid w:val="002E5A71"/>
    <w:rsid w:val="002F1F11"/>
    <w:rsid w:val="002F6240"/>
    <w:rsid w:val="00303682"/>
    <w:rsid w:val="00313E25"/>
    <w:rsid w:val="00316767"/>
    <w:rsid w:val="0032356E"/>
    <w:rsid w:val="003248DE"/>
    <w:rsid w:val="003268F7"/>
    <w:rsid w:val="00337DD5"/>
    <w:rsid w:val="00352BB1"/>
    <w:rsid w:val="0035562A"/>
    <w:rsid w:val="00374588"/>
    <w:rsid w:val="00374732"/>
    <w:rsid w:val="00374903"/>
    <w:rsid w:val="00376A5A"/>
    <w:rsid w:val="00384EC2"/>
    <w:rsid w:val="003932DD"/>
    <w:rsid w:val="0039416C"/>
    <w:rsid w:val="003A1ECB"/>
    <w:rsid w:val="003A269E"/>
    <w:rsid w:val="003A39E1"/>
    <w:rsid w:val="003A6733"/>
    <w:rsid w:val="003A7927"/>
    <w:rsid w:val="003B10AF"/>
    <w:rsid w:val="003B2932"/>
    <w:rsid w:val="003B3811"/>
    <w:rsid w:val="003B4BAC"/>
    <w:rsid w:val="003B59BC"/>
    <w:rsid w:val="003B64C4"/>
    <w:rsid w:val="003B7B80"/>
    <w:rsid w:val="003C464C"/>
    <w:rsid w:val="003D4C73"/>
    <w:rsid w:val="003D63BD"/>
    <w:rsid w:val="003E583C"/>
    <w:rsid w:val="003F7DA8"/>
    <w:rsid w:val="0040173E"/>
    <w:rsid w:val="00402EF9"/>
    <w:rsid w:val="00405ABC"/>
    <w:rsid w:val="0040689F"/>
    <w:rsid w:val="00406DCC"/>
    <w:rsid w:val="00407D3B"/>
    <w:rsid w:val="00412531"/>
    <w:rsid w:val="0041656D"/>
    <w:rsid w:val="004174D9"/>
    <w:rsid w:val="00435004"/>
    <w:rsid w:val="00453082"/>
    <w:rsid w:val="00463BE8"/>
    <w:rsid w:val="0046450A"/>
    <w:rsid w:val="004717C6"/>
    <w:rsid w:val="004728AF"/>
    <w:rsid w:val="00473F5B"/>
    <w:rsid w:val="00474D5B"/>
    <w:rsid w:val="0048092D"/>
    <w:rsid w:val="00490047"/>
    <w:rsid w:val="0049020C"/>
    <w:rsid w:val="004A13B1"/>
    <w:rsid w:val="004A3264"/>
    <w:rsid w:val="004A40E1"/>
    <w:rsid w:val="004B6AB8"/>
    <w:rsid w:val="004C2E6E"/>
    <w:rsid w:val="004C561D"/>
    <w:rsid w:val="004C5C0A"/>
    <w:rsid w:val="004E09A7"/>
    <w:rsid w:val="004E30CC"/>
    <w:rsid w:val="004E7BFE"/>
    <w:rsid w:val="004F33A8"/>
    <w:rsid w:val="004F5BB5"/>
    <w:rsid w:val="00503969"/>
    <w:rsid w:val="005102AB"/>
    <w:rsid w:val="00510BCE"/>
    <w:rsid w:val="00510C5D"/>
    <w:rsid w:val="00520993"/>
    <w:rsid w:val="00526306"/>
    <w:rsid w:val="005268BF"/>
    <w:rsid w:val="005359F0"/>
    <w:rsid w:val="00535C46"/>
    <w:rsid w:val="00552A30"/>
    <w:rsid w:val="00555DBE"/>
    <w:rsid w:val="00564FB9"/>
    <w:rsid w:val="00585FD1"/>
    <w:rsid w:val="00592481"/>
    <w:rsid w:val="005B1EB6"/>
    <w:rsid w:val="005B2F67"/>
    <w:rsid w:val="005B3714"/>
    <w:rsid w:val="005B4FCC"/>
    <w:rsid w:val="005C0698"/>
    <w:rsid w:val="005C5D99"/>
    <w:rsid w:val="005E06AA"/>
    <w:rsid w:val="005E3F3F"/>
    <w:rsid w:val="005E79FC"/>
    <w:rsid w:val="005F6648"/>
    <w:rsid w:val="0060641E"/>
    <w:rsid w:val="00606C45"/>
    <w:rsid w:val="00614D3C"/>
    <w:rsid w:val="00617D03"/>
    <w:rsid w:val="00622053"/>
    <w:rsid w:val="006318A8"/>
    <w:rsid w:val="00643113"/>
    <w:rsid w:val="0066217F"/>
    <w:rsid w:val="006632CA"/>
    <w:rsid w:val="006701E1"/>
    <w:rsid w:val="0067175B"/>
    <w:rsid w:val="00675253"/>
    <w:rsid w:val="0067701B"/>
    <w:rsid w:val="006B2B83"/>
    <w:rsid w:val="006B545D"/>
    <w:rsid w:val="006B5891"/>
    <w:rsid w:val="006D01B3"/>
    <w:rsid w:val="006D3183"/>
    <w:rsid w:val="006E0EC3"/>
    <w:rsid w:val="006E2B5F"/>
    <w:rsid w:val="006E7CDD"/>
    <w:rsid w:val="006F3470"/>
    <w:rsid w:val="00710673"/>
    <w:rsid w:val="00723BDE"/>
    <w:rsid w:val="00725B2A"/>
    <w:rsid w:val="00743ABB"/>
    <w:rsid w:val="007440F7"/>
    <w:rsid w:val="0074454B"/>
    <w:rsid w:val="007452B1"/>
    <w:rsid w:val="007517E4"/>
    <w:rsid w:val="007534B3"/>
    <w:rsid w:val="00753944"/>
    <w:rsid w:val="0076208D"/>
    <w:rsid w:val="00762BF7"/>
    <w:rsid w:val="00770DD9"/>
    <w:rsid w:val="00774B4C"/>
    <w:rsid w:val="00783454"/>
    <w:rsid w:val="00792822"/>
    <w:rsid w:val="0079319A"/>
    <w:rsid w:val="007935B6"/>
    <w:rsid w:val="007A29DB"/>
    <w:rsid w:val="007A309B"/>
    <w:rsid w:val="007A39A2"/>
    <w:rsid w:val="007B4B84"/>
    <w:rsid w:val="007B53A4"/>
    <w:rsid w:val="007B5412"/>
    <w:rsid w:val="007C3F00"/>
    <w:rsid w:val="007D2BBA"/>
    <w:rsid w:val="007E17AB"/>
    <w:rsid w:val="007E60B7"/>
    <w:rsid w:val="008015ED"/>
    <w:rsid w:val="0080536E"/>
    <w:rsid w:val="00843530"/>
    <w:rsid w:val="00843C1C"/>
    <w:rsid w:val="00854106"/>
    <w:rsid w:val="00854767"/>
    <w:rsid w:val="00857494"/>
    <w:rsid w:val="00861326"/>
    <w:rsid w:val="008632EE"/>
    <w:rsid w:val="0087312F"/>
    <w:rsid w:val="00874008"/>
    <w:rsid w:val="008773E5"/>
    <w:rsid w:val="00881E56"/>
    <w:rsid w:val="00883549"/>
    <w:rsid w:val="00883EEE"/>
    <w:rsid w:val="00884DBD"/>
    <w:rsid w:val="00892B80"/>
    <w:rsid w:val="008A0665"/>
    <w:rsid w:val="008A2AB3"/>
    <w:rsid w:val="008A6BDC"/>
    <w:rsid w:val="008A7636"/>
    <w:rsid w:val="008B1BA2"/>
    <w:rsid w:val="008B37E8"/>
    <w:rsid w:val="008B7E56"/>
    <w:rsid w:val="008D5EF9"/>
    <w:rsid w:val="008E3EDD"/>
    <w:rsid w:val="008F1E81"/>
    <w:rsid w:val="008F202F"/>
    <w:rsid w:val="00900D39"/>
    <w:rsid w:val="00902CDD"/>
    <w:rsid w:val="009067DC"/>
    <w:rsid w:val="009125C0"/>
    <w:rsid w:val="00920164"/>
    <w:rsid w:val="00935B24"/>
    <w:rsid w:val="009427AA"/>
    <w:rsid w:val="00951AD8"/>
    <w:rsid w:val="00957A06"/>
    <w:rsid w:val="009669DF"/>
    <w:rsid w:val="009845CD"/>
    <w:rsid w:val="009A412F"/>
    <w:rsid w:val="009A74DE"/>
    <w:rsid w:val="009C3510"/>
    <w:rsid w:val="009C3C33"/>
    <w:rsid w:val="009C47DF"/>
    <w:rsid w:val="009C6757"/>
    <w:rsid w:val="009E078F"/>
    <w:rsid w:val="009F0367"/>
    <w:rsid w:val="009F3925"/>
    <w:rsid w:val="00A0041E"/>
    <w:rsid w:val="00A033C8"/>
    <w:rsid w:val="00A122AB"/>
    <w:rsid w:val="00A27456"/>
    <w:rsid w:val="00A27E49"/>
    <w:rsid w:val="00A4261E"/>
    <w:rsid w:val="00A645E5"/>
    <w:rsid w:val="00A661B8"/>
    <w:rsid w:val="00A729B5"/>
    <w:rsid w:val="00A74736"/>
    <w:rsid w:val="00A74C3E"/>
    <w:rsid w:val="00A74C64"/>
    <w:rsid w:val="00A824A5"/>
    <w:rsid w:val="00A94BCC"/>
    <w:rsid w:val="00AA2167"/>
    <w:rsid w:val="00AA6D67"/>
    <w:rsid w:val="00AA7CB2"/>
    <w:rsid w:val="00AB5C53"/>
    <w:rsid w:val="00AC4678"/>
    <w:rsid w:val="00AC5E58"/>
    <w:rsid w:val="00AD73A9"/>
    <w:rsid w:val="00AE346D"/>
    <w:rsid w:val="00AF63BF"/>
    <w:rsid w:val="00B1156A"/>
    <w:rsid w:val="00B12041"/>
    <w:rsid w:val="00B25458"/>
    <w:rsid w:val="00B42858"/>
    <w:rsid w:val="00B448F2"/>
    <w:rsid w:val="00B51968"/>
    <w:rsid w:val="00B53720"/>
    <w:rsid w:val="00B74B55"/>
    <w:rsid w:val="00B755A7"/>
    <w:rsid w:val="00B8012E"/>
    <w:rsid w:val="00B86445"/>
    <w:rsid w:val="00B86BC7"/>
    <w:rsid w:val="00B924B6"/>
    <w:rsid w:val="00B97AD1"/>
    <w:rsid w:val="00BA0F24"/>
    <w:rsid w:val="00BA502A"/>
    <w:rsid w:val="00BA7881"/>
    <w:rsid w:val="00BC1047"/>
    <w:rsid w:val="00BE458A"/>
    <w:rsid w:val="00BE76F0"/>
    <w:rsid w:val="00BF7140"/>
    <w:rsid w:val="00BF7940"/>
    <w:rsid w:val="00C006F5"/>
    <w:rsid w:val="00C0103F"/>
    <w:rsid w:val="00C118DE"/>
    <w:rsid w:val="00C25A63"/>
    <w:rsid w:val="00C322D8"/>
    <w:rsid w:val="00C34822"/>
    <w:rsid w:val="00C41C4D"/>
    <w:rsid w:val="00C4688F"/>
    <w:rsid w:val="00C47057"/>
    <w:rsid w:val="00C5495A"/>
    <w:rsid w:val="00C54A95"/>
    <w:rsid w:val="00C6518B"/>
    <w:rsid w:val="00C65F8C"/>
    <w:rsid w:val="00C721EA"/>
    <w:rsid w:val="00C72EA6"/>
    <w:rsid w:val="00C815AA"/>
    <w:rsid w:val="00C827DA"/>
    <w:rsid w:val="00C82C04"/>
    <w:rsid w:val="00C83D74"/>
    <w:rsid w:val="00C86312"/>
    <w:rsid w:val="00CA0676"/>
    <w:rsid w:val="00CA1775"/>
    <w:rsid w:val="00CA62BF"/>
    <w:rsid w:val="00CC0D65"/>
    <w:rsid w:val="00CC76D5"/>
    <w:rsid w:val="00CC7983"/>
    <w:rsid w:val="00CD12E6"/>
    <w:rsid w:val="00CD346C"/>
    <w:rsid w:val="00CF13B8"/>
    <w:rsid w:val="00CF7A50"/>
    <w:rsid w:val="00D02834"/>
    <w:rsid w:val="00D06256"/>
    <w:rsid w:val="00D209F3"/>
    <w:rsid w:val="00D2322F"/>
    <w:rsid w:val="00D253DE"/>
    <w:rsid w:val="00D25B01"/>
    <w:rsid w:val="00D27F06"/>
    <w:rsid w:val="00D33744"/>
    <w:rsid w:val="00D3516F"/>
    <w:rsid w:val="00D37335"/>
    <w:rsid w:val="00D446A8"/>
    <w:rsid w:val="00D50C76"/>
    <w:rsid w:val="00D54EEB"/>
    <w:rsid w:val="00D55F96"/>
    <w:rsid w:val="00D624A3"/>
    <w:rsid w:val="00D630FF"/>
    <w:rsid w:val="00D657DE"/>
    <w:rsid w:val="00D775D1"/>
    <w:rsid w:val="00D80621"/>
    <w:rsid w:val="00D90CD9"/>
    <w:rsid w:val="00D96F35"/>
    <w:rsid w:val="00DB4BB7"/>
    <w:rsid w:val="00DC1646"/>
    <w:rsid w:val="00DC6237"/>
    <w:rsid w:val="00DE06C0"/>
    <w:rsid w:val="00DF2153"/>
    <w:rsid w:val="00E200CC"/>
    <w:rsid w:val="00E27A8E"/>
    <w:rsid w:val="00E3617A"/>
    <w:rsid w:val="00E37723"/>
    <w:rsid w:val="00E47066"/>
    <w:rsid w:val="00E47F41"/>
    <w:rsid w:val="00E51BFA"/>
    <w:rsid w:val="00E5690A"/>
    <w:rsid w:val="00E56ACF"/>
    <w:rsid w:val="00E65376"/>
    <w:rsid w:val="00E738A0"/>
    <w:rsid w:val="00E75161"/>
    <w:rsid w:val="00E77B8C"/>
    <w:rsid w:val="00E96592"/>
    <w:rsid w:val="00E97A4A"/>
    <w:rsid w:val="00EC504A"/>
    <w:rsid w:val="00ED1B2C"/>
    <w:rsid w:val="00ED30D0"/>
    <w:rsid w:val="00ED327E"/>
    <w:rsid w:val="00ED3A6D"/>
    <w:rsid w:val="00EF07CA"/>
    <w:rsid w:val="00EF1BC6"/>
    <w:rsid w:val="00F06EA8"/>
    <w:rsid w:val="00F14013"/>
    <w:rsid w:val="00F15703"/>
    <w:rsid w:val="00F23F93"/>
    <w:rsid w:val="00F267AC"/>
    <w:rsid w:val="00F304CA"/>
    <w:rsid w:val="00F3130F"/>
    <w:rsid w:val="00F33200"/>
    <w:rsid w:val="00F33452"/>
    <w:rsid w:val="00F347A3"/>
    <w:rsid w:val="00F54AA6"/>
    <w:rsid w:val="00F60987"/>
    <w:rsid w:val="00F666A0"/>
    <w:rsid w:val="00F70602"/>
    <w:rsid w:val="00F76280"/>
    <w:rsid w:val="00F8107D"/>
    <w:rsid w:val="00F81F21"/>
    <w:rsid w:val="00F822DC"/>
    <w:rsid w:val="00F8546D"/>
    <w:rsid w:val="00F92297"/>
    <w:rsid w:val="00F93899"/>
    <w:rsid w:val="00FA0421"/>
    <w:rsid w:val="00FA69DC"/>
    <w:rsid w:val="00FB0DE5"/>
    <w:rsid w:val="00FC2697"/>
    <w:rsid w:val="00FD1C48"/>
    <w:rsid w:val="00FD67F2"/>
    <w:rsid w:val="00FE0C2F"/>
    <w:rsid w:val="00FE21E0"/>
    <w:rsid w:val="00FE32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9B32BF08-5580-4153-AD72-91A11388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32"/>
    <w:pPr>
      <w:spacing w:after="200"/>
    </w:pPr>
    <w:rPr>
      <w:rFonts w:ascii="Verdana" w:hAnsi="Verdana"/>
      <w:sz w:val="20"/>
      <w:lang w:eastAsia="en-US"/>
    </w:rPr>
  </w:style>
  <w:style w:type="paragraph" w:styleId="Heading1">
    <w:name w:val="heading 1"/>
    <w:basedOn w:val="Normal"/>
    <w:next w:val="Normal"/>
    <w:link w:val="Heading1Char"/>
    <w:uiPriority w:val="9"/>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uiPriority w:val="9"/>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numPr>
        <w:numId w:val="8"/>
      </w:numPr>
      <w:spacing w:after="120"/>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3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66217F"/>
    <w:pPr>
      <w:tabs>
        <w:tab w:val="right" w:leader="dot" w:pos="9628"/>
      </w:tabs>
      <w:spacing w:after="100"/>
      <w:ind w:left="200"/>
    </w:pPr>
    <w:rPr>
      <w:noProof/>
    </w:rPr>
  </w:style>
  <w:style w:type="paragraph" w:styleId="TOC1">
    <w:name w:val="toc 1"/>
    <w:basedOn w:val="Normal"/>
    <w:next w:val="Normal"/>
    <w:autoRedefine/>
    <w:uiPriority w:val="39"/>
    <w:unhideWhenUsed/>
    <w:rsid w:val="001C0F11"/>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66217F"/>
    <w:pPr>
      <w:tabs>
        <w:tab w:val="right" w:leader="dot" w:pos="9628"/>
      </w:tabs>
      <w:spacing w:after="100"/>
      <w:ind w:left="400"/>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semiHidden/>
    <w:unhideWhenUsed/>
    <w:rsid w:val="00C118DE"/>
    <w:pPr>
      <w:suppressAutoHyphens/>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semiHidden/>
    <w:rsid w:val="00C118DE"/>
    <w:rPr>
      <w:rFonts w:eastAsiaTheme="minorEastAsia" w:cstheme="minorBidi"/>
      <w:sz w:val="20"/>
      <w:szCs w:val="20"/>
      <w:lang w:eastAsia="en-GB"/>
    </w:rPr>
  </w:style>
  <w:style w:type="paragraph" w:styleId="ListParagraph">
    <w:name w:val="List Paragraph"/>
    <w:basedOn w:val="Normal"/>
    <w:uiPriority w:val="34"/>
    <w:rsid w:val="00E65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sites/default/files/documents/mdbbest-practice-guidelin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sites/default/files/documents/metrological-assurance-framework-2.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c5cad13b6666b7852f4eaa8dcc206fb9">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e9b090d71a2e5fb3627b9888c9f68a88"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b98728ac-f998-415c-abee-6b046fb144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595E10-D353-402D-A7C9-B9D0B38C0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6B024-AF68-4D11-ACC5-C2DE3A422E29}">
  <ds:schemaRefs>
    <ds:schemaRef ds:uri="http://schemas.openxmlformats.org/officeDocument/2006/bibliography"/>
  </ds:schemaRefs>
</ds:datastoreItem>
</file>

<file path=customXml/itemProps3.xml><?xml version="1.0" encoding="utf-8"?>
<ds:datastoreItem xmlns:ds="http://schemas.openxmlformats.org/officeDocument/2006/customXml" ds:itemID="{C8EC6D99-BEB5-41E2-AB1D-03E047F007EC}">
  <ds:schemaRefs>
    <ds:schemaRef ds:uri="http://schemas.microsoft.com/sharepoint/v3/contenttype/forms"/>
  </ds:schemaRefs>
</ds:datastoreItem>
</file>

<file path=customXml/itemProps4.xml><?xml version="1.0" encoding="utf-8"?>
<ds:datastoreItem xmlns:ds="http://schemas.openxmlformats.org/officeDocument/2006/customXml" ds:itemID="{E3D1A8CC-9A28-4776-B11B-349827040DD7}">
  <ds:schemaRefs>
    <ds:schemaRef ds:uri="http://www.w3.org/XML/1998/namespace"/>
    <ds:schemaRef ds:uri="http://purl.org/dc/elements/1.1/"/>
    <ds:schemaRef ds:uri="d869c146-c82e-4435-92e4-da91542262fd"/>
    <ds:schemaRef ds:uri="http://purl.org/dc/dcmitype/"/>
    <ds:schemaRef ds:uri="http://schemas.microsoft.com/office/2006/metadata/properties"/>
    <ds:schemaRef ds:uri="http://schemas.openxmlformats.org/package/2006/metadata/core-properties"/>
    <ds:schemaRef ds:uri="b98728ac-f998-415c-abee-6b046fb1441e"/>
    <ds:schemaRef ds:uri="http://schemas.microsoft.com/office/2006/documentManagement/types"/>
    <ds:schemaRef ds:uri="http://purl.org/dc/terms/"/>
    <ds:schemaRef ds:uri="http://schemas.microsoft.com/office/infopath/2007/PartnerControls"/>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Internal_general_briefing_template</Template>
  <TotalTime>106</TotalTime>
  <Pages>18</Pages>
  <Words>5104</Words>
  <Characters>29094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2021-22 Metering Report Card</vt:lpstr>
    </vt:vector>
  </TitlesOfParts>
  <Manager/>
  <Company/>
  <LinksUpToDate>false</LinksUpToDate>
  <CharactersWithSpaces>34130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Metering Report Card</dc:title>
  <dc:subject>
  </dc:subject>
  <dc:creator>IGWC</dc:creator>
  <cp:keywords>
  </cp:keywords>
  <dc:description>
  </dc:description>
  <cp:lastModifiedBy>Nguyen, Lien</cp:lastModifiedBy>
  <cp:revision>33</cp:revision>
  <cp:lastPrinted>2021-12-14T11:45:00Z</cp:lastPrinted>
  <dcterms:created xsi:type="dcterms:W3CDTF">2023-07-26T08:05:00Z</dcterms:created>
  <dcterms:modified xsi:type="dcterms:W3CDTF">2023-07-30T23:58:00Z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0x0101000CE906D513FFBD4BB5928F3F1408FD8C</vt:lpwstr>
  </property>
  <property fmtid="{D5CDD505-2E9C-101B-9397-08002B2CF9AE}" pid="3" name="MediaServiceImageTags">
    <vt:lpwstr/>
  </property>
</Properties>
</file>